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w:t>
      </w:r>
      <w:proofErr w:type="spellStart"/>
      <w:r w:rsidR="001D4AB6">
        <w:rPr>
          <w:highlight w:val="cyan"/>
        </w:rPr>
        <w:t>authorising</w:t>
      </w:r>
      <w:proofErr w:type="spellEnd"/>
      <w:r w:rsidR="001D4AB6">
        <w:rPr>
          <w:highlight w:val="cyan"/>
        </w:rPr>
        <w:t xml:space="preserve">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 xml:space="preserve">See the NICE guidance for the definition of an </w:t>
        </w:r>
        <w:proofErr w:type="spellStart"/>
        <w:r w:rsidRPr="00EC5BB8">
          <w:rPr>
            <w:rStyle w:val="Hyperlink"/>
            <w:highlight w:val="yellow"/>
          </w:rPr>
          <w:t>authorising</w:t>
        </w:r>
        <w:proofErr w:type="spellEnd"/>
        <w:r w:rsidRPr="00EC5BB8">
          <w:rPr>
            <w:rStyle w:val="Hyperlink"/>
            <w:highlight w:val="yellow"/>
          </w:rPr>
          <w:t xml:space="preserve">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254582D1" w:rsidR="007A1448" w:rsidRPr="00DF77C7" w:rsidRDefault="00687B72" w:rsidP="006529F3">
      <w:pPr>
        <w:pStyle w:val="PGDTitle2"/>
      </w:pPr>
      <w:r w:rsidRPr="00687B72">
        <w:t xml:space="preserve">Supply of emtricitabine 200mg/tenofovir </w:t>
      </w:r>
      <w:r w:rsidR="00DD05C5">
        <w:t xml:space="preserve">alafenamide fumarate 25mg </w:t>
      </w:r>
      <w:r w:rsidRPr="00687B72">
        <w:t>(T</w:t>
      </w:r>
      <w:r w:rsidR="00DD05C5">
        <w:t>AF</w:t>
      </w:r>
      <w:r w:rsidRPr="00687B72">
        <w:t>-FTC) as Pre-Exposure Prophylaxis (</w:t>
      </w:r>
      <w:proofErr w:type="spellStart"/>
      <w:r w:rsidRPr="00687B72">
        <w:t>PrEP</w:t>
      </w:r>
      <w:proofErr w:type="spellEnd"/>
      <w:r w:rsidRPr="00687B72">
        <w:t>) for the prevention of HIV infection</w:t>
      </w:r>
      <w:r w:rsidRPr="00687B72">
        <w:rPr>
          <w:bCs/>
          <w:kern w:val="28"/>
          <w:sz w:val="40"/>
          <w:szCs w:val="32"/>
        </w:rPr>
        <w:t xml:space="preserve"> </w:t>
      </w:r>
      <w:r w:rsidR="005C6771" w:rsidRPr="00DF77C7">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1B3B53BC" w14:textId="109D4E83" w:rsidR="00813399" w:rsidRPr="00DF77C7" w:rsidRDefault="00813399" w:rsidP="00E97A6D">
      <w:r w:rsidRPr="007F687D">
        <w:rPr>
          <w:rStyle w:val="PGDVersionNumber"/>
        </w:rPr>
        <w:t xml:space="preserve">Version Number </w:t>
      </w:r>
      <w:r w:rsidR="00DD05C5">
        <w:rPr>
          <w:rStyle w:val="PGDVersionNumber"/>
        </w:rPr>
        <w:t>1</w:t>
      </w:r>
      <w:r w:rsidR="00251D91">
        <w:rPr>
          <w:rStyle w:val="PGDVersionNumber"/>
        </w:rPr>
        <w:t>.0</w:t>
      </w:r>
    </w:p>
    <w:p w14:paraId="0ED72407" w14:textId="77777777" w:rsidR="00DD05C5" w:rsidRDefault="00DD05C5" w:rsidP="00AD67D4">
      <w:pPr>
        <w:pStyle w:val="Tabletitle"/>
        <w:rPr>
          <w:lang w:val="en-GB"/>
        </w:rPr>
      </w:pPr>
    </w:p>
    <w:p w14:paraId="5117407B" w14:textId="77777777" w:rsidR="00DD05C5" w:rsidRDefault="00DD05C5" w:rsidP="00AD67D4">
      <w:pPr>
        <w:pStyle w:val="Tabletitle"/>
        <w:rPr>
          <w:lang w:val="en-GB"/>
        </w:rPr>
      </w:pPr>
    </w:p>
    <w:p w14:paraId="30618656" w14:textId="77777777" w:rsidR="00DD05C5" w:rsidRDefault="00DD05C5" w:rsidP="00AD67D4">
      <w:pPr>
        <w:pStyle w:val="Tabletitle"/>
        <w:rPr>
          <w:lang w:val="en-GB"/>
        </w:rPr>
      </w:pPr>
    </w:p>
    <w:p w14:paraId="381B02CA" w14:textId="77777777" w:rsidR="00DD05C5" w:rsidRDefault="00DD05C5" w:rsidP="00AD67D4">
      <w:pPr>
        <w:pStyle w:val="Tabletitle"/>
        <w:rPr>
          <w:lang w:val="en-GB"/>
        </w:rPr>
      </w:pPr>
    </w:p>
    <w:p w14:paraId="5BB1F542" w14:textId="77777777" w:rsidR="00DD05C5" w:rsidRDefault="00DD05C5" w:rsidP="00AD67D4">
      <w:pPr>
        <w:pStyle w:val="Tabletitle"/>
        <w:rPr>
          <w:lang w:val="en-GB"/>
        </w:rPr>
      </w:pPr>
    </w:p>
    <w:p w14:paraId="7F4D9BA0" w14:textId="77777777" w:rsidR="00DD05C5" w:rsidRDefault="00DD05C5" w:rsidP="00AD67D4">
      <w:pPr>
        <w:pStyle w:val="Tabletitle"/>
        <w:rPr>
          <w:lang w:val="en-GB"/>
        </w:rPr>
      </w:pPr>
    </w:p>
    <w:p w14:paraId="5B3B13A8" w14:textId="77777777" w:rsidR="00DD05C5" w:rsidRDefault="00DD05C5" w:rsidP="00AD67D4">
      <w:pPr>
        <w:pStyle w:val="Tabletitle"/>
        <w:rPr>
          <w:lang w:val="en-GB"/>
        </w:rPr>
      </w:pPr>
    </w:p>
    <w:p w14:paraId="07B8BC48" w14:textId="77777777" w:rsidR="00DD05C5" w:rsidRDefault="00DD05C5" w:rsidP="00AD67D4">
      <w:pPr>
        <w:pStyle w:val="Tabletitle"/>
        <w:rPr>
          <w:lang w:val="en-GB"/>
        </w:rPr>
      </w:pPr>
    </w:p>
    <w:p w14:paraId="28C21E9E" w14:textId="77777777" w:rsidR="00DD05C5" w:rsidRDefault="00DD05C5" w:rsidP="00AD67D4">
      <w:pPr>
        <w:pStyle w:val="Tabletitle"/>
        <w:rPr>
          <w:lang w:val="en-GB"/>
        </w:rPr>
      </w:pPr>
    </w:p>
    <w:p w14:paraId="12039C3A" w14:textId="77777777" w:rsidR="00DD05C5" w:rsidRDefault="00DD05C5" w:rsidP="00AD67D4">
      <w:pPr>
        <w:pStyle w:val="Tabletitle"/>
        <w:rPr>
          <w:lang w:val="en-GB"/>
        </w:rPr>
      </w:pPr>
    </w:p>
    <w:p w14:paraId="55BD0E9F" w14:textId="77777777" w:rsidR="00DD05C5" w:rsidRDefault="00DD05C5" w:rsidP="00AD67D4">
      <w:pPr>
        <w:pStyle w:val="Tabletitle"/>
        <w:rPr>
          <w:lang w:val="en-GB"/>
        </w:rPr>
      </w:pPr>
    </w:p>
    <w:p w14:paraId="2CA315CF" w14:textId="77777777" w:rsidR="00DD05C5" w:rsidRDefault="00DD05C5" w:rsidP="00AD67D4">
      <w:pPr>
        <w:pStyle w:val="Tabletitle"/>
        <w:rPr>
          <w:lang w:val="en-GB"/>
        </w:rPr>
      </w:pPr>
    </w:p>
    <w:p w14:paraId="16A85F38" w14:textId="77777777" w:rsidR="00DD05C5" w:rsidRPr="00DD05C5" w:rsidRDefault="00DD05C5" w:rsidP="00DD05C5">
      <w:pPr>
        <w:pStyle w:val="NICEnormal"/>
        <w:rPr>
          <w:lang w:val="en-GB"/>
        </w:rPr>
      </w:pPr>
    </w:p>
    <w:p w14:paraId="4B28C630" w14:textId="5936F6B3" w:rsidR="00763E7A" w:rsidRPr="00DF77C7" w:rsidRDefault="00763E7A" w:rsidP="00AD67D4">
      <w:pPr>
        <w:pStyle w:val="Tabletitle"/>
        <w:rPr>
          <w:lang w:val="en-GB"/>
        </w:rPr>
      </w:pPr>
      <w:r w:rsidRPr="00DF77C7">
        <w:rPr>
          <w:lang w:val="en-GB"/>
        </w:rPr>
        <w:lastRenderedPageBreak/>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E170C1"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E170C1" w:rsidRDefault="00813399" w:rsidP="006829D5">
            <w:pPr>
              <w:pStyle w:val="TableHeaderRow"/>
              <w:rPr>
                <w:sz w:val="22"/>
                <w:szCs w:val="22"/>
              </w:rPr>
            </w:pPr>
            <w:r w:rsidRPr="00E170C1">
              <w:rPr>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E170C1" w:rsidRDefault="00813399" w:rsidP="006829D5">
            <w:pPr>
              <w:pStyle w:val="TableHeaderRow"/>
              <w:rPr>
                <w:sz w:val="22"/>
                <w:szCs w:val="22"/>
              </w:rPr>
            </w:pPr>
            <w:r w:rsidRPr="00E170C1">
              <w:rPr>
                <w:sz w:val="22"/>
                <w:szCs w:val="22"/>
              </w:rPr>
              <w:t>Change details</w:t>
            </w:r>
          </w:p>
        </w:tc>
      </w:tr>
      <w:tr w:rsidR="00945B0D" w:rsidRPr="00E170C1"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C44DF93" w14:textId="77777777" w:rsidR="00945B0D" w:rsidRPr="00E170C1" w:rsidRDefault="00945B0D" w:rsidP="00687B72">
            <w:pPr>
              <w:pStyle w:val="Tabletext"/>
              <w:rPr>
                <w:kern w:val="2"/>
                <w:sz w:val="20"/>
              </w:rPr>
            </w:pPr>
            <w:r w:rsidRPr="00E170C1">
              <w:rPr>
                <w:kern w:val="2"/>
                <w:sz w:val="20"/>
              </w:rPr>
              <w:t>Version 1</w:t>
            </w:r>
          </w:p>
          <w:p w14:paraId="564FB0F8" w14:textId="18871895" w:rsidR="00945B0D" w:rsidRPr="00E170C1" w:rsidRDefault="00DD05C5" w:rsidP="00687B72">
            <w:pPr>
              <w:pStyle w:val="Tabletext"/>
              <w:rPr>
                <w:kern w:val="2"/>
                <w:sz w:val="20"/>
              </w:rPr>
            </w:pPr>
            <w:r>
              <w:rPr>
                <w:kern w:val="2"/>
                <w:sz w:val="20"/>
              </w:rPr>
              <w:t>December 2025</w:t>
            </w:r>
          </w:p>
        </w:tc>
        <w:tc>
          <w:tcPr>
            <w:tcW w:w="7020" w:type="dxa"/>
            <w:tcBorders>
              <w:top w:val="single" w:sz="4" w:space="0" w:color="auto"/>
              <w:left w:val="single" w:sz="4" w:space="0" w:color="auto"/>
              <w:bottom w:val="single" w:sz="4" w:space="0" w:color="auto"/>
              <w:right w:val="single" w:sz="4" w:space="0" w:color="auto"/>
            </w:tcBorders>
          </w:tcPr>
          <w:p w14:paraId="4A45011F" w14:textId="1386BE26" w:rsidR="00945B0D" w:rsidRPr="00E170C1" w:rsidRDefault="00945B0D" w:rsidP="00687B72">
            <w:pPr>
              <w:pStyle w:val="Tabletext"/>
              <w:rPr>
                <w:kern w:val="2"/>
                <w:sz w:val="20"/>
              </w:rPr>
            </w:pPr>
            <w:r w:rsidRPr="00E170C1">
              <w:rPr>
                <w:kern w:val="2"/>
                <w:sz w:val="20"/>
              </w:rPr>
              <w:t>New template</w:t>
            </w:r>
          </w:p>
        </w:tc>
      </w:tr>
    </w:tbl>
    <w:p w14:paraId="41E0F634" w14:textId="77777777" w:rsidR="00DD05C5" w:rsidRDefault="00DD05C5" w:rsidP="00763E7A">
      <w:pPr>
        <w:pStyle w:val="PGDNormal"/>
        <w:rPr>
          <w:highlight w:val="yellow"/>
          <w:lang w:val="en-GB"/>
        </w:rPr>
      </w:pPr>
    </w:p>
    <w:p w14:paraId="2CBBA5EF" w14:textId="6C638B39"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105C8B7" w:rsidR="0017669F" w:rsidRPr="00DF77C7" w:rsidRDefault="004E10B1" w:rsidP="00AD67D4">
            <w:pPr>
              <w:pStyle w:val="Tabletext"/>
              <w:rPr>
                <w:lang w:val="en-GB"/>
              </w:rPr>
            </w:pPr>
            <w:r w:rsidRPr="004E10B1">
              <w:rPr>
                <w:color w:val="000000" w:themeColor="text1"/>
                <w:lang w:val="en-GB"/>
              </w:rPr>
              <w:t>1</w:t>
            </w:r>
            <w:r w:rsidRPr="004E10B1">
              <w:rPr>
                <w:color w:val="000000" w:themeColor="text1"/>
                <w:vertAlign w:val="superscript"/>
                <w:lang w:val="en-GB"/>
              </w:rPr>
              <w:t>st</w:t>
            </w:r>
            <w:r w:rsidRPr="004E10B1">
              <w:rPr>
                <w:color w:val="000000" w:themeColor="text1"/>
                <w:lang w:val="en-GB"/>
              </w:rPr>
              <w:t xml:space="preserve"> December 2025</w:t>
            </w:r>
          </w:p>
        </w:tc>
      </w:tr>
      <w:tr w:rsidR="00DD05C5" w:rsidRPr="00DF77C7" w14:paraId="18F33630" w14:textId="77777777" w:rsidTr="00043006">
        <w:tc>
          <w:tcPr>
            <w:tcW w:w="3969" w:type="dxa"/>
          </w:tcPr>
          <w:p w14:paraId="1ED3DDB2" w14:textId="77777777" w:rsidR="00DD05C5" w:rsidRPr="00DF77C7" w:rsidRDefault="00DD05C5" w:rsidP="00DD05C5">
            <w:pPr>
              <w:pStyle w:val="Tabletext"/>
              <w:rPr>
                <w:lang w:val="en-GB"/>
              </w:rPr>
            </w:pPr>
            <w:r w:rsidRPr="00DF77C7">
              <w:rPr>
                <w:lang w:val="en-GB"/>
              </w:rPr>
              <w:t>Review date</w:t>
            </w:r>
          </w:p>
          <w:p w14:paraId="40ECC743" w14:textId="77777777" w:rsidR="00DD05C5" w:rsidRPr="00DF77C7" w:rsidRDefault="00DD05C5" w:rsidP="00DD05C5">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4A3ADFB0" w:rsidR="00DD05C5" w:rsidRPr="00DF77C7" w:rsidRDefault="004E10B1" w:rsidP="00DD05C5">
            <w:pPr>
              <w:pStyle w:val="Tabletext"/>
              <w:rPr>
                <w:lang w:val="en-GB"/>
              </w:rPr>
            </w:pPr>
            <w:r>
              <w:rPr>
                <w:lang w:val="en-GB"/>
              </w:rPr>
              <w:t>31</w:t>
            </w:r>
            <w:r w:rsidRPr="004E10B1">
              <w:rPr>
                <w:vertAlign w:val="superscript"/>
                <w:lang w:val="en-GB"/>
              </w:rPr>
              <w:t>st</w:t>
            </w:r>
            <w:r>
              <w:rPr>
                <w:vertAlign w:val="superscript"/>
                <w:lang w:val="en-GB"/>
              </w:rPr>
              <w:t xml:space="preserve"> </w:t>
            </w:r>
            <w:r>
              <w:rPr>
                <w:lang w:val="en-GB"/>
              </w:rPr>
              <w:t>May 2028</w:t>
            </w:r>
          </w:p>
        </w:tc>
      </w:tr>
      <w:tr w:rsidR="00DD05C5" w:rsidRPr="00DF77C7" w14:paraId="0FB80BBA" w14:textId="77777777" w:rsidTr="00043006">
        <w:tc>
          <w:tcPr>
            <w:tcW w:w="3969" w:type="dxa"/>
          </w:tcPr>
          <w:p w14:paraId="45729AD1" w14:textId="77777777" w:rsidR="00DD05C5" w:rsidRPr="00DF77C7" w:rsidRDefault="00DD05C5" w:rsidP="00DD05C5">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FF349CB" w:rsidR="00DD05C5" w:rsidRPr="00DF77C7" w:rsidRDefault="004E10B1" w:rsidP="00DD05C5">
            <w:pPr>
              <w:pStyle w:val="Tabletext"/>
              <w:rPr>
                <w:lang w:val="en-GB"/>
              </w:rPr>
            </w:pPr>
            <w:r>
              <w:rPr>
                <w:lang w:val="en-GB"/>
              </w:rPr>
              <w:t>30</w:t>
            </w:r>
            <w:r w:rsidRPr="004E10B1">
              <w:rPr>
                <w:vertAlign w:val="superscript"/>
                <w:lang w:val="en-GB"/>
              </w:rPr>
              <w:t>th</w:t>
            </w:r>
            <w:r>
              <w:rPr>
                <w:lang w:val="en-GB"/>
              </w:rPr>
              <w:t xml:space="preserve"> November 2028</w:t>
            </w:r>
          </w:p>
        </w:tc>
      </w:tr>
    </w:tbl>
    <w:p w14:paraId="22A68ADB" w14:textId="77777777" w:rsidR="00050C45" w:rsidRPr="00DF77C7" w:rsidRDefault="00050C45" w:rsidP="00F57606">
      <w:pPr>
        <w:pStyle w:val="Tabletext"/>
      </w:pPr>
    </w:p>
    <w:p w14:paraId="6931C648" w14:textId="28059827" w:rsidR="00251D91" w:rsidRDefault="00251D91" w:rsidP="002F652F">
      <w:pPr>
        <w:pStyle w:val="PGDNormal"/>
      </w:pPr>
      <w:r>
        <w:t xml:space="preserve">This PGD template has been peer reviewed by the </w:t>
      </w:r>
      <w:proofErr w:type="spellStart"/>
      <w:r w:rsidR="7E904954" w:rsidRPr="374C1672">
        <w:rPr>
          <w:rFonts w:eastAsia="Arial" w:cs="Arial"/>
          <w:szCs w:val="22"/>
        </w:rPr>
        <w:t>PrEP</w:t>
      </w:r>
      <w:proofErr w:type="spellEnd"/>
      <w:r w:rsidR="7E904954" w:rsidRPr="374C1672">
        <w:rPr>
          <w:rFonts w:eastAsia="Arial" w:cs="Arial"/>
          <w:szCs w:val="22"/>
        </w:rPr>
        <w:t xml:space="preserve"> </w:t>
      </w:r>
      <w:r w:rsidR="00A8219B" w:rsidRPr="374C1672">
        <w:rPr>
          <w:rFonts w:eastAsia="Arial" w:cs="Arial"/>
          <w:szCs w:val="22"/>
        </w:rPr>
        <w:t xml:space="preserve">PGD </w:t>
      </w:r>
      <w:r w:rsidR="00A8219B">
        <w:t>Short</w:t>
      </w:r>
      <w:r>
        <w:t xml:space="preserve"> Life Working Group in accordance with their Terms of Reference.</w:t>
      </w:r>
      <w:r w:rsidR="00DD05C5">
        <w:t xml:space="preserve"> I</w:t>
      </w:r>
      <w:r w:rsidR="00DD05C5">
        <w:rPr>
          <w:rFonts w:cs="Arial"/>
          <w:szCs w:val="22"/>
        </w:rPr>
        <w:t>t</w:t>
      </w:r>
      <w:r w:rsidR="00DD05C5" w:rsidRPr="00D10926">
        <w:rPr>
          <w:rFonts w:cs="Arial"/>
          <w:szCs w:val="22"/>
        </w:rPr>
        <w:t xml:space="preserve"> has been approved by </w:t>
      </w:r>
      <w:r w:rsidR="000C5B9D">
        <w:rPr>
          <w:rFonts w:cs="Arial"/>
          <w:szCs w:val="22"/>
        </w:rPr>
        <w:t xml:space="preserve">NHS </w:t>
      </w:r>
      <w:r w:rsidR="000C5B9D" w:rsidRPr="000C5B9D">
        <w:rPr>
          <w:rFonts w:cs="Arial"/>
          <w:color w:val="000000" w:themeColor="text1"/>
          <w:szCs w:val="22"/>
        </w:rPr>
        <w:t xml:space="preserve">England in Autumn 2025. </w:t>
      </w:r>
    </w:p>
    <w:p w14:paraId="58CD625E" w14:textId="048B0895" w:rsidR="00050C45" w:rsidRPr="00DF77C7" w:rsidRDefault="00050C45" w:rsidP="00AD67D4">
      <w:pPr>
        <w:pStyle w:val="PGDNormal"/>
        <w:rPr>
          <w:lang w:val="en-GB"/>
        </w:rPr>
      </w:pPr>
      <w:r w:rsidRPr="00DF77C7">
        <w:rPr>
          <w:lang w:val="en-GB"/>
        </w:rPr>
        <w:t>Note</w:t>
      </w:r>
      <w:r w:rsidR="00DD05C5">
        <w:rPr>
          <w:lang w:val="en-GB"/>
        </w:rPr>
        <w:t>: T</w:t>
      </w:r>
      <w:r w:rsidRPr="00DF77C7">
        <w:rPr>
          <w:lang w:val="en-GB"/>
        </w:rPr>
        <w:t xml:space="preserve">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 xml:space="preserve">This section MUST REMAIN when a PGD is adopted by an </w:t>
      </w:r>
      <w:proofErr w:type="spellStart"/>
      <w:r w:rsidRPr="00DF77C7">
        <w:rPr>
          <w:rStyle w:val="PGDNormalBold"/>
        </w:rPr>
        <w:t>organisation</w:t>
      </w:r>
      <w:proofErr w:type="spellEnd"/>
      <w:r w:rsidRPr="00DF77C7">
        <w:rPr>
          <w:rStyle w:val="PGDNormalBold"/>
        </w:rPr>
        <w:t>.</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547"/>
        <w:gridCol w:w="6662"/>
      </w:tblGrid>
      <w:tr w:rsidR="005E6963" w:rsidRPr="00DF77C7" w14:paraId="0CD61D6C" w14:textId="77777777" w:rsidTr="00A22217">
        <w:trPr>
          <w:trHeight w:val="565"/>
          <w:tblHeader/>
        </w:trPr>
        <w:tc>
          <w:tcPr>
            <w:tcW w:w="254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A22217">
            <w:pPr>
              <w:pStyle w:val="TableHeaderRow"/>
            </w:pPr>
            <w:r w:rsidRPr="00DF77C7">
              <w:t>Name or Role</w:t>
            </w:r>
          </w:p>
        </w:tc>
        <w:tc>
          <w:tcPr>
            <w:tcW w:w="666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A22217">
            <w:pPr>
              <w:pStyle w:val="TableHeaderRow"/>
            </w:pPr>
            <w:r w:rsidRPr="00DF77C7">
              <w:t>Position</w:t>
            </w:r>
          </w:p>
        </w:tc>
      </w:tr>
      <w:tr w:rsidR="00687B72" w:rsidRPr="00DF77C7" w14:paraId="6D7832C8" w14:textId="77777777" w:rsidTr="00A22217">
        <w:trPr>
          <w:trHeight w:val="420"/>
        </w:trPr>
        <w:tc>
          <w:tcPr>
            <w:tcW w:w="2547" w:type="dxa"/>
          </w:tcPr>
          <w:p w14:paraId="0D33821E" w14:textId="01B93EF5" w:rsidR="00687B72" w:rsidRPr="00DD05C5" w:rsidRDefault="00687B72" w:rsidP="00A22217">
            <w:pPr>
              <w:pStyle w:val="Tabletext"/>
              <w:spacing w:after="0"/>
              <w:rPr>
                <w:rFonts w:eastAsia="Calibri" w:cs="Arial"/>
                <w:szCs w:val="22"/>
                <w:lang w:val="en-GB"/>
              </w:rPr>
            </w:pPr>
            <w:r w:rsidRPr="00DD05C5">
              <w:rPr>
                <w:rFonts w:cs="Arial"/>
                <w:szCs w:val="22"/>
              </w:rPr>
              <w:t>Ali Grant</w:t>
            </w:r>
          </w:p>
        </w:tc>
        <w:tc>
          <w:tcPr>
            <w:tcW w:w="6662" w:type="dxa"/>
          </w:tcPr>
          <w:p w14:paraId="0C137020" w14:textId="3AB0FFC4" w:rsidR="00687B72" w:rsidRPr="00DD05C5" w:rsidRDefault="00687B72" w:rsidP="00A22217">
            <w:pPr>
              <w:pStyle w:val="Tabletext"/>
              <w:spacing w:after="0"/>
              <w:rPr>
                <w:rFonts w:eastAsia="Calibri" w:cs="Arial"/>
                <w:szCs w:val="22"/>
                <w:lang w:val="en-GB"/>
              </w:rPr>
            </w:pPr>
            <w:r w:rsidRPr="00DD05C5">
              <w:rPr>
                <w:rFonts w:cs="Arial"/>
                <w:szCs w:val="22"/>
              </w:rPr>
              <w:t>Consultant Pharmacist: HIV, Sexual and Reproductive Health</w:t>
            </w:r>
          </w:p>
        </w:tc>
      </w:tr>
      <w:tr w:rsidR="00687B72" w:rsidRPr="00DF77C7" w14:paraId="15A217EB" w14:textId="77777777" w:rsidTr="00A22217">
        <w:trPr>
          <w:trHeight w:val="414"/>
        </w:trPr>
        <w:tc>
          <w:tcPr>
            <w:tcW w:w="2547" w:type="dxa"/>
          </w:tcPr>
          <w:p w14:paraId="543479AC" w14:textId="3350D5FA" w:rsidR="00687B72" w:rsidRPr="00DD05C5" w:rsidRDefault="00687B72" w:rsidP="00A22217">
            <w:pPr>
              <w:pStyle w:val="Tabletext"/>
              <w:spacing w:after="0"/>
              <w:rPr>
                <w:rFonts w:eastAsia="Calibri" w:cs="Arial"/>
                <w:szCs w:val="22"/>
                <w:lang w:val="en-GB"/>
              </w:rPr>
            </w:pPr>
            <w:r w:rsidRPr="00DD05C5">
              <w:rPr>
                <w:rFonts w:cs="Arial"/>
                <w:szCs w:val="22"/>
                <w:lang w:val="en"/>
              </w:rPr>
              <w:t>Dr Cindy Farmer</w:t>
            </w:r>
          </w:p>
        </w:tc>
        <w:tc>
          <w:tcPr>
            <w:tcW w:w="6662" w:type="dxa"/>
          </w:tcPr>
          <w:p w14:paraId="7C2C9AF1" w14:textId="3CA7EEC6" w:rsidR="00687B72" w:rsidRPr="00DD05C5" w:rsidRDefault="00687B72" w:rsidP="00A22217">
            <w:pPr>
              <w:rPr>
                <w:rFonts w:ascii="Arial" w:hAnsi="Arial" w:cs="Arial"/>
                <w:sz w:val="22"/>
                <w:szCs w:val="22"/>
              </w:rPr>
            </w:pPr>
            <w:r w:rsidRPr="00DD05C5">
              <w:rPr>
                <w:rFonts w:ascii="Arial" w:hAnsi="Arial" w:cs="Arial"/>
                <w:sz w:val="22"/>
                <w:szCs w:val="22"/>
              </w:rPr>
              <w:t>Vice President, General Training</w:t>
            </w:r>
            <w:r w:rsidR="00E170C1" w:rsidRPr="00DD05C5">
              <w:rPr>
                <w:rFonts w:ascii="Arial" w:hAnsi="Arial" w:cs="Arial"/>
                <w:sz w:val="22"/>
                <w:szCs w:val="22"/>
              </w:rPr>
              <w:t xml:space="preserve">, </w:t>
            </w:r>
            <w:r w:rsidRPr="00DD05C5">
              <w:rPr>
                <w:rFonts w:ascii="Arial" w:hAnsi="Arial" w:cs="Arial"/>
                <w:sz w:val="22"/>
                <w:szCs w:val="22"/>
              </w:rPr>
              <w:t>The College of Sexual and Reproductive Healthcare (</w:t>
            </w:r>
            <w:proofErr w:type="spellStart"/>
            <w:r w:rsidRPr="00DD05C5">
              <w:rPr>
                <w:rFonts w:ascii="Arial" w:hAnsi="Arial" w:cs="Arial"/>
                <w:sz w:val="22"/>
                <w:szCs w:val="22"/>
              </w:rPr>
              <w:t>CoSRH</w:t>
            </w:r>
            <w:proofErr w:type="spellEnd"/>
            <w:r w:rsidRPr="00DD05C5">
              <w:rPr>
                <w:rFonts w:ascii="Arial" w:hAnsi="Arial" w:cs="Arial"/>
                <w:sz w:val="22"/>
                <w:szCs w:val="22"/>
              </w:rPr>
              <w:t>)</w:t>
            </w:r>
          </w:p>
        </w:tc>
      </w:tr>
      <w:tr w:rsidR="00687B72" w:rsidRPr="00DF77C7" w14:paraId="15C69C66" w14:textId="77777777" w:rsidTr="00A22217">
        <w:trPr>
          <w:trHeight w:val="408"/>
        </w:trPr>
        <w:tc>
          <w:tcPr>
            <w:tcW w:w="2547" w:type="dxa"/>
          </w:tcPr>
          <w:p w14:paraId="067C5D4E" w14:textId="1706BBD4" w:rsidR="00687B72" w:rsidRPr="00DD05C5" w:rsidRDefault="00687B72" w:rsidP="00A22217">
            <w:pPr>
              <w:pStyle w:val="Tabletext"/>
              <w:spacing w:after="0"/>
              <w:rPr>
                <w:rFonts w:eastAsia="Calibri" w:cs="Arial"/>
                <w:szCs w:val="22"/>
                <w:lang w:val="en-GB"/>
              </w:rPr>
            </w:pPr>
            <w:r w:rsidRPr="00DD05C5">
              <w:rPr>
                <w:rFonts w:cs="Arial"/>
                <w:szCs w:val="22"/>
              </w:rPr>
              <w:t>Dipti Patel</w:t>
            </w:r>
          </w:p>
        </w:tc>
        <w:tc>
          <w:tcPr>
            <w:tcW w:w="6662" w:type="dxa"/>
          </w:tcPr>
          <w:p w14:paraId="53553074" w14:textId="78606A09" w:rsidR="00687B72" w:rsidRPr="00DD05C5" w:rsidRDefault="00687B72" w:rsidP="00A22217">
            <w:pPr>
              <w:pStyle w:val="Tabletext"/>
              <w:spacing w:after="0"/>
              <w:rPr>
                <w:rFonts w:eastAsia="Calibri" w:cs="Arial"/>
                <w:szCs w:val="22"/>
                <w:lang w:val="en-GB"/>
              </w:rPr>
            </w:pPr>
            <w:r w:rsidRPr="00DD05C5">
              <w:rPr>
                <w:rFonts w:cs="Arial"/>
                <w:szCs w:val="22"/>
              </w:rPr>
              <w:t xml:space="preserve">Local authority pharmacist </w:t>
            </w:r>
          </w:p>
        </w:tc>
      </w:tr>
      <w:tr w:rsidR="00687B72" w:rsidRPr="00DF77C7" w14:paraId="2441A89E" w14:textId="77777777" w:rsidTr="00A22217">
        <w:trPr>
          <w:trHeight w:val="373"/>
        </w:trPr>
        <w:tc>
          <w:tcPr>
            <w:tcW w:w="2547" w:type="dxa"/>
          </w:tcPr>
          <w:p w14:paraId="7F6ABB2F" w14:textId="25D0DA0D" w:rsidR="00687B72" w:rsidRPr="00DD05C5" w:rsidRDefault="00687B72" w:rsidP="00A22217">
            <w:pPr>
              <w:pStyle w:val="Tabletext"/>
              <w:spacing w:after="0"/>
              <w:rPr>
                <w:rFonts w:cs="Arial"/>
                <w:szCs w:val="22"/>
                <w:lang w:val="en-GB"/>
              </w:rPr>
            </w:pPr>
            <w:r w:rsidRPr="00DD05C5">
              <w:rPr>
                <w:rFonts w:cs="Arial"/>
                <w:szCs w:val="22"/>
              </w:rPr>
              <w:t xml:space="preserve">Hasan Mirza </w:t>
            </w:r>
          </w:p>
        </w:tc>
        <w:tc>
          <w:tcPr>
            <w:tcW w:w="6662" w:type="dxa"/>
          </w:tcPr>
          <w:p w14:paraId="3C9BFAE0" w14:textId="5849E516" w:rsidR="00687B72" w:rsidRPr="00DD05C5" w:rsidRDefault="00687B72" w:rsidP="00A22217">
            <w:pPr>
              <w:pStyle w:val="Tabletext"/>
              <w:spacing w:after="0"/>
              <w:rPr>
                <w:rFonts w:cs="Arial"/>
                <w:szCs w:val="22"/>
                <w:lang w:val="en-GB"/>
              </w:rPr>
            </w:pPr>
            <w:proofErr w:type="spellStart"/>
            <w:r w:rsidRPr="00DD05C5">
              <w:rPr>
                <w:rFonts w:cs="Arial"/>
                <w:szCs w:val="22"/>
              </w:rPr>
              <w:t>PrEP</w:t>
            </w:r>
            <w:proofErr w:type="spellEnd"/>
            <w:r w:rsidRPr="00DD05C5">
              <w:rPr>
                <w:rFonts w:cs="Arial"/>
                <w:szCs w:val="22"/>
              </w:rPr>
              <w:t xml:space="preserve"> and Sexual Health Pharmacist, Barts Health NHS Trust</w:t>
            </w:r>
          </w:p>
        </w:tc>
      </w:tr>
      <w:tr w:rsidR="00687B72" w:rsidRPr="00DF77C7" w14:paraId="0E576D53" w14:textId="77777777" w:rsidTr="00A22217">
        <w:trPr>
          <w:trHeight w:val="453"/>
        </w:trPr>
        <w:tc>
          <w:tcPr>
            <w:tcW w:w="2547" w:type="dxa"/>
          </w:tcPr>
          <w:p w14:paraId="05EE8281" w14:textId="25E657F5" w:rsidR="00687B72" w:rsidRPr="00DD05C5" w:rsidRDefault="00687B72" w:rsidP="00A22217">
            <w:pPr>
              <w:pStyle w:val="Tabletext"/>
              <w:spacing w:after="0"/>
              <w:rPr>
                <w:rFonts w:cs="Arial"/>
                <w:szCs w:val="22"/>
                <w:lang w:val="en-GB"/>
              </w:rPr>
            </w:pPr>
            <w:r w:rsidRPr="00DD05C5">
              <w:rPr>
                <w:rFonts w:cs="Arial"/>
                <w:szCs w:val="22"/>
              </w:rPr>
              <w:t xml:space="preserve">Jo Jenkins </w:t>
            </w:r>
          </w:p>
        </w:tc>
        <w:tc>
          <w:tcPr>
            <w:tcW w:w="6662" w:type="dxa"/>
          </w:tcPr>
          <w:p w14:paraId="2A113ED2" w14:textId="10C9191D" w:rsidR="00687B72" w:rsidRPr="00DD05C5" w:rsidRDefault="00687B72" w:rsidP="00A22217">
            <w:pPr>
              <w:pStyle w:val="Tabletext"/>
              <w:spacing w:after="0"/>
              <w:rPr>
                <w:rFonts w:cs="Arial"/>
                <w:szCs w:val="22"/>
                <w:lang w:val="en-GB"/>
              </w:rPr>
            </w:pPr>
            <w:r w:rsidRPr="00DD05C5">
              <w:rPr>
                <w:rFonts w:cs="Arial"/>
                <w:szCs w:val="22"/>
              </w:rPr>
              <w:t>Associate Director – Medicines Governance, Medicines Use and Safety Division, Specialist Pharmacy Service</w:t>
            </w:r>
          </w:p>
        </w:tc>
      </w:tr>
      <w:tr w:rsidR="00687B72" w:rsidRPr="00DF77C7" w14:paraId="06658BE4" w14:textId="77777777" w:rsidTr="00A22217">
        <w:trPr>
          <w:trHeight w:val="539"/>
        </w:trPr>
        <w:tc>
          <w:tcPr>
            <w:tcW w:w="2547" w:type="dxa"/>
          </w:tcPr>
          <w:p w14:paraId="4B09C5EB" w14:textId="0DD52F7A" w:rsidR="00687B72" w:rsidRPr="00DD05C5" w:rsidRDefault="00687B72" w:rsidP="00A22217">
            <w:pPr>
              <w:pStyle w:val="Tabletext"/>
              <w:spacing w:after="0"/>
              <w:rPr>
                <w:rFonts w:cs="Arial"/>
                <w:szCs w:val="22"/>
                <w:lang w:val="en-GB"/>
              </w:rPr>
            </w:pPr>
            <w:r w:rsidRPr="00DD05C5">
              <w:rPr>
                <w:rFonts w:cs="Arial"/>
                <w:szCs w:val="22"/>
              </w:rPr>
              <w:t>Jodie Crossman</w:t>
            </w:r>
          </w:p>
        </w:tc>
        <w:tc>
          <w:tcPr>
            <w:tcW w:w="6662" w:type="dxa"/>
          </w:tcPr>
          <w:p w14:paraId="50FAAE1F" w14:textId="468B08CD" w:rsidR="00687B72" w:rsidRPr="00DD05C5" w:rsidRDefault="00687B72" w:rsidP="00A22217">
            <w:pPr>
              <w:pStyle w:val="Tabletext"/>
              <w:spacing w:after="0"/>
              <w:rPr>
                <w:rFonts w:cs="Arial"/>
                <w:szCs w:val="22"/>
                <w:lang w:val="en-GB"/>
              </w:rPr>
            </w:pPr>
            <w:r w:rsidRPr="00DD05C5">
              <w:rPr>
                <w:rFonts w:cs="Arial"/>
                <w:szCs w:val="22"/>
              </w:rPr>
              <w:t>Clinical Nurse Specialist, BASHH Nurse representative, STI Foundation Chair</w:t>
            </w:r>
          </w:p>
        </w:tc>
      </w:tr>
      <w:tr w:rsidR="00687B72" w:rsidRPr="00DF77C7" w14:paraId="3803C8B9" w14:textId="77777777" w:rsidTr="00A22217">
        <w:trPr>
          <w:trHeight w:val="412"/>
        </w:trPr>
        <w:tc>
          <w:tcPr>
            <w:tcW w:w="2547" w:type="dxa"/>
          </w:tcPr>
          <w:p w14:paraId="00B466E6" w14:textId="5EDD8420" w:rsidR="00687B72" w:rsidRPr="00DD05C5" w:rsidRDefault="00687B72" w:rsidP="00A22217">
            <w:pPr>
              <w:pStyle w:val="Tabletext"/>
              <w:spacing w:after="0"/>
              <w:rPr>
                <w:rFonts w:cs="Arial"/>
                <w:szCs w:val="22"/>
                <w:lang w:val="en-GB"/>
              </w:rPr>
            </w:pPr>
            <w:r w:rsidRPr="00DD05C5">
              <w:rPr>
                <w:rFonts w:cs="Arial"/>
                <w:szCs w:val="22"/>
              </w:rPr>
              <w:t xml:space="preserve">Dr John Saunders </w:t>
            </w:r>
          </w:p>
        </w:tc>
        <w:tc>
          <w:tcPr>
            <w:tcW w:w="6662" w:type="dxa"/>
          </w:tcPr>
          <w:p w14:paraId="52BB571F" w14:textId="7322AFCA" w:rsidR="00687B72" w:rsidRPr="00DD05C5" w:rsidRDefault="00687B72" w:rsidP="00A22217">
            <w:pPr>
              <w:pStyle w:val="Tabletext"/>
              <w:spacing w:after="0"/>
              <w:rPr>
                <w:rFonts w:cs="Arial"/>
                <w:szCs w:val="22"/>
                <w:lang w:val="en-GB"/>
              </w:rPr>
            </w:pPr>
            <w:r w:rsidRPr="00DD05C5">
              <w:rPr>
                <w:rFonts w:cs="Arial"/>
                <w:szCs w:val="22"/>
              </w:rPr>
              <w:t>Consultant in Sexual Health and HIV</w:t>
            </w:r>
          </w:p>
        </w:tc>
      </w:tr>
      <w:tr w:rsidR="00687B72" w:rsidRPr="00DF77C7" w14:paraId="2099D9F1" w14:textId="77777777" w:rsidTr="00E143B0">
        <w:trPr>
          <w:trHeight w:val="386"/>
        </w:trPr>
        <w:tc>
          <w:tcPr>
            <w:tcW w:w="2547" w:type="dxa"/>
          </w:tcPr>
          <w:p w14:paraId="784A3A8D" w14:textId="14BED55E" w:rsidR="00687B72" w:rsidRPr="00DD05C5" w:rsidRDefault="00687B72" w:rsidP="00A22217">
            <w:pPr>
              <w:pStyle w:val="Tabletext"/>
              <w:spacing w:after="0"/>
              <w:rPr>
                <w:rFonts w:cs="Arial"/>
                <w:szCs w:val="22"/>
                <w:lang w:val="en-GB"/>
              </w:rPr>
            </w:pPr>
            <w:r w:rsidRPr="00DD05C5">
              <w:rPr>
                <w:rFonts w:cs="Arial"/>
                <w:szCs w:val="22"/>
              </w:rPr>
              <w:t>Jonathan O'Sullivan</w:t>
            </w:r>
          </w:p>
        </w:tc>
        <w:tc>
          <w:tcPr>
            <w:tcW w:w="6662" w:type="dxa"/>
          </w:tcPr>
          <w:p w14:paraId="0B5D7B8A" w14:textId="780C29B9" w:rsidR="00687B72" w:rsidRPr="00DD05C5" w:rsidRDefault="00687B72" w:rsidP="00A22217">
            <w:pPr>
              <w:pStyle w:val="Tabletext"/>
              <w:spacing w:after="0"/>
              <w:rPr>
                <w:rFonts w:cs="Arial"/>
                <w:szCs w:val="22"/>
                <w:lang w:val="en-GB"/>
              </w:rPr>
            </w:pPr>
            <w:r w:rsidRPr="00DD05C5">
              <w:rPr>
                <w:rFonts w:cs="Arial"/>
                <w:szCs w:val="22"/>
              </w:rPr>
              <w:t xml:space="preserve">Commissioner </w:t>
            </w:r>
          </w:p>
        </w:tc>
      </w:tr>
      <w:tr w:rsidR="00687B72" w:rsidRPr="00DF77C7" w14:paraId="4C01E258" w14:textId="77777777" w:rsidTr="00A22217">
        <w:trPr>
          <w:trHeight w:val="503"/>
        </w:trPr>
        <w:tc>
          <w:tcPr>
            <w:tcW w:w="2547" w:type="dxa"/>
          </w:tcPr>
          <w:p w14:paraId="494AA640" w14:textId="05A98F5A" w:rsidR="00687B72" w:rsidRPr="00DD05C5" w:rsidRDefault="00687B72" w:rsidP="00A22217">
            <w:pPr>
              <w:pStyle w:val="Tabletext"/>
              <w:spacing w:after="0"/>
              <w:rPr>
                <w:rFonts w:eastAsia="Calibri" w:cs="Arial"/>
                <w:szCs w:val="22"/>
                <w:lang w:val="en-GB"/>
              </w:rPr>
            </w:pPr>
            <w:r w:rsidRPr="00DD05C5">
              <w:rPr>
                <w:rFonts w:cs="Arial"/>
                <w:szCs w:val="22"/>
              </w:rPr>
              <w:t>Kieran Reynolds (Working Group Coordinator)</w:t>
            </w:r>
          </w:p>
        </w:tc>
        <w:tc>
          <w:tcPr>
            <w:tcW w:w="6662" w:type="dxa"/>
          </w:tcPr>
          <w:p w14:paraId="4FD8CBD4" w14:textId="54ED2DF6" w:rsidR="00687B72" w:rsidRPr="00DD05C5" w:rsidRDefault="00687B72" w:rsidP="00A22217">
            <w:pPr>
              <w:pStyle w:val="Tabletext"/>
              <w:spacing w:after="0"/>
              <w:rPr>
                <w:rFonts w:eastAsia="Calibri" w:cs="Arial"/>
                <w:szCs w:val="22"/>
                <w:lang w:val="en-GB"/>
              </w:rPr>
            </w:pPr>
            <w:r w:rsidRPr="00DD05C5">
              <w:rPr>
                <w:rFonts w:cs="Arial"/>
                <w:szCs w:val="22"/>
              </w:rPr>
              <w:t xml:space="preserve">Advanced Specialist Pharmacist – Medicines Governance, Medicines Use and Safety, Specialist Pharmacy Service </w:t>
            </w:r>
          </w:p>
        </w:tc>
      </w:tr>
      <w:tr w:rsidR="00687B72" w:rsidRPr="00DF77C7" w14:paraId="69FDDB9F" w14:textId="77777777" w:rsidTr="00A22217">
        <w:trPr>
          <w:trHeight w:val="490"/>
        </w:trPr>
        <w:tc>
          <w:tcPr>
            <w:tcW w:w="2547" w:type="dxa"/>
          </w:tcPr>
          <w:p w14:paraId="7F553184" w14:textId="2A090E09" w:rsidR="00687B72" w:rsidRPr="00DD05C5" w:rsidRDefault="00687B72" w:rsidP="00A22217">
            <w:pPr>
              <w:pStyle w:val="Tabletext"/>
              <w:spacing w:after="0"/>
              <w:rPr>
                <w:rFonts w:eastAsia="Calibri"/>
                <w:szCs w:val="22"/>
                <w:lang w:val="en-GB"/>
              </w:rPr>
            </w:pPr>
            <w:r w:rsidRPr="00DD05C5">
              <w:rPr>
                <w:rFonts w:cs="Arial"/>
                <w:szCs w:val="22"/>
              </w:rPr>
              <w:t>Dr Killian Quinn</w:t>
            </w:r>
          </w:p>
        </w:tc>
        <w:tc>
          <w:tcPr>
            <w:tcW w:w="6662" w:type="dxa"/>
            <w:vAlign w:val="center"/>
          </w:tcPr>
          <w:p w14:paraId="02599635" w14:textId="386C36AD" w:rsidR="00687B72" w:rsidRPr="00DD05C5" w:rsidRDefault="00687B72" w:rsidP="00A22217">
            <w:pPr>
              <w:pStyle w:val="Tabletext"/>
              <w:spacing w:after="0"/>
              <w:rPr>
                <w:rFonts w:eastAsia="Calibri"/>
                <w:szCs w:val="22"/>
                <w:lang w:val="en-GB"/>
              </w:rPr>
            </w:pPr>
            <w:r w:rsidRPr="00DD05C5">
              <w:rPr>
                <w:rFonts w:cs="Arial"/>
                <w:szCs w:val="22"/>
              </w:rPr>
              <w:t>Consultant in Sexual Health, HIV, Internal Medicine, King’s College Hospital NHS Foundation Trust</w:t>
            </w:r>
          </w:p>
        </w:tc>
      </w:tr>
      <w:tr w:rsidR="00687B72" w:rsidRPr="00DF77C7" w14:paraId="1521C102" w14:textId="77777777" w:rsidTr="00E143B0">
        <w:trPr>
          <w:trHeight w:val="374"/>
        </w:trPr>
        <w:tc>
          <w:tcPr>
            <w:tcW w:w="2547" w:type="dxa"/>
          </w:tcPr>
          <w:p w14:paraId="6BE61AA6" w14:textId="70277744" w:rsidR="00687B72" w:rsidRPr="00DD05C5" w:rsidRDefault="00687B72" w:rsidP="00A22217">
            <w:pPr>
              <w:pStyle w:val="Tabletext"/>
              <w:spacing w:after="0"/>
              <w:rPr>
                <w:szCs w:val="22"/>
              </w:rPr>
            </w:pPr>
            <w:r w:rsidRPr="00DD05C5">
              <w:rPr>
                <w:rFonts w:cs="Arial"/>
                <w:szCs w:val="22"/>
              </w:rPr>
              <w:t>Martin Murchie</w:t>
            </w:r>
          </w:p>
        </w:tc>
        <w:tc>
          <w:tcPr>
            <w:tcW w:w="6662" w:type="dxa"/>
          </w:tcPr>
          <w:p w14:paraId="75994CBC" w14:textId="35174DC9" w:rsidR="00687B72" w:rsidRPr="00DD05C5" w:rsidRDefault="00687B72" w:rsidP="00A22217">
            <w:pPr>
              <w:pStyle w:val="Tabletext"/>
              <w:spacing w:after="0"/>
              <w:rPr>
                <w:szCs w:val="22"/>
              </w:rPr>
            </w:pPr>
            <w:r w:rsidRPr="00DD05C5">
              <w:rPr>
                <w:rFonts w:cs="Arial"/>
                <w:szCs w:val="22"/>
              </w:rPr>
              <w:t>Sexual Health Adviser</w:t>
            </w:r>
          </w:p>
        </w:tc>
      </w:tr>
      <w:tr w:rsidR="00687B72" w:rsidRPr="00DF77C7" w14:paraId="749C3D51" w14:textId="77777777" w:rsidTr="00A22217">
        <w:trPr>
          <w:trHeight w:val="396"/>
        </w:trPr>
        <w:tc>
          <w:tcPr>
            <w:tcW w:w="2547" w:type="dxa"/>
          </w:tcPr>
          <w:p w14:paraId="70111EF9" w14:textId="5A0FE904" w:rsidR="00687B72" w:rsidRPr="00DD05C5" w:rsidRDefault="00687B72" w:rsidP="00A22217">
            <w:pPr>
              <w:pStyle w:val="Tabletext"/>
              <w:spacing w:after="0"/>
              <w:rPr>
                <w:szCs w:val="22"/>
              </w:rPr>
            </w:pPr>
            <w:r w:rsidRPr="00DD05C5">
              <w:rPr>
                <w:rFonts w:cs="Arial"/>
                <w:szCs w:val="22"/>
              </w:rPr>
              <w:t>Dr Michael Brady</w:t>
            </w:r>
          </w:p>
        </w:tc>
        <w:tc>
          <w:tcPr>
            <w:tcW w:w="6662" w:type="dxa"/>
            <w:vAlign w:val="center"/>
          </w:tcPr>
          <w:p w14:paraId="5BDE2773" w14:textId="2F6B25DB" w:rsidR="00687B72" w:rsidRPr="00DD05C5" w:rsidRDefault="00687B72" w:rsidP="00A22217">
            <w:pPr>
              <w:pStyle w:val="Tabletext"/>
              <w:spacing w:after="0"/>
              <w:rPr>
                <w:szCs w:val="22"/>
              </w:rPr>
            </w:pPr>
            <w:r w:rsidRPr="00DD05C5">
              <w:rPr>
                <w:rFonts w:cs="Arial"/>
                <w:szCs w:val="22"/>
              </w:rPr>
              <w:t>Consultant in HIV and Sexual Health, King’s College Hospital, NHSE National Advisor for LGBT health</w:t>
            </w:r>
          </w:p>
        </w:tc>
      </w:tr>
      <w:tr w:rsidR="00687B72" w:rsidRPr="00DF77C7" w14:paraId="0FFEA69D" w14:textId="77777777" w:rsidTr="00A22217">
        <w:trPr>
          <w:trHeight w:val="559"/>
        </w:trPr>
        <w:tc>
          <w:tcPr>
            <w:tcW w:w="2547" w:type="dxa"/>
          </w:tcPr>
          <w:p w14:paraId="6BE2BE52" w14:textId="4FCA345E" w:rsidR="00687B72" w:rsidRPr="00DD05C5" w:rsidRDefault="00687B72" w:rsidP="00A22217">
            <w:pPr>
              <w:rPr>
                <w:rFonts w:ascii="Arial" w:hAnsi="Arial" w:cs="Arial"/>
                <w:sz w:val="22"/>
                <w:szCs w:val="22"/>
              </w:rPr>
            </w:pPr>
            <w:r w:rsidRPr="00DD05C5">
              <w:rPr>
                <w:rFonts w:ascii="Arial" w:hAnsi="Arial" w:cs="Arial"/>
                <w:sz w:val="22"/>
                <w:szCs w:val="22"/>
              </w:rPr>
              <w:t>Michelle Jenkins</w:t>
            </w:r>
          </w:p>
        </w:tc>
        <w:tc>
          <w:tcPr>
            <w:tcW w:w="6662" w:type="dxa"/>
          </w:tcPr>
          <w:p w14:paraId="74AC45CC" w14:textId="2FFF34DB" w:rsidR="00687B72" w:rsidRPr="00DD05C5" w:rsidRDefault="00687B72" w:rsidP="00A22217">
            <w:pPr>
              <w:rPr>
                <w:rFonts w:ascii="Arial" w:hAnsi="Arial" w:cs="Arial"/>
                <w:sz w:val="22"/>
                <w:szCs w:val="22"/>
              </w:rPr>
            </w:pPr>
            <w:r w:rsidRPr="00DD05C5">
              <w:rPr>
                <w:rFonts w:ascii="Arial" w:hAnsi="Arial" w:cs="Arial"/>
                <w:sz w:val="22"/>
                <w:szCs w:val="22"/>
              </w:rPr>
              <w:t>Advanced Nurse Practitioner, Clinical Standards Committee</w:t>
            </w:r>
            <w:r w:rsidR="00E170C1" w:rsidRPr="00DD05C5">
              <w:rPr>
                <w:rFonts w:ascii="Arial" w:hAnsi="Arial" w:cs="Arial"/>
                <w:sz w:val="22"/>
                <w:szCs w:val="22"/>
              </w:rPr>
              <w:t>, The College of Sexual and Reproductive Healthcare (</w:t>
            </w:r>
            <w:proofErr w:type="spellStart"/>
            <w:r w:rsidR="00E170C1" w:rsidRPr="00DD05C5">
              <w:rPr>
                <w:rFonts w:ascii="Arial" w:hAnsi="Arial" w:cs="Arial"/>
                <w:sz w:val="22"/>
                <w:szCs w:val="22"/>
              </w:rPr>
              <w:t>CoSRH</w:t>
            </w:r>
            <w:proofErr w:type="spellEnd"/>
            <w:r w:rsidR="00E170C1" w:rsidRPr="00DD05C5">
              <w:rPr>
                <w:rFonts w:ascii="Arial" w:hAnsi="Arial" w:cs="Arial"/>
                <w:sz w:val="22"/>
                <w:szCs w:val="22"/>
              </w:rPr>
              <w:t>)</w:t>
            </w:r>
          </w:p>
        </w:tc>
      </w:tr>
      <w:tr w:rsidR="00687B72" w:rsidRPr="00DF77C7" w14:paraId="789D0F32" w14:textId="77777777" w:rsidTr="00A22217">
        <w:trPr>
          <w:trHeight w:val="261"/>
        </w:trPr>
        <w:tc>
          <w:tcPr>
            <w:tcW w:w="2547" w:type="dxa"/>
          </w:tcPr>
          <w:p w14:paraId="34BBC611" w14:textId="542196B7" w:rsidR="00687B72" w:rsidRPr="00DD05C5" w:rsidRDefault="00687B72" w:rsidP="00A22217">
            <w:pPr>
              <w:pStyle w:val="Tabletext"/>
              <w:spacing w:after="0"/>
              <w:rPr>
                <w:szCs w:val="22"/>
              </w:rPr>
            </w:pPr>
            <w:r w:rsidRPr="00DD05C5">
              <w:rPr>
                <w:rFonts w:cs="Arial"/>
                <w:szCs w:val="22"/>
              </w:rPr>
              <w:t>Nadia</w:t>
            </w:r>
            <w:r w:rsidRPr="00DD05C5">
              <w:rPr>
                <w:szCs w:val="22"/>
              </w:rPr>
              <w:t xml:space="preserve"> </w:t>
            </w:r>
            <w:proofErr w:type="spellStart"/>
            <w:r w:rsidRPr="00DD05C5">
              <w:rPr>
                <w:rFonts w:cs="Arial"/>
                <w:szCs w:val="22"/>
              </w:rPr>
              <w:t>Naous</w:t>
            </w:r>
            <w:proofErr w:type="spellEnd"/>
          </w:p>
        </w:tc>
        <w:tc>
          <w:tcPr>
            <w:tcW w:w="6662" w:type="dxa"/>
          </w:tcPr>
          <w:p w14:paraId="22AA416F" w14:textId="279FD481" w:rsidR="00687B72" w:rsidRPr="00DD05C5" w:rsidRDefault="00687B72" w:rsidP="00A22217">
            <w:pPr>
              <w:pStyle w:val="Tabletext"/>
              <w:spacing w:after="0"/>
              <w:rPr>
                <w:szCs w:val="22"/>
              </w:rPr>
            </w:pPr>
            <w:r w:rsidRPr="00DD05C5">
              <w:rPr>
                <w:rFonts w:cs="Arial"/>
                <w:szCs w:val="22"/>
              </w:rPr>
              <w:t>Pharmacist, Chelsea and Westminster NHS Foundation Trust</w:t>
            </w:r>
          </w:p>
        </w:tc>
      </w:tr>
      <w:tr w:rsidR="00687B72" w:rsidRPr="00DF77C7" w14:paraId="428F483B" w14:textId="77777777" w:rsidTr="00A22217">
        <w:trPr>
          <w:trHeight w:val="281"/>
        </w:trPr>
        <w:tc>
          <w:tcPr>
            <w:tcW w:w="2547" w:type="dxa"/>
          </w:tcPr>
          <w:p w14:paraId="0A713BB8" w14:textId="39A83387" w:rsidR="00687B72" w:rsidRPr="00DD05C5" w:rsidRDefault="00687B72" w:rsidP="00A22217">
            <w:pPr>
              <w:pStyle w:val="Tabletext"/>
              <w:spacing w:after="0"/>
              <w:rPr>
                <w:szCs w:val="22"/>
              </w:rPr>
            </w:pPr>
            <w:r w:rsidRPr="00DD05C5">
              <w:rPr>
                <w:rFonts w:cs="Arial"/>
                <w:szCs w:val="22"/>
              </w:rPr>
              <w:lastRenderedPageBreak/>
              <w:t>Odelia Eke</w:t>
            </w:r>
          </w:p>
        </w:tc>
        <w:tc>
          <w:tcPr>
            <w:tcW w:w="6662" w:type="dxa"/>
            <w:vAlign w:val="center"/>
          </w:tcPr>
          <w:p w14:paraId="350CAE81" w14:textId="04CD93A5" w:rsidR="00687B72" w:rsidRPr="00DD05C5" w:rsidRDefault="00687B72" w:rsidP="00A22217">
            <w:pPr>
              <w:pStyle w:val="Tabletext"/>
              <w:spacing w:after="0"/>
              <w:rPr>
                <w:szCs w:val="22"/>
              </w:rPr>
            </w:pPr>
            <w:r w:rsidRPr="00DD05C5">
              <w:rPr>
                <w:rFonts w:cs="Arial"/>
                <w:szCs w:val="22"/>
              </w:rPr>
              <w:t xml:space="preserve">Pharmacist, NHSE </w:t>
            </w:r>
            <w:proofErr w:type="spellStart"/>
            <w:r w:rsidRPr="00DD05C5">
              <w:rPr>
                <w:rFonts w:cs="Arial"/>
                <w:szCs w:val="22"/>
              </w:rPr>
              <w:t>Specialised</w:t>
            </w:r>
            <w:proofErr w:type="spellEnd"/>
            <w:r w:rsidRPr="00DD05C5">
              <w:rPr>
                <w:rFonts w:cs="Arial"/>
                <w:szCs w:val="22"/>
              </w:rPr>
              <w:t xml:space="preserve"> Commissioning</w:t>
            </w:r>
          </w:p>
        </w:tc>
      </w:tr>
      <w:tr w:rsidR="00687B72" w:rsidRPr="00DF77C7" w14:paraId="0A905A35" w14:textId="77777777" w:rsidTr="00A22217">
        <w:trPr>
          <w:trHeight w:val="414"/>
        </w:trPr>
        <w:tc>
          <w:tcPr>
            <w:tcW w:w="2547" w:type="dxa"/>
          </w:tcPr>
          <w:p w14:paraId="6023606E" w14:textId="6883D558" w:rsidR="00687B72" w:rsidRPr="00DD05C5" w:rsidRDefault="00687B72" w:rsidP="00A22217">
            <w:pPr>
              <w:pStyle w:val="Tabletext"/>
              <w:spacing w:after="0"/>
              <w:rPr>
                <w:szCs w:val="22"/>
              </w:rPr>
            </w:pPr>
            <w:r w:rsidRPr="00DD05C5">
              <w:rPr>
                <w:rFonts w:cs="Arial"/>
                <w:szCs w:val="22"/>
              </w:rPr>
              <w:t>Portia Jackson</w:t>
            </w:r>
          </w:p>
        </w:tc>
        <w:tc>
          <w:tcPr>
            <w:tcW w:w="6662" w:type="dxa"/>
          </w:tcPr>
          <w:p w14:paraId="48373F9E" w14:textId="249C75F9" w:rsidR="00687B72" w:rsidRPr="00DD05C5" w:rsidRDefault="00687B72" w:rsidP="00A22217">
            <w:pPr>
              <w:pStyle w:val="Tabletext"/>
              <w:spacing w:after="0"/>
              <w:rPr>
                <w:szCs w:val="22"/>
              </w:rPr>
            </w:pPr>
            <w:r w:rsidRPr="00DD05C5">
              <w:rPr>
                <w:rFonts w:cs="Arial"/>
                <w:szCs w:val="22"/>
              </w:rPr>
              <w:t xml:space="preserve">Lead Pharmacist, </w:t>
            </w:r>
            <w:proofErr w:type="spellStart"/>
            <w:r w:rsidRPr="00DD05C5">
              <w:rPr>
                <w:rFonts w:cs="Arial"/>
                <w:szCs w:val="22"/>
              </w:rPr>
              <w:t>iCaSH</w:t>
            </w:r>
            <w:proofErr w:type="spellEnd"/>
          </w:p>
        </w:tc>
      </w:tr>
      <w:tr w:rsidR="00687B72" w:rsidRPr="00DF77C7" w14:paraId="38FDED2E" w14:textId="77777777" w:rsidTr="00A22217">
        <w:trPr>
          <w:trHeight w:val="575"/>
        </w:trPr>
        <w:tc>
          <w:tcPr>
            <w:tcW w:w="2547" w:type="dxa"/>
          </w:tcPr>
          <w:p w14:paraId="62FA992C" w14:textId="2166A59B" w:rsidR="00687B72" w:rsidRPr="00DD05C5" w:rsidRDefault="00687B72" w:rsidP="00A22217">
            <w:pPr>
              <w:pStyle w:val="Tabletext"/>
              <w:spacing w:after="0"/>
              <w:rPr>
                <w:szCs w:val="22"/>
              </w:rPr>
            </w:pPr>
            <w:r w:rsidRPr="00DD05C5">
              <w:rPr>
                <w:rFonts w:cs="Arial"/>
                <w:szCs w:val="22"/>
              </w:rPr>
              <w:t>Dr Rachael</w:t>
            </w:r>
            <w:r w:rsidRPr="00DD05C5">
              <w:rPr>
                <w:szCs w:val="22"/>
              </w:rPr>
              <w:t xml:space="preserve"> </w:t>
            </w:r>
            <w:r w:rsidRPr="00DD05C5">
              <w:rPr>
                <w:rFonts w:cs="Arial"/>
                <w:szCs w:val="22"/>
              </w:rPr>
              <w:t>Jones</w:t>
            </w:r>
          </w:p>
        </w:tc>
        <w:tc>
          <w:tcPr>
            <w:tcW w:w="6662" w:type="dxa"/>
          </w:tcPr>
          <w:p w14:paraId="42D3234C" w14:textId="79EBDE1B" w:rsidR="00687B72" w:rsidRPr="00DD05C5" w:rsidRDefault="00687B72" w:rsidP="00A22217">
            <w:pPr>
              <w:pStyle w:val="Tabletext"/>
              <w:spacing w:after="0"/>
              <w:rPr>
                <w:szCs w:val="22"/>
              </w:rPr>
            </w:pPr>
            <w:r w:rsidRPr="00DD05C5">
              <w:rPr>
                <w:rFonts w:cs="Arial"/>
                <w:szCs w:val="22"/>
              </w:rPr>
              <w:t>Consultant in HIV and Sexual Health, Chelsea and Westminster NHS Foundation Trust</w:t>
            </w:r>
          </w:p>
        </w:tc>
      </w:tr>
      <w:tr w:rsidR="00687B72" w:rsidRPr="00DF77C7" w14:paraId="1E82AC3E" w14:textId="77777777" w:rsidTr="00A22217">
        <w:trPr>
          <w:trHeight w:val="414"/>
        </w:trPr>
        <w:tc>
          <w:tcPr>
            <w:tcW w:w="2547" w:type="dxa"/>
          </w:tcPr>
          <w:p w14:paraId="4F8B55F7" w14:textId="68B4B7DA" w:rsidR="00687B72" w:rsidRPr="00DD05C5" w:rsidRDefault="00687B72" w:rsidP="00A22217">
            <w:pPr>
              <w:pStyle w:val="Tabletext"/>
              <w:spacing w:after="0"/>
              <w:rPr>
                <w:szCs w:val="22"/>
              </w:rPr>
            </w:pPr>
            <w:r w:rsidRPr="00DD05C5">
              <w:rPr>
                <w:rFonts w:cs="Arial"/>
                <w:szCs w:val="22"/>
              </w:rPr>
              <w:t>Dr Rita Browne</w:t>
            </w:r>
          </w:p>
        </w:tc>
        <w:tc>
          <w:tcPr>
            <w:tcW w:w="6662" w:type="dxa"/>
          </w:tcPr>
          <w:p w14:paraId="2F6DB342" w14:textId="77FE24BF" w:rsidR="00687B72" w:rsidRPr="00DD05C5" w:rsidRDefault="00687B72" w:rsidP="00A22217">
            <w:pPr>
              <w:pStyle w:val="Tabletext"/>
              <w:spacing w:after="0"/>
              <w:rPr>
                <w:szCs w:val="22"/>
              </w:rPr>
            </w:pPr>
            <w:r w:rsidRPr="00DD05C5">
              <w:rPr>
                <w:rFonts w:cs="Arial"/>
                <w:szCs w:val="22"/>
              </w:rPr>
              <w:t>Consultant in Sexual Health and HIV</w:t>
            </w:r>
          </w:p>
        </w:tc>
      </w:tr>
      <w:tr w:rsidR="00687B72" w:rsidRPr="00DF77C7" w14:paraId="0D921132" w14:textId="77777777" w:rsidTr="00A22217">
        <w:trPr>
          <w:trHeight w:val="532"/>
        </w:trPr>
        <w:tc>
          <w:tcPr>
            <w:tcW w:w="2547" w:type="dxa"/>
          </w:tcPr>
          <w:p w14:paraId="610DF433" w14:textId="6BD4AB92" w:rsidR="00687B72" w:rsidRPr="00DD05C5" w:rsidRDefault="00687B72" w:rsidP="00A22217">
            <w:pPr>
              <w:pStyle w:val="Tabletext"/>
              <w:spacing w:after="0"/>
              <w:rPr>
                <w:szCs w:val="22"/>
              </w:rPr>
            </w:pPr>
            <w:r w:rsidRPr="00DD05C5">
              <w:rPr>
                <w:rFonts w:cs="Arial"/>
                <w:szCs w:val="22"/>
              </w:rPr>
              <w:t>Stephanie Katiyar</w:t>
            </w:r>
          </w:p>
        </w:tc>
        <w:tc>
          <w:tcPr>
            <w:tcW w:w="6662" w:type="dxa"/>
          </w:tcPr>
          <w:p w14:paraId="6F5E3E89" w14:textId="58C6E75D" w:rsidR="00687B72" w:rsidRPr="00DD05C5" w:rsidRDefault="00687B72" w:rsidP="00A22217">
            <w:pPr>
              <w:pStyle w:val="Tabletext"/>
              <w:spacing w:after="0"/>
              <w:rPr>
                <w:szCs w:val="22"/>
              </w:rPr>
            </w:pPr>
            <w:proofErr w:type="spellStart"/>
            <w:r w:rsidRPr="00DD05C5">
              <w:rPr>
                <w:rFonts w:cs="Arial"/>
                <w:szCs w:val="22"/>
              </w:rPr>
              <w:t>PrEP</w:t>
            </w:r>
            <w:proofErr w:type="spellEnd"/>
            <w:r w:rsidRPr="00DD05C5">
              <w:rPr>
                <w:rFonts w:cs="Arial"/>
                <w:szCs w:val="22"/>
              </w:rPr>
              <w:t xml:space="preserve"> Lead and Sexual Health Pharmacist, Guy’s and St. Thomas’ NHS Foundation Trust</w:t>
            </w:r>
          </w:p>
        </w:tc>
      </w:tr>
      <w:tr w:rsidR="00687B72" w:rsidRPr="00DF77C7" w14:paraId="600D2D7F" w14:textId="77777777" w:rsidTr="00A22217">
        <w:trPr>
          <w:trHeight w:val="284"/>
        </w:trPr>
        <w:tc>
          <w:tcPr>
            <w:tcW w:w="2547" w:type="dxa"/>
          </w:tcPr>
          <w:p w14:paraId="087AEB67" w14:textId="61A6C734" w:rsidR="00687B72" w:rsidRPr="00DD05C5" w:rsidRDefault="00687B72" w:rsidP="00A22217">
            <w:pPr>
              <w:pStyle w:val="Tabletext"/>
              <w:spacing w:after="0"/>
              <w:rPr>
                <w:szCs w:val="22"/>
              </w:rPr>
            </w:pPr>
            <w:r w:rsidRPr="00DD05C5">
              <w:rPr>
                <w:rFonts w:cs="Arial"/>
                <w:szCs w:val="22"/>
              </w:rPr>
              <w:t>Tracy Rogers</w:t>
            </w:r>
          </w:p>
        </w:tc>
        <w:tc>
          <w:tcPr>
            <w:tcW w:w="6662" w:type="dxa"/>
          </w:tcPr>
          <w:p w14:paraId="6EA58C88" w14:textId="11AB2C44" w:rsidR="00687B72" w:rsidRPr="00DD05C5" w:rsidRDefault="00687B72" w:rsidP="00A22217">
            <w:pPr>
              <w:pStyle w:val="Tabletext"/>
              <w:spacing w:after="0"/>
              <w:rPr>
                <w:szCs w:val="22"/>
              </w:rPr>
            </w:pPr>
            <w:r w:rsidRPr="00DD05C5">
              <w:rPr>
                <w:rFonts w:cs="Arial"/>
                <w:szCs w:val="22"/>
              </w:rPr>
              <w:t>Director</w:t>
            </w:r>
            <w:r w:rsidR="00DD05C5" w:rsidRPr="00DD05C5">
              <w:rPr>
                <w:rFonts w:cs="Arial"/>
                <w:szCs w:val="22"/>
              </w:rPr>
              <w:t xml:space="preserve"> – </w:t>
            </w:r>
            <w:r w:rsidRPr="00DD05C5">
              <w:rPr>
                <w:rFonts w:cs="Arial"/>
                <w:szCs w:val="22"/>
              </w:rPr>
              <w:t xml:space="preserve">Medicines Use and Safety, Specialist Pharmacy Service </w:t>
            </w:r>
          </w:p>
        </w:tc>
      </w:tr>
    </w:tbl>
    <w:p w14:paraId="6AA55BD0" w14:textId="77777777" w:rsidR="00DD05C5" w:rsidRDefault="00DD05C5" w:rsidP="00105D58">
      <w:pPr>
        <w:pStyle w:val="Heading1"/>
        <w:rPr>
          <w:lang w:val="en"/>
        </w:rPr>
      </w:pPr>
    </w:p>
    <w:p w14:paraId="67AC132F" w14:textId="6ECDDD08" w:rsidR="00687B72" w:rsidRPr="00687B72" w:rsidRDefault="00687B72" w:rsidP="00105D58">
      <w:pPr>
        <w:pStyle w:val="Heading1"/>
        <w:rPr>
          <w:lang w:val="en"/>
        </w:rPr>
      </w:pPr>
      <w:r w:rsidRPr="00687B72">
        <w:rPr>
          <w:lang w:val="en"/>
        </w:rPr>
        <w:t>Glossary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105D58" w:rsidRPr="00105D58" w14:paraId="4E9FCFE7" w14:textId="77777777" w:rsidTr="00DD05C5">
        <w:tc>
          <w:tcPr>
            <w:tcW w:w="2547" w:type="dxa"/>
          </w:tcPr>
          <w:p w14:paraId="063C7B61" w14:textId="77777777" w:rsidR="00105D58" w:rsidRPr="00DD05C5" w:rsidRDefault="00105D58" w:rsidP="00105D58">
            <w:pPr>
              <w:pStyle w:val="Tabletext"/>
              <w:rPr>
                <w:rStyle w:val="TableHeaderColumn"/>
                <w:sz w:val="22"/>
                <w:szCs w:val="22"/>
              </w:rPr>
            </w:pPr>
            <w:r w:rsidRPr="00DD05C5">
              <w:rPr>
                <w:rStyle w:val="TableHeaderColumn"/>
                <w:sz w:val="22"/>
                <w:szCs w:val="22"/>
              </w:rPr>
              <w:t>HIV</w:t>
            </w:r>
          </w:p>
        </w:tc>
        <w:tc>
          <w:tcPr>
            <w:tcW w:w="6662" w:type="dxa"/>
          </w:tcPr>
          <w:p w14:paraId="5955E0D9" w14:textId="77777777" w:rsidR="00105D58" w:rsidRPr="00DD05C5" w:rsidRDefault="00105D58" w:rsidP="00105D58">
            <w:pPr>
              <w:pStyle w:val="Tabletext"/>
              <w:rPr>
                <w:szCs w:val="22"/>
              </w:rPr>
            </w:pPr>
            <w:r w:rsidRPr="00DD05C5">
              <w:rPr>
                <w:szCs w:val="22"/>
              </w:rPr>
              <w:t xml:space="preserve">Human Immunodeficiency Virus </w:t>
            </w:r>
          </w:p>
        </w:tc>
      </w:tr>
      <w:tr w:rsidR="00105D58" w:rsidRPr="00105D58" w14:paraId="5A966398" w14:textId="77777777" w:rsidTr="00DD05C5">
        <w:tc>
          <w:tcPr>
            <w:tcW w:w="2547" w:type="dxa"/>
          </w:tcPr>
          <w:p w14:paraId="63F7C069" w14:textId="77777777" w:rsidR="00105D58" w:rsidRPr="00DD05C5" w:rsidRDefault="00105D58" w:rsidP="00105D58">
            <w:pPr>
              <w:pStyle w:val="Tabletext"/>
              <w:rPr>
                <w:rStyle w:val="TableHeaderColumn"/>
                <w:sz w:val="22"/>
                <w:szCs w:val="22"/>
              </w:rPr>
            </w:pPr>
            <w:r w:rsidRPr="00DD05C5">
              <w:rPr>
                <w:rStyle w:val="TableHeaderColumn"/>
                <w:sz w:val="22"/>
                <w:szCs w:val="22"/>
              </w:rPr>
              <w:t>STI</w:t>
            </w:r>
          </w:p>
        </w:tc>
        <w:tc>
          <w:tcPr>
            <w:tcW w:w="6662" w:type="dxa"/>
          </w:tcPr>
          <w:p w14:paraId="329D60C6" w14:textId="77777777" w:rsidR="00105D58" w:rsidRPr="00DD05C5" w:rsidRDefault="00105D58" w:rsidP="00105D58">
            <w:pPr>
              <w:pStyle w:val="Tabletext"/>
              <w:rPr>
                <w:szCs w:val="22"/>
              </w:rPr>
            </w:pPr>
            <w:r w:rsidRPr="00DD05C5">
              <w:rPr>
                <w:szCs w:val="22"/>
              </w:rPr>
              <w:t xml:space="preserve">Sexually Transmitted Infection </w:t>
            </w:r>
          </w:p>
        </w:tc>
      </w:tr>
      <w:tr w:rsidR="00105D58" w:rsidRPr="00105D58" w14:paraId="58590A91" w14:textId="77777777" w:rsidTr="00DD05C5">
        <w:tc>
          <w:tcPr>
            <w:tcW w:w="2547" w:type="dxa"/>
          </w:tcPr>
          <w:p w14:paraId="5677ABFD" w14:textId="77777777" w:rsidR="00105D58" w:rsidRPr="00DD05C5" w:rsidRDefault="00105D58" w:rsidP="00105D58">
            <w:pPr>
              <w:pStyle w:val="Tabletext"/>
              <w:rPr>
                <w:rStyle w:val="TableHeaderColumn"/>
                <w:sz w:val="22"/>
                <w:szCs w:val="22"/>
              </w:rPr>
            </w:pPr>
            <w:r w:rsidRPr="00DD05C5">
              <w:rPr>
                <w:rStyle w:val="TableHeaderColumn"/>
                <w:sz w:val="22"/>
                <w:szCs w:val="22"/>
              </w:rPr>
              <w:t>eGFR</w:t>
            </w:r>
          </w:p>
        </w:tc>
        <w:tc>
          <w:tcPr>
            <w:tcW w:w="6662" w:type="dxa"/>
          </w:tcPr>
          <w:p w14:paraId="480DE6B8" w14:textId="77777777" w:rsidR="00105D58" w:rsidRPr="00DD05C5" w:rsidRDefault="00105D58" w:rsidP="00105D58">
            <w:pPr>
              <w:pStyle w:val="Tabletext"/>
              <w:rPr>
                <w:szCs w:val="22"/>
              </w:rPr>
            </w:pPr>
            <w:r w:rsidRPr="00DD05C5">
              <w:rPr>
                <w:szCs w:val="22"/>
              </w:rPr>
              <w:t xml:space="preserve">Estimated Glomerular Filtration Rate </w:t>
            </w:r>
          </w:p>
        </w:tc>
      </w:tr>
      <w:tr w:rsidR="00105D58" w:rsidRPr="00105D58" w14:paraId="21324415" w14:textId="77777777" w:rsidTr="00DD05C5">
        <w:tc>
          <w:tcPr>
            <w:tcW w:w="2547" w:type="dxa"/>
          </w:tcPr>
          <w:p w14:paraId="6AF741D4" w14:textId="77777777" w:rsidR="00105D58" w:rsidRPr="00DD05C5" w:rsidRDefault="00105D58" w:rsidP="00105D58">
            <w:pPr>
              <w:pStyle w:val="Tabletext"/>
              <w:rPr>
                <w:rStyle w:val="TableHeaderColumn"/>
                <w:sz w:val="22"/>
                <w:szCs w:val="22"/>
              </w:rPr>
            </w:pPr>
            <w:r w:rsidRPr="00DD05C5">
              <w:rPr>
                <w:rStyle w:val="TableHeaderColumn"/>
                <w:sz w:val="22"/>
                <w:szCs w:val="22"/>
              </w:rPr>
              <w:t>BHIVA</w:t>
            </w:r>
          </w:p>
        </w:tc>
        <w:tc>
          <w:tcPr>
            <w:tcW w:w="6662" w:type="dxa"/>
          </w:tcPr>
          <w:p w14:paraId="2AA54419" w14:textId="77777777" w:rsidR="00105D58" w:rsidRPr="00DD05C5" w:rsidRDefault="00105D58" w:rsidP="00105D58">
            <w:pPr>
              <w:pStyle w:val="Tabletext"/>
              <w:rPr>
                <w:szCs w:val="22"/>
              </w:rPr>
            </w:pPr>
            <w:r w:rsidRPr="00DD05C5">
              <w:rPr>
                <w:szCs w:val="22"/>
              </w:rPr>
              <w:t xml:space="preserve">British HIV Association </w:t>
            </w:r>
          </w:p>
        </w:tc>
      </w:tr>
      <w:tr w:rsidR="00105D58" w:rsidRPr="00105D58" w14:paraId="39982449" w14:textId="77777777" w:rsidTr="00DD05C5">
        <w:tc>
          <w:tcPr>
            <w:tcW w:w="2547" w:type="dxa"/>
          </w:tcPr>
          <w:p w14:paraId="206A9AAB" w14:textId="77777777" w:rsidR="00105D58" w:rsidRPr="00DD05C5" w:rsidRDefault="00105D58" w:rsidP="00105D58">
            <w:pPr>
              <w:pStyle w:val="Tabletext"/>
              <w:rPr>
                <w:rStyle w:val="TableHeaderColumn"/>
                <w:sz w:val="22"/>
                <w:szCs w:val="22"/>
              </w:rPr>
            </w:pPr>
            <w:r w:rsidRPr="00DD05C5">
              <w:rPr>
                <w:rStyle w:val="TableHeaderColumn"/>
                <w:sz w:val="22"/>
                <w:szCs w:val="22"/>
              </w:rPr>
              <w:t>BASHH</w:t>
            </w:r>
          </w:p>
        </w:tc>
        <w:tc>
          <w:tcPr>
            <w:tcW w:w="6662" w:type="dxa"/>
          </w:tcPr>
          <w:p w14:paraId="34BC5F13" w14:textId="77777777" w:rsidR="00105D58" w:rsidRPr="00DD05C5" w:rsidRDefault="00105D58" w:rsidP="00105D58">
            <w:pPr>
              <w:pStyle w:val="Tabletext"/>
              <w:rPr>
                <w:szCs w:val="22"/>
              </w:rPr>
            </w:pPr>
            <w:r w:rsidRPr="00DD05C5">
              <w:rPr>
                <w:szCs w:val="22"/>
              </w:rPr>
              <w:t xml:space="preserve">British Association for Sexual Health and HIV </w:t>
            </w:r>
          </w:p>
        </w:tc>
      </w:tr>
      <w:tr w:rsidR="00105D58" w:rsidRPr="00105D58" w14:paraId="1347B912" w14:textId="77777777" w:rsidTr="00DD05C5">
        <w:tc>
          <w:tcPr>
            <w:tcW w:w="2547" w:type="dxa"/>
          </w:tcPr>
          <w:p w14:paraId="1CB4C9D5" w14:textId="77777777" w:rsidR="00105D58" w:rsidRPr="00DD05C5" w:rsidRDefault="00105D58" w:rsidP="00105D58">
            <w:pPr>
              <w:pStyle w:val="Tabletext"/>
              <w:rPr>
                <w:rStyle w:val="TableHeaderColumn"/>
                <w:sz w:val="22"/>
                <w:szCs w:val="22"/>
              </w:rPr>
            </w:pPr>
            <w:r w:rsidRPr="00DD05C5">
              <w:rPr>
                <w:rStyle w:val="TableHeaderColumn"/>
                <w:sz w:val="22"/>
                <w:szCs w:val="22"/>
              </w:rPr>
              <w:t>RCN</w:t>
            </w:r>
          </w:p>
        </w:tc>
        <w:tc>
          <w:tcPr>
            <w:tcW w:w="6662" w:type="dxa"/>
          </w:tcPr>
          <w:p w14:paraId="5EAFA487" w14:textId="77777777" w:rsidR="00105D58" w:rsidRPr="00DD05C5" w:rsidRDefault="00105D58" w:rsidP="00105D58">
            <w:pPr>
              <w:pStyle w:val="Tabletext"/>
              <w:rPr>
                <w:szCs w:val="22"/>
              </w:rPr>
            </w:pPr>
            <w:r w:rsidRPr="00DD05C5">
              <w:rPr>
                <w:szCs w:val="22"/>
              </w:rPr>
              <w:t xml:space="preserve">Royal College of Nursing </w:t>
            </w:r>
          </w:p>
        </w:tc>
      </w:tr>
      <w:tr w:rsidR="00105D58" w:rsidRPr="00105D58" w14:paraId="452DC3D0" w14:textId="77777777" w:rsidTr="00DD05C5">
        <w:tc>
          <w:tcPr>
            <w:tcW w:w="2547" w:type="dxa"/>
          </w:tcPr>
          <w:p w14:paraId="41939BD7" w14:textId="77777777" w:rsidR="00105D58" w:rsidRPr="00DD05C5" w:rsidRDefault="00105D58" w:rsidP="00105D58">
            <w:pPr>
              <w:pStyle w:val="Tabletext"/>
              <w:rPr>
                <w:rStyle w:val="TableHeaderColumn"/>
                <w:sz w:val="22"/>
                <w:szCs w:val="22"/>
              </w:rPr>
            </w:pPr>
            <w:r w:rsidRPr="00DD05C5">
              <w:rPr>
                <w:rStyle w:val="TableHeaderColumn"/>
                <w:sz w:val="22"/>
                <w:szCs w:val="22"/>
              </w:rPr>
              <w:t>CPPE</w:t>
            </w:r>
          </w:p>
        </w:tc>
        <w:tc>
          <w:tcPr>
            <w:tcW w:w="6662" w:type="dxa"/>
          </w:tcPr>
          <w:p w14:paraId="56CE58B4" w14:textId="77777777" w:rsidR="00105D58" w:rsidRPr="00DD05C5" w:rsidRDefault="00105D58" w:rsidP="00105D58">
            <w:pPr>
              <w:pStyle w:val="Tabletext"/>
              <w:rPr>
                <w:szCs w:val="22"/>
              </w:rPr>
            </w:pPr>
            <w:r w:rsidRPr="00DD05C5">
              <w:rPr>
                <w:szCs w:val="22"/>
              </w:rPr>
              <w:t xml:space="preserve">Centre for Postgraduate Pharmacy Education </w:t>
            </w:r>
          </w:p>
        </w:tc>
      </w:tr>
      <w:tr w:rsidR="00105D58" w:rsidRPr="00105D58" w14:paraId="75F647AD" w14:textId="77777777" w:rsidTr="00DD05C5">
        <w:tc>
          <w:tcPr>
            <w:tcW w:w="2547" w:type="dxa"/>
          </w:tcPr>
          <w:p w14:paraId="07BDD4EA" w14:textId="77777777" w:rsidR="00105D58" w:rsidRPr="00DD05C5" w:rsidRDefault="00105D58" w:rsidP="00105D58">
            <w:pPr>
              <w:pStyle w:val="Tabletext"/>
              <w:rPr>
                <w:rStyle w:val="TableHeaderColumn"/>
                <w:sz w:val="22"/>
                <w:szCs w:val="22"/>
              </w:rPr>
            </w:pPr>
            <w:r w:rsidRPr="00DD05C5">
              <w:rPr>
                <w:rStyle w:val="TableHeaderColumn"/>
                <w:sz w:val="22"/>
                <w:szCs w:val="22"/>
              </w:rPr>
              <w:t>GBMSM</w:t>
            </w:r>
          </w:p>
        </w:tc>
        <w:tc>
          <w:tcPr>
            <w:tcW w:w="6662" w:type="dxa"/>
          </w:tcPr>
          <w:p w14:paraId="189DBA06" w14:textId="77777777" w:rsidR="00105D58" w:rsidRPr="00DD05C5" w:rsidRDefault="00105D58" w:rsidP="00105D58">
            <w:pPr>
              <w:pStyle w:val="Tabletext"/>
              <w:rPr>
                <w:szCs w:val="22"/>
              </w:rPr>
            </w:pPr>
            <w:r w:rsidRPr="00DD05C5">
              <w:rPr>
                <w:szCs w:val="22"/>
              </w:rPr>
              <w:t xml:space="preserve">Gay, bisexual and other men who have sex with men </w:t>
            </w:r>
          </w:p>
        </w:tc>
      </w:tr>
      <w:tr w:rsidR="00105D58" w:rsidRPr="00105D58" w14:paraId="230C81B8" w14:textId="77777777" w:rsidTr="00DD05C5">
        <w:tc>
          <w:tcPr>
            <w:tcW w:w="2547" w:type="dxa"/>
          </w:tcPr>
          <w:p w14:paraId="0428AD57" w14:textId="77777777" w:rsidR="00105D58" w:rsidRPr="00DD05C5" w:rsidRDefault="00105D58" w:rsidP="00105D58">
            <w:pPr>
              <w:pStyle w:val="Tabletext"/>
              <w:rPr>
                <w:rStyle w:val="TableHeaderColumn"/>
                <w:sz w:val="22"/>
                <w:szCs w:val="22"/>
              </w:rPr>
            </w:pPr>
            <w:r w:rsidRPr="00DD05C5">
              <w:rPr>
                <w:rStyle w:val="TableHeaderColumn"/>
                <w:sz w:val="22"/>
                <w:szCs w:val="22"/>
              </w:rPr>
              <w:t>POCT</w:t>
            </w:r>
          </w:p>
        </w:tc>
        <w:tc>
          <w:tcPr>
            <w:tcW w:w="6662" w:type="dxa"/>
          </w:tcPr>
          <w:p w14:paraId="278E8EE4" w14:textId="77777777" w:rsidR="00105D58" w:rsidRPr="00DD05C5" w:rsidRDefault="00105D58" w:rsidP="00105D58">
            <w:pPr>
              <w:pStyle w:val="Tabletext"/>
              <w:rPr>
                <w:szCs w:val="22"/>
              </w:rPr>
            </w:pPr>
            <w:r w:rsidRPr="00DD05C5">
              <w:rPr>
                <w:szCs w:val="22"/>
              </w:rPr>
              <w:t>Point of Care test</w:t>
            </w:r>
          </w:p>
        </w:tc>
      </w:tr>
      <w:tr w:rsidR="00105D58" w:rsidRPr="00105D58" w14:paraId="12EE856C" w14:textId="77777777" w:rsidTr="00DD05C5">
        <w:tc>
          <w:tcPr>
            <w:tcW w:w="2547" w:type="dxa"/>
          </w:tcPr>
          <w:p w14:paraId="31D92EDC" w14:textId="77777777" w:rsidR="00105D58" w:rsidRPr="00DD05C5" w:rsidRDefault="00105D58" w:rsidP="00105D58">
            <w:pPr>
              <w:pStyle w:val="Tabletext"/>
              <w:rPr>
                <w:rStyle w:val="TableHeaderColumn"/>
                <w:sz w:val="22"/>
                <w:szCs w:val="22"/>
              </w:rPr>
            </w:pPr>
            <w:r w:rsidRPr="00DD05C5">
              <w:rPr>
                <w:rStyle w:val="TableHeaderColumn"/>
                <w:sz w:val="22"/>
                <w:szCs w:val="22"/>
              </w:rPr>
              <w:t>POM</w:t>
            </w:r>
          </w:p>
        </w:tc>
        <w:tc>
          <w:tcPr>
            <w:tcW w:w="6662" w:type="dxa"/>
          </w:tcPr>
          <w:p w14:paraId="73E77E8B" w14:textId="77777777" w:rsidR="00105D58" w:rsidRPr="00DD05C5" w:rsidRDefault="00105D58" w:rsidP="00105D58">
            <w:pPr>
              <w:pStyle w:val="Tabletext"/>
              <w:rPr>
                <w:szCs w:val="22"/>
              </w:rPr>
            </w:pPr>
            <w:r w:rsidRPr="00DD05C5">
              <w:rPr>
                <w:szCs w:val="22"/>
              </w:rPr>
              <w:t>Prescription only medicine</w:t>
            </w:r>
          </w:p>
        </w:tc>
      </w:tr>
      <w:tr w:rsidR="00105D58" w:rsidRPr="00105D58" w14:paraId="48D88967" w14:textId="77777777" w:rsidTr="00DD05C5">
        <w:tc>
          <w:tcPr>
            <w:tcW w:w="2547" w:type="dxa"/>
          </w:tcPr>
          <w:p w14:paraId="63813B80" w14:textId="77777777" w:rsidR="00105D58" w:rsidRPr="00DD05C5" w:rsidRDefault="00105D58" w:rsidP="00105D58">
            <w:pPr>
              <w:pStyle w:val="Tabletext"/>
              <w:rPr>
                <w:rStyle w:val="TableHeaderColumn"/>
                <w:sz w:val="22"/>
                <w:szCs w:val="22"/>
              </w:rPr>
            </w:pPr>
            <w:proofErr w:type="spellStart"/>
            <w:r w:rsidRPr="00DD05C5">
              <w:rPr>
                <w:rStyle w:val="TableHeaderColumn"/>
                <w:sz w:val="22"/>
                <w:szCs w:val="22"/>
              </w:rPr>
              <w:t>PrEP</w:t>
            </w:r>
            <w:proofErr w:type="spellEnd"/>
          </w:p>
        </w:tc>
        <w:tc>
          <w:tcPr>
            <w:tcW w:w="6662" w:type="dxa"/>
          </w:tcPr>
          <w:p w14:paraId="6FD49156" w14:textId="77777777" w:rsidR="00105D58" w:rsidRPr="00DD05C5" w:rsidRDefault="00105D58" w:rsidP="00105D58">
            <w:pPr>
              <w:pStyle w:val="Tabletext"/>
              <w:rPr>
                <w:szCs w:val="22"/>
              </w:rPr>
            </w:pPr>
            <w:r w:rsidRPr="00DD05C5">
              <w:rPr>
                <w:szCs w:val="22"/>
              </w:rPr>
              <w:t>Pre-exposure prophylaxis</w:t>
            </w:r>
          </w:p>
        </w:tc>
      </w:tr>
      <w:tr w:rsidR="00DD05C5" w:rsidRPr="00105D58" w14:paraId="066036A1" w14:textId="77777777" w:rsidTr="00DD05C5">
        <w:tc>
          <w:tcPr>
            <w:tcW w:w="2547" w:type="dxa"/>
          </w:tcPr>
          <w:p w14:paraId="7371DCD7" w14:textId="6817C94D" w:rsidR="00DD05C5" w:rsidRPr="00DD05C5" w:rsidRDefault="00DD05C5" w:rsidP="00105D58">
            <w:pPr>
              <w:pStyle w:val="Tabletext"/>
              <w:rPr>
                <w:rStyle w:val="TableHeaderColumn"/>
                <w:sz w:val="22"/>
                <w:szCs w:val="22"/>
              </w:rPr>
            </w:pPr>
            <w:r w:rsidRPr="00DD05C5">
              <w:rPr>
                <w:rStyle w:val="TableHeaderColumn"/>
                <w:sz w:val="22"/>
                <w:szCs w:val="22"/>
              </w:rPr>
              <w:t>TAF-FTC</w:t>
            </w:r>
          </w:p>
        </w:tc>
        <w:tc>
          <w:tcPr>
            <w:tcW w:w="6662" w:type="dxa"/>
          </w:tcPr>
          <w:p w14:paraId="72321518" w14:textId="51243BEF" w:rsidR="00DD05C5" w:rsidRPr="00DD05C5" w:rsidRDefault="00DD05C5" w:rsidP="00105D58">
            <w:pPr>
              <w:pStyle w:val="Tabletext"/>
              <w:rPr>
                <w:szCs w:val="22"/>
              </w:rPr>
            </w:pPr>
            <w:proofErr w:type="spellStart"/>
            <w:r w:rsidRPr="00DD05C5">
              <w:rPr>
                <w:szCs w:val="22"/>
              </w:rPr>
              <w:t>Tenfovir</w:t>
            </w:r>
            <w:proofErr w:type="spellEnd"/>
            <w:r w:rsidRPr="00DD05C5">
              <w:rPr>
                <w:szCs w:val="22"/>
              </w:rPr>
              <w:t xml:space="preserve"> alafenamide</w:t>
            </w:r>
            <w:r>
              <w:rPr>
                <w:szCs w:val="22"/>
              </w:rPr>
              <w:t xml:space="preserve"> fumarate</w:t>
            </w:r>
            <w:r w:rsidRPr="00DD05C5">
              <w:rPr>
                <w:szCs w:val="22"/>
              </w:rPr>
              <w:t>/emtricitabine</w:t>
            </w:r>
          </w:p>
        </w:tc>
      </w:tr>
      <w:tr w:rsidR="00105D58" w:rsidRPr="00105D58" w14:paraId="269DE1A9" w14:textId="77777777" w:rsidTr="00DD05C5">
        <w:tc>
          <w:tcPr>
            <w:tcW w:w="2547" w:type="dxa"/>
          </w:tcPr>
          <w:p w14:paraId="46BD555C" w14:textId="77777777" w:rsidR="00105D58" w:rsidRPr="00DD05C5" w:rsidRDefault="00105D58" w:rsidP="00105D58">
            <w:pPr>
              <w:pStyle w:val="Tabletext"/>
              <w:rPr>
                <w:rStyle w:val="TableHeaderColumn"/>
                <w:sz w:val="22"/>
                <w:szCs w:val="22"/>
              </w:rPr>
            </w:pPr>
            <w:r w:rsidRPr="00DD05C5">
              <w:rPr>
                <w:rStyle w:val="TableHeaderColumn"/>
                <w:sz w:val="22"/>
                <w:szCs w:val="22"/>
              </w:rPr>
              <w:t>TD-FTC</w:t>
            </w:r>
          </w:p>
        </w:tc>
        <w:tc>
          <w:tcPr>
            <w:tcW w:w="6662" w:type="dxa"/>
          </w:tcPr>
          <w:p w14:paraId="68808C93" w14:textId="77777777" w:rsidR="00105D58" w:rsidRPr="00DD05C5" w:rsidRDefault="00105D58" w:rsidP="00105D58">
            <w:pPr>
              <w:pStyle w:val="Tabletext"/>
              <w:rPr>
                <w:szCs w:val="22"/>
              </w:rPr>
            </w:pPr>
            <w:r w:rsidRPr="00DD05C5">
              <w:rPr>
                <w:szCs w:val="22"/>
              </w:rPr>
              <w:t xml:space="preserve">Tenofovir disoproxil/emtricitabine </w:t>
            </w:r>
          </w:p>
        </w:tc>
      </w:tr>
      <w:tr w:rsidR="00105D58" w:rsidRPr="00105D58" w14:paraId="7814A05A" w14:textId="77777777" w:rsidTr="00DD05C5">
        <w:tc>
          <w:tcPr>
            <w:tcW w:w="2547" w:type="dxa"/>
          </w:tcPr>
          <w:p w14:paraId="11E6C659" w14:textId="1875E0C9" w:rsidR="00105D58" w:rsidRPr="00DD05C5" w:rsidRDefault="00105D58" w:rsidP="00105D58">
            <w:pPr>
              <w:pStyle w:val="Tabletext"/>
              <w:rPr>
                <w:rStyle w:val="TableHeaderColumn"/>
                <w:sz w:val="22"/>
                <w:szCs w:val="22"/>
              </w:rPr>
            </w:pPr>
            <w:r w:rsidRPr="00DD05C5">
              <w:rPr>
                <w:rStyle w:val="TableHeaderColumn"/>
                <w:sz w:val="22"/>
                <w:szCs w:val="22"/>
              </w:rPr>
              <w:t>PEP</w:t>
            </w:r>
            <w:r w:rsidR="00DD05C5" w:rsidRPr="00DD05C5">
              <w:rPr>
                <w:rStyle w:val="TableHeaderColumn"/>
                <w:sz w:val="22"/>
                <w:szCs w:val="22"/>
              </w:rPr>
              <w:t>SE</w:t>
            </w:r>
          </w:p>
        </w:tc>
        <w:tc>
          <w:tcPr>
            <w:tcW w:w="6662" w:type="dxa"/>
          </w:tcPr>
          <w:p w14:paraId="5D53EF6A" w14:textId="1BBBF99E" w:rsidR="00105D58" w:rsidRPr="00DD05C5" w:rsidRDefault="00105D58" w:rsidP="00105D58">
            <w:pPr>
              <w:pStyle w:val="Tabletext"/>
              <w:rPr>
                <w:szCs w:val="22"/>
              </w:rPr>
            </w:pPr>
            <w:r w:rsidRPr="00DD05C5">
              <w:rPr>
                <w:bCs/>
                <w:szCs w:val="22"/>
                <w:lang w:val="en-GB"/>
              </w:rPr>
              <w:t>Post-exposure prophylaxis</w:t>
            </w:r>
            <w:r w:rsidR="00DD05C5" w:rsidRPr="00DD05C5">
              <w:rPr>
                <w:bCs/>
                <w:szCs w:val="22"/>
                <w:lang w:val="en-GB"/>
              </w:rPr>
              <w:t xml:space="preserve"> following sexual exposure</w:t>
            </w:r>
          </w:p>
        </w:tc>
      </w:tr>
      <w:tr w:rsidR="00105D58" w:rsidRPr="00105D58" w14:paraId="7D9A8E3C" w14:textId="77777777" w:rsidTr="00DD05C5">
        <w:tc>
          <w:tcPr>
            <w:tcW w:w="2547" w:type="dxa"/>
          </w:tcPr>
          <w:p w14:paraId="4A589DA6" w14:textId="77777777" w:rsidR="00105D58" w:rsidRPr="00DD05C5" w:rsidRDefault="00105D58" w:rsidP="00105D58">
            <w:pPr>
              <w:pStyle w:val="Tabletext"/>
              <w:rPr>
                <w:rStyle w:val="TableHeaderColumn"/>
                <w:sz w:val="22"/>
                <w:szCs w:val="22"/>
              </w:rPr>
            </w:pPr>
            <w:r w:rsidRPr="00DD05C5">
              <w:rPr>
                <w:rStyle w:val="TableHeaderColumn"/>
                <w:sz w:val="22"/>
                <w:szCs w:val="22"/>
              </w:rPr>
              <w:t>NHSE</w:t>
            </w:r>
          </w:p>
        </w:tc>
        <w:tc>
          <w:tcPr>
            <w:tcW w:w="6662" w:type="dxa"/>
          </w:tcPr>
          <w:p w14:paraId="44A4B402" w14:textId="77777777" w:rsidR="00105D58" w:rsidRPr="00DD05C5" w:rsidRDefault="00105D58" w:rsidP="00105D58">
            <w:pPr>
              <w:pStyle w:val="Tabletext"/>
              <w:rPr>
                <w:szCs w:val="22"/>
              </w:rPr>
            </w:pPr>
            <w:r w:rsidRPr="00DD05C5">
              <w:rPr>
                <w:szCs w:val="22"/>
              </w:rPr>
              <w:t>NHS England</w:t>
            </w:r>
          </w:p>
        </w:tc>
      </w:tr>
    </w:tbl>
    <w:p w14:paraId="34C584E1" w14:textId="77777777" w:rsidR="00DD05C5" w:rsidRDefault="00DD05C5" w:rsidP="00105D58">
      <w:pPr>
        <w:pStyle w:val="PGDNormal"/>
        <w:rPr>
          <w:b/>
          <w:szCs w:val="22"/>
          <w:lang w:val="en"/>
        </w:rPr>
      </w:pPr>
    </w:p>
    <w:p w14:paraId="581ECAD6" w14:textId="1563E7EF" w:rsidR="00105D58" w:rsidRPr="00105D58" w:rsidRDefault="00105D58" w:rsidP="00105D58">
      <w:pPr>
        <w:pStyle w:val="PGDNormal"/>
        <w:rPr>
          <w:b/>
          <w:szCs w:val="22"/>
          <w:lang w:val="en"/>
        </w:rPr>
      </w:pPr>
      <w:r w:rsidRPr="00105D58">
        <w:rPr>
          <w:b/>
          <w:szCs w:val="22"/>
          <w:lang w:val="en"/>
        </w:rPr>
        <w:t>Inclusivity</w:t>
      </w:r>
    </w:p>
    <w:p w14:paraId="46A7FEAC" w14:textId="77777777" w:rsidR="00105D58" w:rsidRPr="00105D58" w:rsidRDefault="00105D58" w:rsidP="00105D58">
      <w:pPr>
        <w:pStyle w:val="PGDNormal"/>
        <w:rPr>
          <w:szCs w:val="22"/>
        </w:rPr>
      </w:pPr>
      <w:bookmarkStart w:id="3" w:name="_Hlk206510793"/>
      <w:r w:rsidRPr="00105D58">
        <w:rPr>
          <w:szCs w:val="22"/>
        </w:rPr>
        <w:t xml:space="preserve">In line with </w:t>
      </w:r>
      <w:hyperlink r:id="rId13">
        <w:r w:rsidRPr="00105D58">
          <w:rPr>
            <w:rStyle w:val="Hyperlink"/>
          </w:rPr>
          <w:t>BASHH/BHIVA guideline on the use of HIV Pre-exposure Prophylaxis</w:t>
        </w:r>
      </w:hyperlink>
      <w:r w:rsidRPr="00105D58">
        <w:rPr>
          <w:szCs w:val="22"/>
        </w:rPr>
        <w:t xml:space="preserve"> this PGD </w:t>
      </w:r>
      <w:proofErr w:type="spellStart"/>
      <w:r w:rsidRPr="00105D58">
        <w:rPr>
          <w:szCs w:val="22"/>
        </w:rPr>
        <w:t>recognises</w:t>
      </w:r>
      <w:proofErr w:type="spellEnd"/>
      <w:r w:rsidRPr="00105D58">
        <w:rPr>
          <w:szCs w:val="22"/>
        </w:rPr>
        <w:t xml:space="preserve"> the importance of the PGD being inclusive and relevant to all, regardless of sexuality or gender identity or expression. </w:t>
      </w:r>
    </w:p>
    <w:p w14:paraId="359E77B7" w14:textId="04CCE2A1" w:rsidR="00105D58" w:rsidRPr="00E170C1" w:rsidRDefault="00105D58" w:rsidP="00105D58">
      <w:pPr>
        <w:pStyle w:val="PGDNormal"/>
        <w:rPr>
          <w:szCs w:val="22"/>
          <w:lang w:val="en-GB"/>
        </w:rPr>
      </w:pPr>
      <w:bookmarkStart w:id="4" w:name="_Hlk206510786"/>
      <w:bookmarkEnd w:id="3"/>
      <w:r w:rsidRPr="00105D58">
        <w:rPr>
          <w:szCs w:val="22"/>
          <w:lang w:val="en-GB"/>
        </w:rPr>
        <w:t>For the sake of brevity in the main text of the PGD, and in line with above guidance, phrases such as “gay, bisexual and other men who have sex with men” (GBMSM) refers to cisgender, transgender or gender-queer men who have sex with men and “heterosexual men and women” refers to cisgender, transgender or gender-queer men and women who have heterosexual sex. Non-binary people and clinicians supporting non-binary people should use the advice that best aligns with their individual needs.</w:t>
      </w:r>
    </w:p>
    <w:p w14:paraId="50C176DA" w14:textId="77777777" w:rsidR="00105D58" w:rsidRDefault="00105D58" w:rsidP="00105D58">
      <w:pPr>
        <w:pStyle w:val="PGDNormal"/>
        <w:rPr>
          <w:szCs w:val="22"/>
          <w:lang w:val="en-GB"/>
        </w:rPr>
      </w:pPr>
      <w:r w:rsidRPr="00105D58">
        <w:rPr>
          <w:szCs w:val="22"/>
          <w:lang w:val="en-GB"/>
        </w:rPr>
        <w:lastRenderedPageBreak/>
        <w:t>Where sections are specifically relevant to transgender people, we identify this using the terms “transgender people” “transgender men” or “transgender women”.</w:t>
      </w:r>
    </w:p>
    <w:p w14:paraId="01D22990" w14:textId="77777777" w:rsidR="00105D58" w:rsidRDefault="00105D58" w:rsidP="00105D58">
      <w:pPr>
        <w:pStyle w:val="PGDNormal"/>
        <w:rPr>
          <w:b/>
          <w:bCs/>
          <w:szCs w:val="22"/>
          <w:u w:val="single"/>
        </w:rPr>
      </w:pPr>
      <w:r w:rsidRPr="00105D58">
        <w:rPr>
          <w:b/>
          <w:bCs/>
          <w:szCs w:val="22"/>
        </w:rPr>
        <w:t xml:space="preserve">Glossary (further information is available from </w:t>
      </w:r>
      <w:hyperlink r:id="rId14" w:history="1">
        <w:r w:rsidRPr="00105D58">
          <w:rPr>
            <w:rStyle w:val="Hyperlink"/>
            <w:b/>
            <w:bCs/>
            <w:szCs w:val="22"/>
          </w:rPr>
          <w:t>Stonewall List of LGBTQ+ terms</w:t>
        </w:r>
      </w:hyperlink>
      <w:r w:rsidRPr="00105D58">
        <w:rPr>
          <w:b/>
          <w:bCs/>
          <w:szCs w:val="22"/>
          <w:u w:val="single"/>
        </w:rPr>
        <w:t xml:space="preserve">): </w:t>
      </w:r>
    </w:p>
    <w:p w14:paraId="79024AEC" w14:textId="77777777" w:rsidR="00105D58" w:rsidRPr="00105D58" w:rsidRDefault="00105D58" w:rsidP="00105D58">
      <w:pPr>
        <w:pStyle w:val="PGDNormal"/>
        <w:rPr>
          <w:b/>
          <w:bCs/>
        </w:rPr>
      </w:pPr>
      <w:r w:rsidRPr="00105D58">
        <w:rPr>
          <w:b/>
          <w:bCs/>
        </w:rPr>
        <w:t xml:space="preserve">Cisgender or Cis: </w:t>
      </w:r>
      <w:r w:rsidRPr="00105D58">
        <w:t>someone whose gender identity is the same as the sex they were assigned at birth.</w:t>
      </w:r>
    </w:p>
    <w:p w14:paraId="145D5C29" w14:textId="2B331869" w:rsidR="00105D58" w:rsidRPr="00105D58" w:rsidRDefault="00105D58" w:rsidP="00105D58">
      <w:pPr>
        <w:pStyle w:val="PGDNormal"/>
        <w:rPr>
          <w:b/>
          <w:bCs/>
        </w:rPr>
      </w:pPr>
      <w:r w:rsidRPr="00105D58">
        <w:rPr>
          <w:b/>
          <w:bCs/>
        </w:rPr>
        <w:t xml:space="preserve">Transgender or Trans: </w:t>
      </w:r>
      <w:r w:rsidRPr="00105D58">
        <w:t>an umbrella term to describe people whose gender is not the same as, or does not sit comfortably with, the sex they were assigned at birth. This can include non-binary people, though not every non-binary person considers themselves to be trans</w:t>
      </w:r>
      <w:r w:rsidRPr="00105D58">
        <w:rPr>
          <w:b/>
          <w:bCs/>
        </w:rPr>
        <w:t>.</w:t>
      </w:r>
    </w:p>
    <w:p w14:paraId="4B9B9DEA" w14:textId="623C4C55" w:rsidR="00105D58" w:rsidRDefault="00105D58" w:rsidP="00105D58">
      <w:pPr>
        <w:pStyle w:val="PGDNormal"/>
      </w:pPr>
      <w:r w:rsidRPr="00105D58">
        <w:rPr>
          <w:b/>
          <w:bCs/>
        </w:rPr>
        <w:t xml:space="preserve">Non-binary: </w:t>
      </w:r>
      <w:r w:rsidRPr="00105D58">
        <w:t>an umbrella term for people whose gender identity doesn’t sit comfortably with ‘man’ or ‘woman’. Non-binary identities are varied and can include people who identify with some aspects of binary identities, while others reject them entirely.</w:t>
      </w:r>
    </w:p>
    <w:p w14:paraId="7AB0B0CA" w14:textId="06FE4DCC" w:rsidR="00DD05C5" w:rsidRDefault="00DD05C5" w:rsidP="00DD05C5">
      <w:pPr>
        <w:jc w:val="both"/>
        <w:rPr>
          <w:rFonts w:ascii="Arial" w:hAnsi="Arial" w:cs="Arial"/>
          <w:b/>
          <w:sz w:val="22"/>
          <w:szCs w:val="22"/>
          <w:lang w:val="en"/>
        </w:rPr>
      </w:pPr>
      <w:r>
        <w:rPr>
          <w:rFonts w:ascii="Arial" w:hAnsi="Arial" w:cs="Arial"/>
          <w:b/>
          <w:sz w:val="22"/>
          <w:szCs w:val="22"/>
          <w:lang w:val="en"/>
        </w:rPr>
        <w:t>NOTE:</w:t>
      </w:r>
    </w:p>
    <w:p w14:paraId="7C509269" w14:textId="7E02D17B" w:rsidR="00DD05C5" w:rsidRDefault="00DD05C5" w:rsidP="00DD05C5">
      <w:pPr>
        <w:jc w:val="both"/>
        <w:rPr>
          <w:rFonts w:ascii="Arial" w:hAnsi="Arial" w:cs="Arial"/>
          <w:b/>
          <w:sz w:val="22"/>
          <w:szCs w:val="22"/>
          <w:lang w:val="en"/>
        </w:rPr>
      </w:pPr>
      <w:r>
        <w:rPr>
          <w:rFonts w:ascii="Arial" w:hAnsi="Arial" w:cs="Arial"/>
          <w:b/>
          <w:sz w:val="22"/>
          <w:szCs w:val="22"/>
          <w:lang w:val="en"/>
        </w:rPr>
        <w:t xml:space="preserve">This PGD applies to the supply of </w:t>
      </w:r>
      <w:r w:rsidRPr="000E2D1C">
        <w:rPr>
          <w:rFonts w:ascii="Arial" w:hAnsi="Arial" w:cs="Arial"/>
          <w:b/>
          <w:sz w:val="22"/>
          <w:szCs w:val="22"/>
          <w:lang w:val="en"/>
        </w:rPr>
        <w:t>emtricitabine 200mg/tenofovir alafenamide fumara</w:t>
      </w:r>
      <w:r>
        <w:rPr>
          <w:rFonts w:ascii="Arial" w:hAnsi="Arial" w:cs="Arial"/>
          <w:b/>
          <w:sz w:val="22"/>
          <w:szCs w:val="22"/>
          <w:lang w:val="en"/>
        </w:rPr>
        <w:t>te</w:t>
      </w:r>
      <w:r w:rsidRPr="000E2D1C">
        <w:rPr>
          <w:rFonts w:ascii="Arial" w:hAnsi="Arial" w:cs="Arial"/>
          <w:b/>
          <w:sz w:val="22"/>
          <w:szCs w:val="22"/>
          <w:lang w:val="en"/>
        </w:rPr>
        <w:t xml:space="preserve"> 25mg as Pre-</w:t>
      </w:r>
      <w:r w:rsidRPr="00DD05C5">
        <w:rPr>
          <w:rFonts w:ascii="Arial" w:hAnsi="Arial" w:cs="Arial"/>
          <w:b/>
          <w:sz w:val="22"/>
          <w:szCs w:val="22"/>
          <w:lang w:val="en"/>
        </w:rPr>
        <w:t>Exposure Prophylaxis (</w:t>
      </w:r>
      <w:proofErr w:type="spellStart"/>
      <w:r w:rsidRPr="00DD05C5">
        <w:rPr>
          <w:rFonts w:ascii="Arial" w:hAnsi="Arial" w:cs="Arial"/>
          <w:b/>
          <w:sz w:val="22"/>
          <w:szCs w:val="22"/>
          <w:lang w:val="en"/>
        </w:rPr>
        <w:t>PrEP</w:t>
      </w:r>
      <w:proofErr w:type="spellEnd"/>
      <w:r w:rsidRPr="00DD05C5">
        <w:rPr>
          <w:rFonts w:ascii="Arial" w:hAnsi="Arial" w:cs="Arial"/>
          <w:b/>
          <w:sz w:val="22"/>
          <w:szCs w:val="22"/>
          <w:lang w:val="en"/>
        </w:rPr>
        <w:t>) for the prevention of sexually transmitted HIV infection in line with t</w:t>
      </w:r>
      <w:r w:rsidRPr="00DD05C5">
        <w:rPr>
          <w:rFonts w:ascii="Arial" w:hAnsi="Arial" w:cs="Arial"/>
          <w:b/>
          <w:bCs/>
          <w:sz w:val="22"/>
          <w:szCs w:val="22"/>
        </w:rPr>
        <w:t xml:space="preserve">he </w:t>
      </w:r>
      <w:hyperlink r:id="rId15" w:history="1">
        <w:r w:rsidRPr="00DD05C5">
          <w:rPr>
            <w:rStyle w:val="Hyperlink"/>
            <w:rFonts w:ascii="Arial" w:hAnsi="Arial" w:cs="Arial"/>
            <w:b/>
            <w:bCs/>
            <w:sz w:val="22"/>
            <w:szCs w:val="22"/>
          </w:rPr>
          <w:t>NHS England Clinical Commissioning Policy for the use of generic and second line drugs for Pre Exposure Prophylaxis (</w:t>
        </w:r>
        <w:proofErr w:type="spellStart"/>
        <w:r w:rsidRPr="00DD05C5">
          <w:rPr>
            <w:rStyle w:val="Hyperlink"/>
            <w:rFonts w:ascii="Arial" w:hAnsi="Arial" w:cs="Arial"/>
            <w:b/>
            <w:bCs/>
            <w:sz w:val="22"/>
            <w:szCs w:val="22"/>
          </w:rPr>
          <w:t>PrEP</w:t>
        </w:r>
        <w:proofErr w:type="spellEnd"/>
        <w:r w:rsidRPr="00DD05C5">
          <w:rPr>
            <w:rStyle w:val="Hyperlink"/>
            <w:rFonts w:ascii="Arial" w:hAnsi="Arial" w:cs="Arial"/>
            <w:b/>
            <w:bCs/>
            <w:sz w:val="22"/>
            <w:szCs w:val="22"/>
          </w:rPr>
          <w:t>) for the prevention of HIV</w:t>
        </w:r>
      </w:hyperlink>
      <w:r w:rsidRPr="00DD05C5">
        <w:rPr>
          <w:rFonts w:ascii="Arial" w:hAnsi="Arial" w:cs="Arial"/>
          <w:b/>
          <w:bCs/>
          <w:sz w:val="22"/>
          <w:szCs w:val="22"/>
        </w:rPr>
        <w:t>)</w:t>
      </w:r>
      <w:r>
        <w:rPr>
          <w:rFonts w:ascii="Arial" w:hAnsi="Arial" w:cs="Arial"/>
          <w:b/>
          <w:sz w:val="22"/>
          <w:szCs w:val="22"/>
          <w:lang w:val="en"/>
        </w:rPr>
        <w:t xml:space="preserve"> </w:t>
      </w:r>
      <w:r w:rsidRPr="00DD05C5">
        <w:rPr>
          <w:rFonts w:ascii="Arial" w:hAnsi="Arial" w:cs="Arial"/>
          <w:b/>
          <w:sz w:val="22"/>
          <w:szCs w:val="22"/>
          <w:lang w:val="en"/>
        </w:rPr>
        <w:t xml:space="preserve">and in line with the product </w:t>
      </w:r>
      <w:proofErr w:type="spellStart"/>
      <w:r w:rsidRPr="00DD05C5">
        <w:rPr>
          <w:rFonts w:ascii="Arial" w:hAnsi="Arial" w:cs="Arial"/>
          <w:b/>
          <w:sz w:val="22"/>
          <w:szCs w:val="22"/>
          <w:lang w:val="en"/>
        </w:rPr>
        <w:t>licence</w:t>
      </w:r>
      <w:proofErr w:type="spellEnd"/>
      <w:r w:rsidRPr="00DD05C5">
        <w:rPr>
          <w:rFonts w:ascii="Arial" w:hAnsi="Arial" w:cs="Arial"/>
          <w:b/>
          <w:sz w:val="22"/>
          <w:szCs w:val="22"/>
          <w:lang w:val="en"/>
        </w:rPr>
        <w:t>.</w:t>
      </w:r>
    </w:p>
    <w:p w14:paraId="3A6E594F" w14:textId="14F619AB" w:rsidR="00DD05C5" w:rsidRDefault="00DD05C5" w:rsidP="00DD05C5">
      <w:pPr>
        <w:jc w:val="both"/>
        <w:rPr>
          <w:rFonts w:ascii="Arial" w:hAnsi="Arial" w:cs="Arial"/>
          <w:b/>
          <w:sz w:val="22"/>
          <w:szCs w:val="22"/>
          <w:lang w:val="en"/>
        </w:rPr>
      </w:pPr>
      <w:r>
        <w:rPr>
          <w:rFonts w:ascii="Arial" w:hAnsi="Arial" w:cs="Arial"/>
          <w:b/>
          <w:sz w:val="22"/>
          <w:szCs w:val="22"/>
          <w:lang w:val="en"/>
        </w:rPr>
        <w:t xml:space="preserve">Other patient cohorts not represented within this PGD (including transgender men, cisgender heterosexual men and cisgender heterosexual women) should be discussed within a dedicated MDT and an appropriate </w:t>
      </w:r>
      <w:proofErr w:type="spellStart"/>
      <w:r>
        <w:rPr>
          <w:rFonts w:ascii="Arial" w:hAnsi="Arial" w:cs="Arial"/>
          <w:b/>
          <w:sz w:val="22"/>
          <w:szCs w:val="22"/>
          <w:lang w:val="en"/>
        </w:rPr>
        <w:t>PrEP</w:t>
      </w:r>
      <w:proofErr w:type="spellEnd"/>
      <w:r>
        <w:rPr>
          <w:rFonts w:ascii="Arial" w:hAnsi="Arial" w:cs="Arial"/>
          <w:b/>
          <w:sz w:val="22"/>
          <w:szCs w:val="22"/>
          <w:lang w:val="en"/>
        </w:rPr>
        <w:t xml:space="preserve"> agent (subject to appropriate funding arrangements), should be prescribed (or recommended). </w:t>
      </w:r>
    </w:p>
    <w:p w14:paraId="5E611BFB" w14:textId="777E34DE" w:rsidR="00DD05C5" w:rsidRDefault="00DD05C5" w:rsidP="00DD05C5">
      <w:pPr>
        <w:jc w:val="both"/>
        <w:rPr>
          <w:rFonts w:ascii="Arial" w:hAnsi="Arial" w:cs="Arial"/>
          <w:b/>
          <w:sz w:val="22"/>
          <w:szCs w:val="22"/>
          <w:lang w:val="en"/>
        </w:rPr>
      </w:pPr>
      <w:r>
        <w:rPr>
          <w:rFonts w:ascii="Arial" w:hAnsi="Arial" w:cs="Arial"/>
          <w:b/>
          <w:sz w:val="22"/>
          <w:szCs w:val="22"/>
          <w:lang w:val="en"/>
        </w:rPr>
        <w:t xml:space="preserve">Off-label use of </w:t>
      </w:r>
      <w:r w:rsidRPr="000E2D1C">
        <w:rPr>
          <w:rFonts w:ascii="Arial" w:hAnsi="Arial" w:cs="Arial"/>
          <w:b/>
          <w:sz w:val="22"/>
          <w:szCs w:val="22"/>
          <w:lang w:val="en"/>
        </w:rPr>
        <w:t>emtricitabine 200mg/tenofovir alafenamide fumara</w:t>
      </w:r>
      <w:r>
        <w:rPr>
          <w:rFonts w:ascii="Arial" w:hAnsi="Arial" w:cs="Arial"/>
          <w:b/>
          <w:sz w:val="22"/>
          <w:szCs w:val="22"/>
          <w:lang w:val="en"/>
        </w:rPr>
        <w:t>te</w:t>
      </w:r>
      <w:r w:rsidRPr="000E2D1C">
        <w:rPr>
          <w:rFonts w:ascii="Arial" w:hAnsi="Arial" w:cs="Arial"/>
          <w:b/>
          <w:sz w:val="22"/>
          <w:szCs w:val="22"/>
          <w:lang w:val="en"/>
        </w:rPr>
        <w:t xml:space="preserve"> 25mg </w:t>
      </w:r>
      <w:r>
        <w:rPr>
          <w:rFonts w:ascii="Arial" w:hAnsi="Arial" w:cs="Arial"/>
          <w:b/>
          <w:sz w:val="22"/>
          <w:szCs w:val="22"/>
          <w:lang w:val="en"/>
        </w:rPr>
        <w:t xml:space="preserve">as </w:t>
      </w:r>
      <w:proofErr w:type="spellStart"/>
      <w:r>
        <w:rPr>
          <w:rFonts w:ascii="Arial" w:hAnsi="Arial" w:cs="Arial"/>
          <w:b/>
          <w:sz w:val="22"/>
          <w:szCs w:val="22"/>
          <w:lang w:val="en"/>
        </w:rPr>
        <w:t>PrEP</w:t>
      </w:r>
      <w:proofErr w:type="spellEnd"/>
      <w:r>
        <w:rPr>
          <w:rFonts w:ascii="Arial" w:hAnsi="Arial" w:cs="Arial"/>
          <w:b/>
          <w:sz w:val="22"/>
          <w:szCs w:val="22"/>
          <w:lang w:val="en"/>
        </w:rPr>
        <w:t xml:space="preserve"> (i.e. event based dosing) is not in line with the</w:t>
      </w:r>
      <w:r w:rsidRPr="00DD05C5">
        <w:rPr>
          <w:rFonts w:ascii="Arial" w:hAnsi="Arial" w:cs="Arial"/>
          <w:b/>
          <w:bCs/>
          <w:sz w:val="22"/>
          <w:szCs w:val="22"/>
          <w:lang w:val="en"/>
        </w:rPr>
        <w:t xml:space="preserve"> </w:t>
      </w:r>
      <w:hyperlink r:id="rId16" w:history="1">
        <w:r w:rsidRPr="00DD05C5">
          <w:rPr>
            <w:rStyle w:val="Hyperlink"/>
            <w:rFonts w:ascii="Arial" w:hAnsi="Arial" w:cs="Arial"/>
            <w:b/>
            <w:bCs/>
            <w:sz w:val="22"/>
            <w:szCs w:val="22"/>
          </w:rPr>
          <w:t>NHS England Clinical Commissioning Policy for the use of generic and second line drugs for Pre Exposure Prophylaxis (</w:t>
        </w:r>
        <w:proofErr w:type="spellStart"/>
        <w:r w:rsidRPr="00DD05C5">
          <w:rPr>
            <w:rStyle w:val="Hyperlink"/>
            <w:rFonts w:ascii="Arial" w:hAnsi="Arial" w:cs="Arial"/>
            <w:b/>
            <w:bCs/>
            <w:sz w:val="22"/>
            <w:szCs w:val="22"/>
          </w:rPr>
          <w:t>PrEP</w:t>
        </w:r>
        <w:proofErr w:type="spellEnd"/>
        <w:r w:rsidRPr="00DD05C5">
          <w:rPr>
            <w:rStyle w:val="Hyperlink"/>
            <w:rFonts w:ascii="Arial" w:hAnsi="Arial" w:cs="Arial"/>
            <w:b/>
            <w:bCs/>
            <w:sz w:val="22"/>
            <w:szCs w:val="22"/>
          </w:rPr>
          <w:t>) for the prevention of HIV</w:t>
        </w:r>
      </w:hyperlink>
      <w:r w:rsidRPr="00DD05C5">
        <w:rPr>
          <w:rFonts w:ascii="Arial" w:hAnsi="Arial" w:cs="Arial"/>
          <w:b/>
          <w:bCs/>
          <w:sz w:val="22"/>
          <w:szCs w:val="22"/>
        </w:rPr>
        <w:t>)</w:t>
      </w:r>
      <w:r>
        <w:rPr>
          <w:rFonts w:ascii="Arial" w:hAnsi="Arial" w:cs="Arial"/>
          <w:b/>
          <w:bCs/>
          <w:sz w:val="22"/>
          <w:szCs w:val="22"/>
        </w:rPr>
        <w:t xml:space="preserve"> </w:t>
      </w:r>
      <w:r>
        <w:rPr>
          <w:rFonts w:ascii="Arial" w:hAnsi="Arial" w:cs="Arial"/>
          <w:b/>
          <w:sz w:val="22"/>
          <w:szCs w:val="22"/>
          <w:lang w:val="en"/>
        </w:rPr>
        <w:t xml:space="preserve">(or the product </w:t>
      </w:r>
      <w:proofErr w:type="spellStart"/>
      <w:r>
        <w:rPr>
          <w:rFonts w:ascii="Arial" w:hAnsi="Arial" w:cs="Arial"/>
          <w:b/>
          <w:sz w:val="22"/>
          <w:szCs w:val="22"/>
          <w:lang w:val="en"/>
        </w:rPr>
        <w:t>licence</w:t>
      </w:r>
      <w:proofErr w:type="spellEnd"/>
      <w:r>
        <w:rPr>
          <w:rFonts w:ascii="Arial" w:hAnsi="Arial" w:cs="Arial"/>
          <w:b/>
          <w:sz w:val="22"/>
          <w:szCs w:val="22"/>
          <w:lang w:val="en"/>
        </w:rPr>
        <w:t xml:space="preserve">) and is not supported by this PGD. </w:t>
      </w:r>
    </w:p>
    <w:p w14:paraId="4E7B609F" w14:textId="77777777" w:rsidR="00DD05C5" w:rsidRPr="003860ED" w:rsidRDefault="00DD05C5" w:rsidP="00DD05C5">
      <w:pPr>
        <w:overflowPunct w:val="0"/>
        <w:autoSpaceDE w:val="0"/>
        <w:autoSpaceDN w:val="0"/>
        <w:adjustRightInd w:val="0"/>
        <w:textAlignment w:val="baseline"/>
        <w:rPr>
          <w:rFonts w:ascii="Arial" w:hAnsi="Arial" w:cs="Arial"/>
          <w:b/>
          <w:bCs/>
          <w:sz w:val="22"/>
          <w:szCs w:val="22"/>
        </w:rPr>
      </w:pPr>
      <w:r w:rsidRPr="003860ED">
        <w:rPr>
          <w:rFonts w:ascii="Arial" w:eastAsia="Calibri" w:hAnsi="Arial" w:cs="Arial"/>
          <w:b/>
          <w:bCs/>
          <w:sz w:val="22"/>
          <w:szCs w:val="22"/>
        </w:rPr>
        <w:t xml:space="preserve">The use of a double dose lead-in is off-label but use in this way is supported by </w:t>
      </w:r>
      <w:hyperlink r:id="rId17" w:history="1">
        <w:r w:rsidRPr="00A827B8">
          <w:rPr>
            <w:rStyle w:val="Hyperlink"/>
            <w:rFonts w:ascii="Arial" w:eastAsia="Calibri" w:hAnsi="Arial" w:cs="Arial"/>
            <w:b/>
            <w:bCs/>
            <w:sz w:val="22"/>
            <w:szCs w:val="22"/>
          </w:rPr>
          <w:t xml:space="preserve">BASHH/BHIVA HIV </w:t>
        </w:r>
        <w:proofErr w:type="spellStart"/>
        <w:r w:rsidRPr="00A827B8">
          <w:rPr>
            <w:rStyle w:val="Hyperlink"/>
            <w:rFonts w:ascii="Arial" w:eastAsia="Calibri" w:hAnsi="Arial" w:cs="Arial"/>
            <w:b/>
            <w:bCs/>
            <w:sz w:val="22"/>
            <w:szCs w:val="22"/>
          </w:rPr>
          <w:t>PrEP</w:t>
        </w:r>
        <w:proofErr w:type="spellEnd"/>
        <w:r w:rsidRPr="00A827B8">
          <w:rPr>
            <w:rStyle w:val="Hyperlink"/>
            <w:rFonts w:ascii="Arial" w:eastAsia="Calibri" w:hAnsi="Arial" w:cs="Arial"/>
            <w:b/>
            <w:bCs/>
            <w:sz w:val="22"/>
            <w:szCs w:val="22"/>
          </w:rPr>
          <w:t xml:space="preserve"> guidance</w:t>
        </w:r>
      </w:hyperlink>
      <w:r w:rsidRPr="003860ED">
        <w:rPr>
          <w:rFonts w:ascii="Arial" w:hAnsi="Arial" w:cs="Arial"/>
          <w:b/>
          <w:bCs/>
          <w:sz w:val="22"/>
          <w:szCs w:val="22"/>
        </w:rPr>
        <w:t xml:space="preserve"> and use in this way is supported by this PGD. </w:t>
      </w:r>
    </w:p>
    <w:p w14:paraId="44B1FB41" w14:textId="77777777" w:rsidR="00105D58" w:rsidRPr="00105D58" w:rsidRDefault="00105D58" w:rsidP="00105D58">
      <w:pPr>
        <w:pStyle w:val="PGDNormal"/>
      </w:pPr>
    </w:p>
    <w:p w14:paraId="70D8935C" w14:textId="77777777" w:rsidR="00105D58" w:rsidRPr="00105D58" w:rsidRDefault="00105D58" w:rsidP="00105D58">
      <w:pPr>
        <w:pStyle w:val="PGDNormal"/>
        <w:rPr>
          <w:b/>
          <w:bCs/>
        </w:rPr>
      </w:pPr>
    </w:p>
    <w:p w14:paraId="16156674" w14:textId="77777777" w:rsidR="00105D58" w:rsidRPr="00105D58" w:rsidRDefault="00105D58" w:rsidP="00105D58">
      <w:pPr>
        <w:pStyle w:val="PGDNormal"/>
        <w:rPr>
          <w:szCs w:val="22"/>
          <w:lang w:val="en-GB"/>
        </w:rPr>
      </w:pPr>
    </w:p>
    <w:bookmarkEnd w:id="4"/>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8"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170C1" w:rsidRDefault="00813399" w:rsidP="00B65003">
            <w:pPr>
              <w:rPr>
                <w:rStyle w:val="TableHeaderColumn"/>
                <w:rFonts w:cs="Arial"/>
              </w:rPr>
            </w:pPr>
            <w:r w:rsidRPr="00E170C1">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170C1" w:rsidRDefault="00813399" w:rsidP="00B65003">
            <w:pPr>
              <w:rPr>
                <w:rStyle w:val="TableHeaderColumn"/>
                <w:rFonts w:cs="Arial"/>
              </w:rPr>
            </w:pPr>
            <w:r w:rsidRPr="00E170C1">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170C1" w:rsidRDefault="00813399" w:rsidP="00B65003">
            <w:pPr>
              <w:rPr>
                <w:rStyle w:val="TableHeaderColumn"/>
                <w:rFonts w:cs="Arial"/>
              </w:rPr>
            </w:pPr>
            <w:r w:rsidRPr="00E170C1">
              <w:rPr>
                <w:rStyle w:val="TableHeaderColumn"/>
                <w:rFonts w:cs="Arial"/>
              </w:rPr>
              <w:t xml:space="preserve">Person signing on behalf of </w:t>
            </w:r>
            <w:r w:rsidR="009E38CA" w:rsidRPr="00E170C1">
              <w:rPr>
                <w:rStyle w:val="TableHeaderColumn"/>
                <w:rFonts w:cs="Arial"/>
              </w:rPr>
              <w:t xml:space="preserve">the </w:t>
            </w:r>
            <w:hyperlink r:id="rId19" w:anchor="terms-used-in-the-guideline" w:history="1">
              <w:r w:rsidR="00D0044C" w:rsidRPr="00DD05C5">
                <w:rPr>
                  <w:rStyle w:val="Hyperlink"/>
                  <w:rFonts w:ascii="Arial" w:hAnsi="Arial" w:cs="Arial"/>
                  <w:b/>
                  <w:bCs/>
                  <w:sz w:val="20"/>
                  <w:szCs w:val="20"/>
                </w:rPr>
                <w:t>authorising body</w:t>
              </w:r>
              <w:r w:rsidR="009E38CA" w:rsidRPr="00DD05C5">
                <w:rPr>
                  <w:rStyle w:val="Hyperlink"/>
                  <w:rFonts w:ascii="Arial" w:hAnsi="Arial" w:cs="Arial"/>
                  <w:b/>
                  <w:bCs/>
                  <w:sz w:val="20"/>
                  <w:szCs w:val="20"/>
                </w:rPr>
                <w:t xml:space="preserve"> as defined by NICE</w:t>
              </w:r>
            </w:hyperlink>
            <w:r w:rsidR="009E38CA" w:rsidRPr="00DD05C5">
              <w:rPr>
                <w:rFonts w:ascii="Arial" w:hAnsi="Arial" w:cs="Arial"/>
                <w:sz w:val="21"/>
                <w:szCs w:val="21"/>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6831CFD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3B4F64">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480669F8" w14:textId="375D8CD2" w:rsidR="00552D61" w:rsidRDefault="00813399" w:rsidP="00CA5AEF">
      <w:pPr>
        <w:pStyle w:val="PGDNormal"/>
      </w:pPr>
      <w:r w:rsidRPr="00DF77C7">
        <w:rPr>
          <w:highlight w:val="yellow"/>
          <w:lang w:val="en-GB"/>
        </w:rPr>
        <w:t xml:space="preserve">Any reference to a Trust protocol (either clinical to be followed as part of the administration of a </w:t>
      </w:r>
      <w:r w:rsidR="003B4F64">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r w:rsidR="007A1448" w:rsidRPr="00DF77C7">
        <w:br w:type="page"/>
      </w:r>
    </w:p>
    <w:p w14:paraId="41A13A1A" w14:textId="09E732E0" w:rsidR="007A1448" w:rsidRPr="00DF77C7" w:rsidRDefault="004C39C3" w:rsidP="008762B8">
      <w:pPr>
        <w:pStyle w:val="Heading1"/>
      </w:pPr>
      <w:r>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w:t>
      </w:r>
      <w:proofErr w:type="spellStart"/>
      <w:r w:rsidRPr="00D83FBB">
        <w:t>organisational</w:t>
      </w:r>
      <w:proofErr w:type="spellEnd"/>
      <w:r w:rsidRPr="00D83FBB">
        <w:t xml:space="preserve">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w:t>
            </w:r>
            <w:proofErr w:type="spellStart"/>
            <w:r w:rsidRPr="00361532">
              <w:rPr>
                <w:rFonts w:eastAsia="Arial"/>
              </w:rPr>
              <w:t>organisation</w:t>
            </w:r>
            <w:proofErr w:type="spellEnd"/>
            <w:r w:rsidRPr="00361532">
              <w:rPr>
                <w:rFonts w:eastAsia="Arial"/>
              </w:rPr>
              <w:t>.</w:t>
            </w:r>
          </w:p>
          <w:p w14:paraId="111D2851" w14:textId="186DE6CF" w:rsidR="00B81529" w:rsidRPr="00DF77C7" w:rsidRDefault="00251D91" w:rsidP="00234E43">
            <w:pPr>
              <w:pStyle w:val="Tabletext"/>
              <w:rPr>
                <w:lang w:val="en-GB"/>
              </w:rPr>
            </w:pPr>
            <w:r w:rsidRPr="00361532">
              <w:rPr>
                <w:rFonts w:eastAsia="Arial"/>
                <w:szCs w:val="22"/>
              </w:rPr>
              <w:t xml:space="preserve">Registered healthcare professional listed in  </w:t>
            </w:r>
            <w:hyperlink r:id="rId20"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w:t>
            </w:r>
            <w:proofErr w:type="spellStart"/>
            <w:r w:rsidRPr="00D83FBB">
              <w:t>authorised</w:t>
            </w:r>
            <w:proofErr w:type="spellEnd"/>
            <w:r w:rsidRPr="00D83FBB">
              <w:t xml:space="preserve"> to operate under this PGD must have</w:t>
            </w:r>
            <w:r>
              <w:t>:</w:t>
            </w:r>
            <w:r w:rsidRPr="00D83FBB">
              <w:t xml:space="preserve"> </w:t>
            </w:r>
          </w:p>
          <w:p w14:paraId="61CB3C5B" w14:textId="77777777" w:rsidR="00480E06" w:rsidRPr="00480E06" w:rsidRDefault="00251D91" w:rsidP="00480E06">
            <w:pPr>
              <w:pStyle w:val="Tabletext"/>
            </w:pPr>
            <w:r w:rsidRPr="00480E06">
              <w:t>Undertaken appropriate training and successfully completed the competencies to undertake clinical assessment of individuals leading to diagnosis of the conditions listed</w:t>
            </w:r>
            <w:r w:rsidR="00480E06" w:rsidRPr="00480E06">
              <w:t>.</w:t>
            </w:r>
          </w:p>
          <w:p w14:paraId="714E98DD" w14:textId="7F8392DC" w:rsidR="00251D91" w:rsidRPr="00480E06" w:rsidRDefault="00480E06" w:rsidP="00480E06">
            <w:pPr>
              <w:pStyle w:val="Tabletext"/>
            </w:pPr>
            <w:r w:rsidRPr="00480E06">
              <w:t xml:space="preserve">Recommended requirement for training would be successful completion of a relevant sexual health module/course accredited or endorsed by the BASHH, CPPE, RCN or a university or as advised in the RCN Sexual Health Education directory, or a locally developed and delivered training </w:t>
            </w:r>
            <w:proofErr w:type="spellStart"/>
            <w:r w:rsidRPr="00480E06">
              <w:t>programme</w:t>
            </w:r>
            <w:proofErr w:type="spellEnd"/>
            <w:r w:rsidRPr="00480E06">
              <w:t>.</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21" w:history="1">
              <w:proofErr w:type="spellStart"/>
              <w:r w:rsidRPr="00251D91">
                <w:rPr>
                  <w:rStyle w:val="Hyperlink"/>
                  <w:rFonts w:cs="Arial"/>
                  <w:szCs w:val="23"/>
                </w:rPr>
                <w:t>eLfH</w:t>
              </w:r>
              <w:proofErr w:type="spellEnd"/>
              <w:r w:rsidRPr="00251D91">
                <w:rPr>
                  <w:rStyle w:val="Hyperlink"/>
                  <w:rFonts w:cs="Arial"/>
                  <w:szCs w:val="23"/>
                </w:rPr>
                <w:t xml:space="preserve"> PGD </w:t>
              </w:r>
              <w:proofErr w:type="spellStart"/>
              <w:r w:rsidRPr="00251D91">
                <w:rPr>
                  <w:rStyle w:val="Hyperlink"/>
                  <w:rFonts w:cs="Arial"/>
                  <w:szCs w:val="23"/>
                </w:rPr>
                <w:t>elearning</w:t>
              </w:r>
              <w:proofErr w:type="spellEnd"/>
              <w:r w:rsidRPr="00251D91">
                <w:rPr>
                  <w:rStyle w:val="Hyperlink"/>
                  <w:rFonts w:cs="Arial"/>
                  <w:szCs w:val="23"/>
                </w:rPr>
                <w:t xml:space="preserve"> </w:t>
              </w:r>
              <w:proofErr w:type="spellStart"/>
              <w:r w:rsidRPr="00251D91">
                <w:rPr>
                  <w:rStyle w:val="Hyperlink"/>
                  <w:rFonts w:cs="Arial"/>
                  <w:szCs w:val="23"/>
                </w:rPr>
                <w:t>programme</w:t>
              </w:r>
              <w:proofErr w:type="spellEnd"/>
            </w:hyperlink>
            <w:r w:rsidRPr="00251D91">
              <w:rPr>
                <w:color w:val="000000"/>
                <w:szCs w:val="23"/>
              </w:rPr>
              <w:t xml:space="preserve"> </w:t>
            </w:r>
          </w:p>
          <w:p w14:paraId="4B43E5B0" w14:textId="5C381BBC"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 xml:space="preserve">Completed locally required training (including updates) in safeguarding </w:t>
            </w:r>
            <w:r w:rsidR="00480E06">
              <w:rPr>
                <w:color w:val="000000"/>
                <w:szCs w:val="23"/>
                <w:highlight w:val="cyan"/>
              </w:rPr>
              <w:t xml:space="preserve">children and </w:t>
            </w:r>
            <w:r w:rsidR="00251D91" w:rsidRPr="00234E43">
              <w:rPr>
                <w:color w:val="000000"/>
                <w:szCs w:val="23"/>
                <w:highlight w:val="cyan"/>
              </w:rPr>
              <w:t>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5D3960E" w14:textId="1BE4FBE5" w:rsidR="00CA5AEF" w:rsidRPr="00CA5AEF" w:rsidRDefault="00CA5AEF" w:rsidP="00CA5AEF">
            <w:pPr>
              <w:pStyle w:val="Tabletext"/>
              <w:numPr>
                <w:ilvl w:val="0"/>
                <w:numId w:val="20"/>
              </w:numPr>
              <w:rPr>
                <w:highlight w:val="cyan"/>
              </w:rPr>
            </w:pPr>
            <w:r>
              <w:rPr>
                <w:highlight w:val="cyan"/>
              </w:rPr>
              <w:t>[</w:t>
            </w:r>
            <w:r w:rsidR="004E7E16" w:rsidRPr="00CA5AEF">
              <w:rPr>
                <w:highlight w:val="cyan"/>
              </w:rPr>
              <w:t>Registered HCPs</w:t>
            </w:r>
            <w:r w:rsidR="00251D91" w:rsidRPr="00CA5AEF">
              <w:rPr>
                <w:highlight w:val="cyan"/>
              </w:rPr>
              <w:t xml:space="preserve"> under this PGD must be assessed as competent </w:t>
            </w:r>
            <w:r w:rsidR="00480E06" w:rsidRPr="00CA5AEF">
              <w:rPr>
                <w:highlight w:val="cyan"/>
                <w:lang w:val="en-GB"/>
              </w:rPr>
              <w:t xml:space="preserve">or complete a self-declaration of competence for </w:t>
            </w:r>
            <w:r w:rsidRPr="00CA5AEF">
              <w:rPr>
                <w:highlight w:val="cyan"/>
                <w:lang w:val="en-GB"/>
              </w:rPr>
              <w:t>HIV</w:t>
            </w:r>
            <w:r w:rsidR="00480E06" w:rsidRPr="00CA5AEF">
              <w:rPr>
                <w:highlight w:val="cyan"/>
                <w:lang w:val="en-GB"/>
              </w:rPr>
              <w:t xml:space="preserve"> testing and/</w:t>
            </w:r>
            <w:r w:rsidRPr="00CA5AEF">
              <w:rPr>
                <w:highlight w:val="cyan"/>
              </w:rPr>
              <w:t xml:space="preserve"> management of prevention of infection.</w:t>
            </w:r>
            <w:r>
              <w:rPr>
                <w:highlight w:val="cyan"/>
              </w:rPr>
              <w:t>]</w:t>
            </w:r>
          </w:p>
          <w:p w14:paraId="4D7C15B5" w14:textId="61308215" w:rsidR="00251D91" w:rsidRPr="00016BFD" w:rsidRDefault="00234E43" w:rsidP="00234E43">
            <w:pPr>
              <w:pStyle w:val="Tabletext"/>
            </w:pPr>
            <w:r>
              <w:t>[</w:t>
            </w:r>
            <w:r w:rsidR="00251D91" w:rsidRPr="00A3052A">
              <w:rPr>
                <w:highlight w:val="cyan"/>
              </w:rPr>
              <w:t xml:space="preserve">(see an example </w:t>
            </w:r>
            <w:proofErr w:type="spellStart"/>
            <w:r w:rsidR="00251D91" w:rsidRPr="00A3052A">
              <w:rPr>
                <w:highlight w:val="cyan"/>
              </w:rPr>
              <w:t>authorisation</w:t>
            </w:r>
            <w:proofErr w:type="spellEnd"/>
            <w:r w:rsidR="00251D91" w:rsidRPr="00A3052A">
              <w:rPr>
                <w:highlight w:val="cyan"/>
              </w:rPr>
              <w:t xml:space="preserve"> record sheet in Appendix A)</w:t>
            </w:r>
            <w:r w:rsidR="00251D91">
              <w:t>.</w:t>
            </w:r>
            <w:r>
              <w:t>]</w:t>
            </w:r>
          </w:p>
          <w:p w14:paraId="5719D930" w14:textId="755293D7" w:rsidR="00B81529" w:rsidRPr="00251D91" w:rsidRDefault="00251D91" w:rsidP="00606A8A">
            <w:pPr>
              <w:pStyle w:val="Tabletext"/>
              <w:rPr>
                <w:rFonts w:cs="Arial"/>
              </w:rPr>
            </w:pPr>
            <w:r w:rsidRPr="00016BFD">
              <w:t xml:space="preserve">Staff operating under this PGD </w:t>
            </w:r>
            <w:r w:rsidR="00480E06">
              <w:t>are encouraged to</w:t>
            </w:r>
            <w:r w:rsidRPr="00016BFD">
              <w:t xml:space="preserve"> review</w:t>
            </w:r>
            <w:r w:rsidRPr="00A3052A">
              <w:t xml:space="preserve"> their competency using the</w:t>
            </w:r>
            <w:hyperlink r:id="rId22" w:history="1">
              <w:r w:rsidRPr="00A3052A">
                <w:rPr>
                  <w:color w:val="0000FF"/>
                  <w:u w:val="single"/>
                </w:rPr>
                <w:t xml:space="preserve"> NICE Competency Framework for health professionals using patient group directions</w:t>
              </w:r>
            </w:hyperlink>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5A69EE37" w:rsidR="00251D91" w:rsidRPr="00251D91" w:rsidRDefault="00CA5AEF" w:rsidP="004E7E16">
            <w:pPr>
              <w:pStyle w:val="Tabletext"/>
            </w:pPr>
            <w:r>
              <w:t>Registered HCPs</w:t>
            </w:r>
            <w:r w:rsidR="00251D91" w:rsidRPr="00251D91">
              <w:t xml:space="preserve"> operating under this PGD are personally responsible for ensuring they remain up to date with the use of all medicines and guidance included in the PGD - if any training needs are identified these should be discussed with the senior individual responsible for </w:t>
            </w:r>
            <w:proofErr w:type="spellStart"/>
            <w:r w:rsidR="00251D91" w:rsidRPr="00251D91">
              <w:t>authorising</w:t>
            </w:r>
            <w:proofErr w:type="spellEnd"/>
            <w:r w:rsidR="00251D91" w:rsidRPr="00251D91">
              <w:t xml:space="preserve"> </w:t>
            </w:r>
            <w:r>
              <w:t>practitioners</w:t>
            </w:r>
            <w:r w:rsidR="00251D91" w:rsidRPr="00251D91">
              <w:t xml:space="preserve"> to act under the PGD and further training provided as required.</w:t>
            </w:r>
          </w:p>
          <w:p w14:paraId="3219E1FA" w14:textId="24675ABF" w:rsidR="00B81529" w:rsidRPr="00251D91" w:rsidRDefault="002A15CA" w:rsidP="004E7E16">
            <w:pPr>
              <w:pStyle w:val="Tabletext"/>
            </w:pPr>
            <w:r>
              <w:t xml:space="preserve">[ </w:t>
            </w:r>
            <w:proofErr w:type="spellStart"/>
            <w:r w:rsidR="00251D91" w:rsidRPr="002A15CA">
              <w:rPr>
                <w:highlight w:val="cyan"/>
              </w:rPr>
              <w:t>Organisational</w:t>
            </w:r>
            <w:proofErr w:type="spellEnd"/>
            <w:r w:rsidR="00251D91" w:rsidRPr="002A15CA">
              <w:rPr>
                <w:highlight w:val="cyan"/>
              </w:rPr>
              <w:t xml:space="preserve"> PGD and/or medication training as required by employing Trust/</w:t>
            </w:r>
            <w:proofErr w:type="spellStart"/>
            <w:r w:rsidR="00251D91" w:rsidRPr="002A15CA">
              <w:rPr>
                <w:highlight w:val="cyan"/>
              </w:rPr>
              <w:t>organisation</w:t>
            </w:r>
            <w:proofErr w:type="spellEnd"/>
            <w:r w:rsidR="00251D91"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seven rows which include the clinical condition or situation applicable, inclusion criteria, exclusion criteria, cautions,  specific information to be provided, actions to be taken if the individual is excluded or declines treatment and arrangements for referral for medical advice."/>
      </w:tblPr>
      <w:tblGrid>
        <w:gridCol w:w="2547"/>
        <w:gridCol w:w="5948"/>
      </w:tblGrid>
      <w:tr w:rsidR="00D36D23" w14:paraId="06FC28D1" w14:textId="77777777" w:rsidTr="00DD05C5">
        <w:tc>
          <w:tcPr>
            <w:tcW w:w="2547"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5948" w:type="dxa"/>
          </w:tcPr>
          <w:p w14:paraId="354E2C9A" w14:textId="3F7BD9C4" w:rsidR="00DD05C5" w:rsidRPr="00DD05C5" w:rsidRDefault="00DD05C5" w:rsidP="00DD05C5">
            <w:pPr>
              <w:overflowPunct w:val="0"/>
              <w:autoSpaceDE w:val="0"/>
              <w:autoSpaceDN w:val="0"/>
              <w:adjustRightInd w:val="0"/>
              <w:contextualSpacing/>
              <w:textAlignment w:val="baseline"/>
              <w:rPr>
                <w:rFonts w:ascii="Arial" w:hAnsi="Arial" w:cs="Arial"/>
                <w:sz w:val="22"/>
                <w:szCs w:val="22"/>
              </w:rPr>
            </w:pPr>
            <w:r w:rsidRPr="00DD05C5">
              <w:rPr>
                <w:rFonts w:ascii="Arial" w:hAnsi="Arial" w:cs="Arial"/>
                <w:sz w:val="22"/>
                <w:szCs w:val="22"/>
              </w:rPr>
              <w:t>HIV pre-exposure prophylaxis (</w:t>
            </w:r>
            <w:proofErr w:type="spellStart"/>
            <w:r w:rsidRPr="00DD05C5">
              <w:rPr>
                <w:rFonts w:ascii="Arial" w:hAnsi="Arial" w:cs="Arial"/>
                <w:sz w:val="22"/>
                <w:szCs w:val="22"/>
              </w:rPr>
              <w:t>PrEP</w:t>
            </w:r>
            <w:proofErr w:type="spellEnd"/>
            <w:r w:rsidRPr="00DD05C5">
              <w:rPr>
                <w:rFonts w:ascii="Arial" w:hAnsi="Arial" w:cs="Arial"/>
                <w:sz w:val="22"/>
                <w:szCs w:val="22"/>
              </w:rPr>
              <w:t xml:space="preserve">) to reduce the risk of sexually acquired HIV-1 infection in </w:t>
            </w:r>
            <w:r w:rsidRPr="00DD05C5">
              <w:rPr>
                <w:rFonts w:ascii="Arial" w:hAnsi="Arial"/>
                <w:kern w:val="28"/>
                <w:sz w:val="22"/>
                <w:szCs w:val="22"/>
              </w:rPr>
              <w:t>cisgender gay, bisexual and other men</w:t>
            </w:r>
            <w:r w:rsidRPr="00DD05C5">
              <w:rPr>
                <w:rFonts w:ascii="Arial" w:hAnsi="Arial" w:cs="Arial"/>
                <w:kern w:val="28"/>
                <w:sz w:val="22"/>
                <w:szCs w:val="22"/>
                <w:vertAlign w:val="superscript"/>
              </w:rPr>
              <w:t>†</w:t>
            </w:r>
            <w:r w:rsidRPr="00DD05C5">
              <w:rPr>
                <w:rFonts w:ascii="Arial" w:hAnsi="Arial"/>
                <w:kern w:val="28"/>
                <w:sz w:val="22"/>
                <w:szCs w:val="22"/>
              </w:rPr>
              <w:t xml:space="preserve"> who have sex with men (GBMSM) and transgender women (TGW)</w:t>
            </w:r>
            <w:r w:rsidRPr="00DD05C5">
              <w:rPr>
                <w:rFonts w:ascii="Arial" w:hAnsi="Arial" w:cs="Arial"/>
                <w:sz w:val="22"/>
                <w:szCs w:val="22"/>
              </w:rPr>
              <w:t>, where emtricitabine 200mg/tenofovir disoproxil fumarate 245mg (TD-FTC) is not appropriate (as per</w:t>
            </w:r>
            <w:r w:rsidR="004E10B1">
              <w:rPr>
                <w:rFonts w:ascii="Arial" w:hAnsi="Arial" w:cs="Arial"/>
                <w:sz w:val="22"/>
                <w:szCs w:val="22"/>
              </w:rPr>
              <w:t xml:space="preserve"> the</w:t>
            </w:r>
            <w:r w:rsidRPr="00DD05C5">
              <w:rPr>
                <w:rFonts w:ascii="Arial" w:hAnsi="Arial" w:cs="Arial"/>
                <w:sz w:val="22"/>
                <w:szCs w:val="22"/>
              </w:rPr>
              <w:t xml:space="preserve"> </w:t>
            </w:r>
            <w:hyperlink r:id="rId23" w:history="1">
              <w:r w:rsidRPr="00DD05C5">
                <w:rPr>
                  <w:rStyle w:val="Hyperlink"/>
                  <w:rFonts w:ascii="Arial" w:hAnsi="Arial" w:cs="Arial"/>
                  <w:sz w:val="22"/>
                  <w:szCs w:val="22"/>
                </w:rPr>
                <w:t>NHS England Clinical Commissioning Policy for the use of generic and second line drugs for Pre Exposure Prophylaxis (</w:t>
              </w:r>
              <w:proofErr w:type="spellStart"/>
              <w:r w:rsidRPr="00DD05C5">
                <w:rPr>
                  <w:rStyle w:val="Hyperlink"/>
                  <w:rFonts w:ascii="Arial" w:hAnsi="Arial" w:cs="Arial"/>
                  <w:sz w:val="22"/>
                  <w:szCs w:val="22"/>
                </w:rPr>
                <w:t>PrEP</w:t>
              </w:r>
              <w:proofErr w:type="spellEnd"/>
              <w:r w:rsidRPr="00DD05C5">
                <w:rPr>
                  <w:rStyle w:val="Hyperlink"/>
                  <w:rFonts w:ascii="Arial" w:hAnsi="Arial" w:cs="Arial"/>
                  <w:sz w:val="22"/>
                  <w:szCs w:val="22"/>
                </w:rPr>
                <w:t>) for the prevention of HIV</w:t>
              </w:r>
            </w:hyperlink>
            <w:r w:rsidRPr="00DD05C5">
              <w:rPr>
                <w:rFonts w:ascii="Arial" w:hAnsi="Arial" w:cs="Arial"/>
                <w:sz w:val="22"/>
                <w:szCs w:val="22"/>
              </w:rPr>
              <w:t>)</w:t>
            </w:r>
          </w:p>
          <w:p w14:paraId="1311E405" w14:textId="77777777" w:rsidR="00DD05C5" w:rsidRPr="00DD05C5" w:rsidRDefault="00DD05C5" w:rsidP="00DD05C5">
            <w:pPr>
              <w:overflowPunct w:val="0"/>
              <w:autoSpaceDE w:val="0"/>
              <w:autoSpaceDN w:val="0"/>
              <w:adjustRightInd w:val="0"/>
              <w:contextualSpacing/>
              <w:textAlignment w:val="baseline"/>
              <w:rPr>
                <w:rFonts w:ascii="Arial" w:hAnsi="Arial" w:cs="Arial"/>
                <w:sz w:val="22"/>
                <w:szCs w:val="22"/>
              </w:rPr>
            </w:pPr>
          </w:p>
          <w:p w14:paraId="622A2C8E" w14:textId="30653FA7" w:rsidR="00D36D23" w:rsidRPr="00DD05C5" w:rsidRDefault="00DD05C5" w:rsidP="00DD05C5">
            <w:pPr>
              <w:pStyle w:val="Tabletext"/>
              <w:rPr>
                <w:szCs w:val="22"/>
              </w:rPr>
            </w:pPr>
            <w:r w:rsidRPr="00DD05C5">
              <w:rPr>
                <w:rFonts w:cs="Arial"/>
                <w:kern w:val="28"/>
                <w:szCs w:val="22"/>
                <w:vertAlign w:val="superscript"/>
              </w:rPr>
              <w:t>†</w:t>
            </w:r>
            <w:r w:rsidRPr="00DD05C5">
              <w:rPr>
                <w:rFonts w:cs="Arial"/>
                <w:szCs w:val="22"/>
                <w:bdr w:val="none" w:sz="0" w:space="0" w:color="auto" w:frame="1"/>
              </w:rPr>
              <w:t xml:space="preserve"> </w:t>
            </w:r>
            <w:proofErr w:type="gramStart"/>
            <w:r w:rsidRPr="00DD05C5">
              <w:rPr>
                <w:rFonts w:cs="Arial"/>
                <w:szCs w:val="22"/>
                <w:bdr w:val="none" w:sz="0" w:space="0" w:color="auto" w:frame="1"/>
              </w:rPr>
              <w:t>includes</w:t>
            </w:r>
            <w:proofErr w:type="gramEnd"/>
            <w:r w:rsidRPr="00DD05C5">
              <w:rPr>
                <w:rFonts w:cs="Arial"/>
                <w:szCs w:val="22"/>
                <w:bdr w:val="none" w:sz="0" w:space="0" w:color="auto" w:frame="1"/>
              </w:rPr>
              <w:t xml:space="preserve"> non-binary people registered male at birth</w:t>
            </w:r>
          </w:p>
        </w:tc>
      </w:tr>
      <w:tr w:rsidR="00DD05C5" w14:paraId="423D958D" w14:textId="77777777" w:rsidTr="00DD05C5">
        <w:tc>
          <w:tcPr>
            <w:tcW w:w="2547" w:type="dxa"/>
          </w:tcPr>
          <w:p w14:paraId="12B69C9D" w14:textId="0A77D3DB" w:rsidR="00DD05C5" w:rsidRPr="00544444" w:rsidRDefault="00DD05C5" w:rsidP="00DD05C5">
            <w:pPr>
              <w:rPr>
                <w:rStyle w:val="TableHeaderColumn"/>
                <w:sz w:val="22"/>
              </w:rPr>
            </w:pPr>
            <w:r w:rsidRPr="00544444">
              <w:rPr>
                <w:rStyle w:val="TableHeaderColumn"/>
                <w:sz w:val="22"/>
              </w:rPr>
              <w:t xml:space="preserve">Criteria for inclusion </w:t>
            </w:r>
          </w:p>
        </w:tc>
        <w:tc>
          <w:tcPr>
            <w:tcW w:w="5948" w:type="dxa"/>
          </w:tcPr>
          <w:p w14:paraId="06ED4166" w14:textId="77777777" w:rsidR="00DD05C5" w:rsidRPr="00DD05C5" w:rsidRDefault="00DD05C5" w:rsidP="00DD05C5">
            <w:pPr>
              <w:pStyle w:val="TableParagraph"/>
              <w:numPr>
                <w:ilvl w:val="0"/>
                <w:numId w:val="46"/>
              </w:numPr>
              <w:spacing w:after="0" w:line="240" w:lineRule="auto"/>
              <w:rPr>
                <w:rFonts w:ascii="Arial" w:hAnsi="Arial" w:cs="Arial"/>
                <w:sz w:val="22"/>
                <w:szCs w:val="22"/>
                <w:lang w:val="en-GB"/>
              </w:rPr>
            </w:pPr>
            <w:r w:rsidRPr="00DD05C5">
              <w:rPr>
                <w:rFonts w:ascii="Arial" w:hAnsi="Arial" w:cs="Arial"/>
                <w:sz w:val="22"/>
                <w:szCs w:val="22"/>
                <w:lang w:val="en-GB"/>
              </w:rPr>
              <w:t>Informed consent</w:t>
            </w:r>
          </w:p>
          <w:p w14:paraId="56F28ED1" w14:textId="77777777" w:rsidR="00DD05C5" w:rsidRPr="00DD05C5" w:rsidRDefault="00DD05C5" w:rsidP="00DD05C5">
            <w:pPr>
              <w:pStyle w:val="TableParagraph"/>
              <w:numPr>
                <w:ilvl w:val="0"/>
                <w:numId w:val="46"/>
              </w:numPr>
              <w:spacing w:after="0" w:line="240" w:lineRule="auto"/>
              <w:rPr>
                <w:rFonts w:ascii="Arial" w:hAnsi="Arial" w:cs="Arial"/>
                <w:sz w:val="22"/>
                <w:szCs w:val="22"/>
                <w:lang w:val="en-GB"/>
              </w:rPr>
            </w:pPr>
            <w:r w:rsidRPr="00DD05C5">
              <w:rPr>
                <w:rFonts w:ascii="Arial" w:hAnsi="Arial" w:cs="Arial"/>
                <w:sz w:val="22"/>
                <w:szCs w:val="22"/>
                <w:lang w:val="en-GB"/>
              </w:rPr>
              <w:t xml:space="preserve">Individuals </w:t>
            </w:r>
            <w:r w:rsidRPr="00DD05C5">
              <w:rPr>
                <w:rFonts w:ascii="Arial" w:hAnsi="Arial" w:cs="Arial"/>
                <w:sz w:val="22"/>
                <w:szCs w:val="22"/>
              </w:rPr>
              <w:t>aged 15 years or over (for all individuals under the age of 19 years - follow local young person’s risk assessment or equivalent local process). </w:t>
            </w:r>
          </w:p>
          <w:p w14:paraId="325DBA93" w14:textId="77777777" w:rsidR="00DD05C5" w:rsidRPr="00DD05C5" w:rsidRDefault="00DD05C5" w:rsidP="00DD05C5">
            <w:pPr>
              <w:pStyle w:val="TableParagraph"/>
              <w:numPr>
                <w:ilvl w:val="0"/>
                <w:numId w:val="46"/>
              </w:numPr>
              <w:spacing w:after="0" w:line="240" w:lineRule="auto"/>
              <w:rPr>
                <w:rFonts w:ascii="Arial" w:hAnsi="Arial" w:cs="Arial"/>
                <w:sz w:val="22"/>
                <w:szCs w:val="22"/>
                <w:lang w:val="en-GB"/>
              </w:rPr>
            </w:pPr>
            <w:r w:rsidRPr="00DD05C5">
              <w:rPr>
                <w:rFonts w:ascii="Arial" w:hAnsi="Arial" w:cs="Arial"/>
                <w:sz w:val="22"/>
                <w:szCs w:val="22"/>
              </w:rPr>
              <w:t>Actual body weight ≥ 35kg</w:t>
            </w:r>
          </w:p>
          <w:p w14:paraId="50CB5A4A" w14:textId="77777777" w:rsidR="00DD05C5" w:rsidRPr="00DD05C5" w:rsidRDefault="00DD05C5" w:rsidP="00DD05C5">
            <w:pPr>
              <w:pStyle w:val="TableParagraph"/>
              <w:numPr>
                <w:ilvl w:val="0"/>
                <w:numId w:val="46"/>
              </w:numPr>
              <w:spacing w:after="0" w:line="240" w:lineRule="auto"/>
              <w:rPr>
                <w:rFonts w:ascii="Arial" w:hAnsi="Arial" w:cs="Arial"/>
                <w:sz w:val="22"/>
                <w:szCs w:val="22"/>
                <w:lang w:val="en-GB"/>
              </w:rPr>
            </w:pPr>
            <w:r w:rsidRPr="00DD05C5">
              <w:rPr>
                <w:rFonts w:ascii="Arial" w:hAnsi="Arial" w:cs="Arial"/>
                <w:sz w:val="22"/>
                <w:szCs w:val="22"/>
                <w:lang w:val="en-GB"/>
              </w:rPr>
              <w:t>C</w:t>
            </w:r>
            <w:proofErr w:type="spellStart"/>
            <w:r w:rsidRPr="00DD05C5">
              <w:rPr>
                <w:rFonts w:ascii="Arial" w:hAnsi="Arial"/>
                <w:kern w:val="28"/>
                <w:sz w:val="22"/>
                <w:szCs w:val="22"/>
              </w:rPr>
              <w:t>isgender</w:t>
            </w:r>
            <w:proofErr w:type="spellEnd"/>
            <w:r w:rsidRPr="00DD05C5">
              <w:rPr>
                <w:rFonts w:ascii="Arial" w:hAnsi="Arial"/>
                <w:kern w:val="28"/>
                <w:sz w:val="22"/>
                <w:szCs w:val="22"/>
              </w:rPr>
              <w:t xml:space="preserve"> gay, bisexual and other men</w:t>
            </w:r>
            <w:r w:rsidRPr="00DD05C5">
              <w:rPr>
                <w:rFonts w:ascii="Arial" w:hAnsi="Arial" w:cs="Arial"/>
                <w:kern w:val="28"/>
                <w:sz w:val="22"/>
                <w:szCs w:val="22"/>
                <w:vertAlign w:val="superscript"/>
              </w:rPr>
              <w:t>†</w:t>
            </w:r>
            <w:r w:rsidRPr="00DD05C5">
              <w:rPr>
                <w:rFonts w:ascii="Arial" w:hAnsi="Arial"/>
                <w:kern w:val="28"/>
                <w:sz w:val="22"/>
                <w:szCs w:val="22"/>
              </w:rPr>
              <w:t xml:space="preserve"> who have sex with men (GBMSM) </w:t>
            </w:r>
            <w:r w:rsidRPr="00DD05C5">
              <w:rPr>
                <w:rFonts w:ascii="Arial" w:hAnsi="Arial"/>
                <w:b/>
                <w:bCs/>
                <w:kern w:val="28"/>
                <w:sz w:val="22"/>
                <w:szCs w:val="22"/>
              </w:rPr>
              <w:t>OR</w:t>
            </w:r>
            <w:r w:rsidRPr="00DD05C5">
              <w:rPr>
                <w:rFonts w:ascii="Arial" w:hAnsi="Arial" w:cs="Arial"/>
                <w:sz w:val="22"/>
                <w:szCs w:val="22"/>
                <w:lang w:val="en-GB"/>
              </w:rPr>
              <w:t xml:space="preserve"> t</w:t>
            </w:r>
            <w:proofErr w:type="spellStart"/>
            <w:r w:rsidRPr="00DD05C5">
              <w:rPr>
                <w:rFonts w:ascii="Arial" w:hAnsi="Arial"/>
                <w:kern w:val="28"/>
                <w:sz w:val="22"/>
                <w:szCs w:val="22"/>
              </w:rPr>
              <w:t>ransgender</w:t>
            </w:r>
            <w:proofErr w:type="spellEnd"/>
            <w:r w:rsidRPr="00DD05C5">
              <w:rPr>
                <w:rFonts w:ascii="Arial" w:hAnsi="Arial"/>
                <w:kern w:val="28"/>
                <w:sz w:val="22"/>
                <w:szCs w:val="22"/>
              </w:rPr>
              <w:t xml:space="preserve"> women (TGW) who may benefit from a reduction in HIV risk </w:t>
            </w:r>
          </w:p>
          <w:p w14:paraId="3457E390" w14:textId="77777777" w:rsidR="00DD05C5" w:rsidRPr="00DD05C5" w:rsidRDefault="00DD05C5" w:rsidP="00DD05C5">
            <w:pPr>
              <w:pStyle w:val="TableParagraph"/>
              <w:spacing w:after="0" w:line="240" w:lineRule="auto"/>
              <w:ind w:left="360"/>
              <w:rPr>
                <w:rFonts w:ascii="Arial" w:hAnsi="Arial" w:cs="Arial"/>
                <w:sz w:val="22"/>
                <w:szCs w:val="22"/>
                <w:lang w:val="en-GB"/>
              </w:rPr>
            </w:pPr>
          </w:p>
          <w:p w14:paraId="395110F7" w14:textId="30ED3205" w:rsidR="00DD05C5" w:rsidRPr="00DD05C5" w:rsidRDefault="00DD05C5" w:rsidP="00DD05C5">
            <w:pPr>
              <w:pStyle w:val="TableParagraph"/>
              <w:rPr>
                <w:rFonts w:ascii="Arial" w:hAnsi="Arial" w:cs="Arial"/>
                <w:sz w:val="22"/>
                <w:szCs w:val="22"/>
                <w:bdr w:val="none" w:sz="0" w:space="0" w:color="auto" w:frame="1"/>
              </w:rPr>
            </w:pPr>
            <w:r w:rsidRPr="00DD05C5">
              <w:rPr>
                <w:rFonts w:ascii="Arial" w:hAnsi="Arial" w:cs="Arial"/>
                <w:kern w:val="28"/>
                <w:sz w:val="22"/>
                <w:szCs w:val="22"/>
                <w:vertAlign w:val="superscript"/>
              </w:rPr>
              <w:t>†</w:t>
            </w:r>
            <w:r w:rsidRPr="00DD05C5">
              <w:rPr>
                <w:rFonts w:ascii="Arial" w:hAnsi="Arial" w:cs="Arial"/>
                <w:sz w:val="22"/>
                <w:szCs w:val="22"/>
                <w:bdr w:val="none" w:sz="0" w:space="0" w:color="auto" w:frame="1"/>
              </w:rPr>
              <w:t xml:space="preserve"> </w:t>
            </w:r>
            <w:proofErr w:type="gramStart"/>
            <w:r w:rsidRPr="00DD05C5">
              <w:rPr>
                <w:rFonts w:ascii="Arial" w:hAnsi="Arial" w:cs="Arial"/>
                <w:sz w:val="22"/>
                <w:szCs w:val="22"/>
                <w:bdr w:val="none" w:sz="0" w:space="0" w:color="auto" w:frame="1"/>
              </w:rPr>
              <w:t>includes</w:t>
            </w:r>
            <w:proofErr w:type="gramEnd"/>
            <w:r w:rsidRPr="00DD05C5">
              <w:rPr>
                <w:rFonts w:ascii="Arial" w:hAnsi="Arial" w:cs="Arial"/>
                <w:sz w:val="22"/>
                <w:szCs w:val="22"/>
                <w:bdr w:val="none" w:sz="0" w:space="0" w:color="auto" w:frame="1"/>
              </w:rPr>
              <w:t xml:space="preserve"> non-binary people registered male at birth</w:t>
            </w:r>
          </w:p>
          <w:p w14:paraId="76049849" w14:textId="77777777" w:rsidR="00DD05C5" w:rsidRPr="00DD05C5" w:rsidRDefault="00DD05C5" w:rsidP="00DD05C5">
            <w:pPr>
              <w:shd w:val="clear" w:color="auto" w:fill="FFFFFF"/>
              <w:rPr>
                <w:rFonts w:ascii="Arial" w:hAnsi="Arial" w:cs="Arial"/>
                <w:sz w:val="22"/>
                <w:szCs w:val="22"/>
              </w:rPr>
            </w:pPr>
            <w:r w:rsidRPr="00DD05C5">
              <w:rPr>
                <w:rFonts w:ascii="Arial" w:hAnsi="Arial" w:cs="Arial"/>
                <w:b/>
                <w:sz w:val="22"/>
                <w:szCs w:val="22"/>
              </w:rPr>
              <w:t>AND</w:t>
            </w:r>
            <w:r w:rsidRPr="00DD05C5">
              <w:rPr>
                <w:rFonts w:ascii="Arial" w:hAnsi="Arial" w:cs="Arial"/>
                <w:sz w:val="22"/>
                <w:szCs w:val="22"/>
              </w:rPr>
              <w:t xml:space="preserve"> </w:t>
            </w:r>
          </w:p>
          <w:p w14:paraId="29533071" w14:textId="5907FDCE"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who are confirmed eligible through a local multidisciplinary team (MDT) discussion for TAF-FTC </w:t>
            </w:r>
            <w:proofErr w:type="spellStart"/>
            <w:r w:rsidRPr="00DD05C5">
              <w:rPr>
                <w:rFonts w:ascii="Arial" w:hAnsi="Arial" w:cs="Arial"/>
                <w:sz w:val="22"/>
                <w:szCs w:val="22"/>
              </w:rPr>
              <w:t>PrEP</w:t>
            </w:r>
            <w:proofErr w:type="spellEnd"/>
            <w:r w:rsidRPr="00DD05C5">
              <w:rPr>
                <w:rFonts w:ascii="Arial" w:hAnsi="Arial" w:cs="Arial"/>
                <w:sz w:val="22"/>
                <w:szCs w:val="22"/>
              </w:rPr>
              <w:t xml:space="preserve">, as per </w:t>
            </w:r>
            <w:r w:rsidR="004E10B1">
              <w:rPr>
                <w:rFonts w:ascii="Arial" w:hAnsi="Arial" w:cs="Arial"/>
                <w:sz w:val="22"/>
                <w:szCs w:val="22"/>
              </w:rPr>
              <w:t xml:space="preserve">the </w:t>
            </w:r>
            <w:hyperlink r:id="rId24" w:history="1">
              <w:r w:rsidRPr="00DD05C5">
                <w:rPr>
                  <w:rStyle w:val="Hyperlink"/>
                  <w:rFonts w:ascii="Arial" w:hAnsi="Arial" w:cs="Arial"/>
                  <w:sz w:val="22"/>
                  <w:szCs w:val="22"/>
                </w:rPr>
                <w:t>NHS England Clinical Commissioning Policy for the use of generic and second line drugs for Pre Exposure Prophylaxis (</w:t>
              </w:r>
              <w:proofErr w:type="spellStart"/>
              <w:r w:rsidRPr="00DD05C5">
                <w:rPr>
                  <w:rStyle w:val="Hyperlink"/>
                  <w:rFonts w:ascii="Arial" w:hAnsi="Arial" w:cs="Arial"/>
                  <w:sz w:val="22"/>
                  <w:szCs w:val="22"/>
                </w:rPr>
                <w:t>PrEP</w:t>
              </w:r>
              <w:proofErr w:type="spellEnd"/>
              <w:r w:rsidRPr="00DD05C5">
                <w:rPr>
                  <w:rStyle w:val="Hyperlink"/>
                  <w:rFonts w:ascii="Arial" w:hAnsi="Arial" w:cs="Arial"/>
                  <w:sz w:val="22"/>
                  <w:szCs w:val="22"/>
                </w:rPr>
                <w:t>) for the prevention of HIV</w:t>
              </w:r>
            </w:hyperlink>
            <w:r w:rsidRPr="00DD05C5">
              <w:rPr>
                <w:rFonts w:ascii="Arial" w:hAnsi="Arial" w:cs="Arial"/>
                <w:sz w:val="22"/>
                <w:szCs w:val="22"/>
              </w:rPr>
              <w:t>)</w:t>
            </w:r>
          </w:p>
          <w:p w14:paraId="7776258E" w14:textId="77777777" w:rsidR="00DD05C5" w:rsidRPr="00DD05C5" w:rsidRDefault="00DD05C5" w:rsidP="00DD05C5">
            <w:pPr>
              <w:pStyle w:val="NormalWeb"/>
              <w:spacing w:before="0" w:beforeAutospacing="0" w:after="0" w:afterAutospacing="0"/>
              <w:rPr>
                <w:rFonts w:ascii="Arial" w:hAnsi="Arial" w:cs="Arial"/>
                <w:iCs/>
                <w:sz w:val="22"/>
                <w:szCs w:val="22"/>
              </w:rPr>
            </w:pPr>
            <w:r w:rsidRPr="00DD05C5">
              <w:rPr>
                <w:rFonts w:ascii="Arial" w:hAnsi="Arial" w:cs="Arial"/>
                <w:iCs/>
                <w:sz w:val="22"/>
                <w:szCs w:val="22"/>
                <w:u w:val="single"/>
              </w:rPr>
              <w:t>Note:</w:t>
            </w:r>
            <w:r w:rsidRPr="00DD05C5">
              <w:rPr>
                <w:rFonts w:ascii="Arial" w:hAnsi="Arial" w:cs="Arial"/>
                <w:iCs/>
                <w:sz w:val="22"/>
                <w:szCs w:val="22"/>
              </w:rPr>
              <w:t xml:space="preserve"> Appropriate prior approval (</w:t>
            </w:r>
            <w:proofErr w:type="spellStart"/>
            <w:r w:rsidRPr="00DD05C5">
              <w:rPr>
                <w:rFonts w:ascii="Arial" w:hAnsi="Arial" w:cs="Arial"/>
                <w:iCs/>
                <w:sz w:val="22"/>
                <w:szCs w:val="22"/>
              </w:rPr>
              <w:t>Blueteq</w:t>
            </w:r>
            <w:proofErr w:type="spellEnd"/>
            <w:r w:rsidRPr="00DD05C5">
              <w:rPr>
                <w:rFonts w:ascii="Arial" w:hAnsi="Arial" w:cs="Arial"/>
                <w:iCs/>
                <w:sz w:val="22"/>
                <w:szCs w:val="22"/>
              </w:rPr>
              <w:t>) form must be completed</w:t>
            </w:r>
          </w:p>
          <w:p w14:paraId="0A8BB5DF" w14:textId="77777777" w:rsidR="00DD05C5" w:rsidRPr="00DD05C5" w:rsidRDefault="00DD05C5" w:rsidP="00DD05C5">
            <w:pPr>
              <w:pStyle w:val="NormalWeb"/>
              <w:spacing w:before="0" w:beforeAutospacing="0" w:after="0" w:afterAutospacing="0"/>
              <w:rPr>
                <w:rFonts w:ascii="Arial" w:hAnsi="Arial" w:cs="Arial"/>
                <w:sz w:val="22"/>
                <w:szCs w:val="22"/>
              </w:rPr>
            </w:pPr>
          </w:p>
          <w:p w14:paraId="2CCCD41A" w14:textId="77777777"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b/>
                <w:bCs/>
                <w:sz w:val="22"/>
                <w:szCs w:val="22"/>
              </w:rPr>
              <w:t>AND</w:t>
            </w:r>
            <w:r w:rsidRPr="00DD05C5">
              <w:rPr>
                <w:rFonts w:ascii="Arial" w:hAnsi="Arial" w:cs="Arial"/>
                <w:sz w:val="22"/>
                <w:szCs w:val="22"/>
              </w:rPr>
              <w:t xml:space="preserve"> </w:t>
            </w:r>
          </w:p>
          <w:p w14:paraId="48F1A3BD" w14:textId="722111D9"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who cannot take the usual first-line </w:t>
            </w:r>
            <w:proofErr w:type="spellStart"/>
            <w:r w:rsidRPr="00DD05C5">
              <w:rPr>
                <w:rFonts w:ascii="Arial" w:hAnsi="Arial" w:cs="Arial"/>
                <w:sz w:val="22"/>
                <w:szCs w:val="22"/>
              </w:rPr>
              <w:t>PrEP</w:t>
            </w:r>
            <w:proofErr w:type="spellEnd"/>
            <w:r w:rsidRPr="00DD05C5">
              <w:rPr>
                <w:rFonts w:ascii="Arial" w:hAnsi="Arial" w:cs="Arial"/>
                <w:sz w:val="22"/>
                <w:szCs w:val="22"/>
              </w:rPr>
              <w:t xml:space="preserve"> therapy due to risk factors</w:t>
            </w:r>
            <w:r w:rsidRPr="00DD05C5">
              <w:rPr>
                <w:rFonts w:ascii="Arial" w:hAnsi="Arial" w:cs="Arial"/>
                <w:sz w:val="22"/>
                <w:szCs w:val="22"/>
                <w:vertAlign w:val="superscript"/>
              </w:rPr>
              <w:t>‡</w:t>
            </w:r>
            <w:r w:rsidRPr="00DD05C5">
              <w:rPr>
                <w:rFonts w:ascii="Arial" w:hAnsi="Arial" w:cs="Arial"/>
                <w:sz w:val="22"/>
                <w:szCs w:val="22"/>
              </w:rPr>
              <w:t xml:space="preserve"> to TD-FTC use, as per </w:t>
            </w:r>
            <w:r w:rsidR="004E10B1">
              <w:rPr>
                <w:rFonts w:ascii="Arial" w:hAnsi="Arial" w:cs="Arial"/>
                <w:sz w:val="22"/>
                <w:szCs w:val="22"/>
              </w:rPr>
              <w:t xml:space="preserve">the </w:t>
            </w:r>
            <w:hyperlink r:id="rId25" w:history="1">
              <w:r w:rsidRPr="00DD05C5">
                <w:rPr>
                  <w:rStyle w:val="Hyperlink"/>
                  <w:rFonts w:ascii="Arial" w:hAnsi="Arial" w:cs="Arial"/>
                  <w:sz w:val="22"/>
                  <w:szCs w:val="22"/>
                </w:rPr>
                <w:t>NHS England Clinical Commissioning Policy for the use of generic and second line drugs for Pre Exposure Prophylaxis (</w:t>
              </w:r>
              <w:proofErr w:type="spellStart"/>
              <w:r w:rsidRPr="00DD05C5">
                <w:rPr>
                  <w:rStyle w:val="Hyperlink"/>
                  <w:rFonts w:ascii="Arial" w:hAnsi="Arial" w:cs="Arial"/>
                  <w:sz w:val="22"/>
                  <w:szCs w:val="22"/>
                </w:rPr>
                <w:t>PrEP</w:t>
              </w:r>
              <w:proofErr w:type="spellEnd"/>
              <w:r w:rsidRPr="00DD05C5">
                <w:rPr>
                  <w:rStyle w:val="Hyperlink"/>
                  <w:rFonts w:ascii="Arial" w:hAnsi="Arial" w:cs="Arial"/>
                  <w:sz w:val="22"/>
                  <w:szCs w:val="22"/>
                </w:rPr>
                <w:t>) for the prevention of HIV</w:t>
              </w:r>
            </w:hyperlink>
          </w:p>
          <w:p w14:paraId="79236FA2" w14:textId="77777777" w:rsidR="00DD05C5" w:rsidRPr="00DD05C5" w:rsidRDefault="00DD05C5" w:rsidP="00DD05C5">
            <w:pPr>
              <w:pStyle w:val="NormalWeb"/>
              <w:spacing w:before="0" w:beforeAutospacing="0" w:after="0" w:afterAutospacing="0"/>
              <w:ind w:left="360"/>
              <w:rPr>
                <w:rFonts w:ascii="Arial" w:hAnsi="Arial" w:cs="Arial"/>
                <w:sz w:val="22"/>
                <w:szCs w:val="22"/>
              </w:rPr>
            </w:pPr>
          </w:p>
          <w:p w14:paraId="5F7EA238" w14:textId="77777777"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 xml:space="preserve">‡ </w:t>
            </w:r>
            <w:r w:rsidRPr="00DD05C5">
              <w:rPr>
                <w:rFonts w:ascii="Arial" w:hAnsi="Arial" w:cs="Arial"/>
                <w:b/>
                <w:sz w:val="22"/>
                <w:szCs w:val="22"/>
              </w:rPr>
              <w:t>Risk factors for TD-FTC use:</w:t>
            </w:r>
            <w:r w:rsidRPr="00DD05C5">
              <w:rPr>
                <w:rFonts w:ascii="Arial" w:hAnsi="Arial" w:cs="Arial"/>
                <w:sz w:val="22"/>
                <w:szCs w:val="22"/>
              </w:rPr>
              <w:t xml:space="preserve"> </w:t>
            </w:r>
          </w:p>
          <w:p w14:paraId="18222EAA" w14:textId="77777777"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Individuals with a reduction</w:t>
            </w:r>
            <w:r w:rsidRPr="00DD05C5">
              <w:rPr>
                <w:rFonts w:ascii="Arial" w:hAnsi="Arial" w:cs="Arial"/>
                <w:sz w:val="22"/>
                <w:szCs w:val="22"/>
                <w:vertAlign w:val="superscript"/>
              </w:rPr>
              <w:t xml:space="preserve"> 1</w:t>
            </w:r>
            <w:r w:rsidRPr="00DD05C5">
              <w:rPr>
                <w:rFonts w:ascii="Arial" w:hAnsi="Arial" w:cs="Arial"/>
                <w:sz w:val="22"/>
                <w:szCs w:val="22"/>
              </w:rPr>
              <w:t xml:space="preserve"> in estimated glomerular filtration (eGFR &lt; 60 ml/min) and clinical assessment suggests that TAF-FTC would have a lower risk profile than TD-FTC </w:t>
            </w:r>
            <w:r w:rsidRPr="00DD05C5">
              <w:rPr>
                <w:rFonts w:ascii="Arial" w:hAnsi="Arial" w:cs="Arial"/>
                <w:b/>
                <w:sz w:val="22"/>
                <w:szCs w:val="22"/>
              </w:rPr>
              <w:t>OR</w:t>
            </w:r>
            <w:r w:rsidRPr="00DD05C5">
              <w:rPr>
                <w:rFonts w:ascii="Arial" w:hAnsi="Arial" w:cs="Arial"/>
                <w:sz w:val="22"/>
                <w:szCs w:val="22"/>
              </w:rPr>
              <w:t xml:space="preserve"> </w:t>
            </w:r>
          </w:p>
          <w:p w14:paraId="7264EDF2" w14:textId="77777777"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lastRenderedPageBreak/>
              <w:t xml:space="preserve">Individuals with proven renal toxicity </w:t>
            </w:r>
            <w:r w:rsidRPr="00DD05C5">
              <w:rPr>
                <w:rFonts w:ascii="Arial" w:hAnsi="Arial" w:cs="Arial"/>
                <w:sz w:val="22"/>
                <w:szCs w:val="22"/>
                <w:vertAlign w:val="superscript"/>
              </w:rPr>
              <w:t>2</w:t>
            </w:r>
            <w:r w:rsidRPr="00DD05C5">
              <w:rPr>
                <w:rFonts w:ascii="Arial" w:hAnsi="Arial" w:cs="Arial"/>
                <w:sz w:val="22"/>
                <w:szCs w:val="22"/>
              </w:rPr>
              <w:t xml:space="preserve"> with TD-FTC (acute or chronic) </w:t>
            </w:r>
            <w:r w:rsidRPr="00DD05C5">
              <w:rPr>
                <w:rFonts w:ascii="Arial" w:hAnsi="Arial" w:cs="Arial"/>
                <w:b/>
                <w:sz w:val="22"/>
                <w:szCs w:val="22"/>
              </w:rPr>
              <w:t>OR</w:t>
            </w:r>
            <w:r w:rsidRPr="00DD05C5">
              <w:rPr>
                <w:rFonts w:ascii="Arial" w:hAnsi="Arial" w:cs="Arial"/>
                <w:sz w:val="22"/>
                <w:szCs w:val="22"/>
              </w:rPr>
              <w:t xml:space="preserve"> </w:t>
            </w:r>
          </w:p>
          <w:p w14:paraId="250953FA" w14:textId="77777777"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Individuals with osteoporosis who are at a high risk for fractures</w:t>
            </w:r>
            <w:r w:rsidRPr="00DD05C5">
              <w:rPr>
                <w:rFonts w:ascii="Arial" w:hAnsi="Arial" w:cs="Arial"/>
                <w:b/>
                <w:sz w:val="22"/>
                <w:szCs w:val="22"/>
              </w:rPr>
              <w:t xml:space="preserve"> OR</w:t>
            </w:r>
            <w:r w:rsidRPr="00DD05C5">
              <w:rPr>
                <w:rFonts w:ascii="Arial" w:hAnsi="Arial" w:cs="Arial"/>
                <w:sz w:val="22"/>
                <w:szCs w:val="22"/>
              </w:rPr>
              <w:t xml:space="preserve"> </w:t>
            </w:r>
          </w:p>
          <w:p w14:paraId="71E7696C" w14:textId="77777777"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who are &lt; 18 years </w:t>
            </w:r>
            <w:r w:rsidRPr="00DD05C5">
              <w:rPr>
                <w:rFonts w:ascii="Arial" w:hAnsi="Arial" w:cs="Arial"/>
                <w:b/>
                <w:sz w:val="22"/>
                <w:szCs w:val="22"/>
              </w:rPr>
              <w:t xml:space="preserve">OR </w:t>
            </w:r>
          </w:p>
          <w:p w14:paraId="55C438A3" w14:textId="77777777" w:rsidR="00DD05C5" w:rsidRPr="00DD05C5" w:rsidRDefault="00DD05C5" w:rsidP="00DD05C5">
            <w:pPr>
              <w:pStyle w:val="NormalWeb"/>
              <w:numPr>
                <w:ilvl w:val="0"/>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with an eGFR ≥ 60 ml/min in whom: </w:t>
            </w:r>
          </w:p>
          <w:p w14:paraId="63BDAE56" w14:textId="77777777" w:rsidR="00DD05C5" w:rsidRPr="00DD05C5" w:rsidRDefault="00DD05C5" w:rsidP="00DD05C5">
            <w:pPr>
              <w:pStyle w:val="NormalWeb"/>
              <w:numPr>
                <w:ilvl w:val="1"/>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A progressive reduction in glomerular filtration rate </w:t>
            </w:r>
            <w:r w:rsidRPr="00DD05C5">
              <w:rPr>
                <w:rFonts w:ascii="Arial" w:hAnsi="Arial" w:cs="Arial"/>
                <w:sz w:val="22"/>
                <w:szCs w:val="22"/>
                <w:vertAlign w:val="superscript"/>
              </w:rPr>
              <w:t>3</w:t>
            </w:r>
            <w:r w:rsidRPr="00DD05C5">
              <w:rPr>
                <w:rFonts w:ascii="Arial" w:hAnsi="Arial" w:cs="Arial"/>
                <w:sz w:val="22"/>
                <w:szCs w:val="22"/>
              </w:rPr>
              <w:t xml:space="preserve"> on TD-FTC is seen </w:t>
            </w:r>
            <w:r w:rsidRPr="00DD05C5">
              <w:rPr>
                <w:rFonts w:ascii="Arial" w:hAnsi="Arial" w:cs="Arial"/>
                <w:b/>
                <w:sz w:val="22"/>
                <w:szCs w:val="22"/>
              </w:rPr>
              <w:t>AND</w:t>
            </w:r>
            <w:r w:rsidRPr="00DD05C5">
              <w:rPr>
                <w:rFonts w:ascii="Arial" w:hAnsi="Arial" w:cs="Arial"/>
                <w:sz w:val="22"/>
                <w:szCs w:val="22"/>
              </w:rPr>
              <w:t xml:space="preserve"> </w:t>
            </w:r>
          </w:p>
          <w:p w14:paraId="7ED6135F" w14:textId="77777777" w:rsidR="00DD05C5" w:rsidRPr="00DD05C5" w:rsidRDefault="00DD05C5" w:rsidP="00DD05C5">
            <w:pPr>
              <w:pStyle w:val="NormalWeb"/>
              <w:numPr>
                <w:ilvl w:val="1"/>
                <w:numId w:val="46"/>
              </w:numPr>
              <w:spacing w:before="0" w:beforeAutospacing="0" w:after="0" w:afterAutospacing="0" w:line="240" w:lineRule="auto"/>
              <w:rPr>
                <w:rFonts w:ascii="Arial" w:hAnsi="Arial" w:cs="Arial"/>
                <w:sz w:val="22"/>
                <w:szCs w:val="22"/>
              </w:rPr>
            </w:pPr>
            <w:r w:rsidRPr="00DD05C5">
              <w:rPr>
                <w:rFonts w:ascii="Arial" w:hAnsi="Arial" w:cs="Arial"/>
                <w:sz w:val="22"/>
                <w:szCs w:val="22"/>
              </w:rPr>
              <w:t>Significant concurrent medical issues or monitoring/prescribing concerns which suggest TAF-FTC would have a lower risk profile to TD-FTC.</w:t>
            </w:r>
          </w:p>
          <w:p w14:paraId="75B2268F" w14:textId="77777777" w:rsidR="00DD05C5" w:rsidRPr="00DD05C5" w:rsidRDefault="00DD05C5" w:rsidP="00DD05C5">
            <w:pPr>
              <w:pStyle w:val="NormalWeb"/>
              <w:spacing w:before="0" w:beforeAutospacing="0" w:after="0" w:afterAutospacing="0"/>
              <w:rPr>
                <w:rFonts w:ascii="Arial" w:hAnsi="Arial" w:cs="Arial"/>
                <w:sz w:val="22"/>
                <w:szCs w:val="22"/>
              </w:rPr>
            </w:pPr>
          </w:p>
          <w:p w14:paraId="4E7E3050" w14:textId="77777777"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1</w:t>
            </w:r>
            <w:r w:rsidRPr="00DD05C5">
              <w:rPr>
                <w:rFonts w:ascii="Arial" w:hAnsi="Arial" w:cs="Arial"/>
                <w:sz w:val="22"/>
                <w:szCs w:val="22"/>
              </w:rPr>
              <w:t xml:space="preserve"> Sustained reduction in eGFR </w:t>
            </w:r>
            <w:r w:rsidRPr="00DD05C5">
              <w:rPr>
                <w:rFonts w:ascii="Arial" w:hAnsi="Arial" w:cs="Arial"/>
                <w:sz w:val="22"/>
                <w:szCs w:val="22"/>
                <w:highlight w:val="cyan"/>
              </w:rPr>
              <w:t>(confirmed on at least 2 occasions more than 14 days’ apart, or as per local policy)</w:t>
            </w:r>
            <w:r w:rsidRPr="00DD05C5">
              <w:rPr>
                <w:rFonts w:ascii="Arial" w:hAnsi="Arial" w:cs="Arial"/>
                <w:sz w:val="22"/>
                <w:szCs w:val="22"/>
              </w:rPr>
              <w:t xml:space="preserve"> </w:t>
            </w:r>
          </w:p>
          <w:p w14:paraId="5A104A59" w14:textId="77777777" w:rsidR="00DD05C5" w:rsidRPr="00DD05C5" w:rsidRDefault="00DD05C5" w:rsidP="00DD05C5">
            <w:pPr>
              <w:pStyle w:val="NormalWeb"/>
              <w:spacing w:before="0" w:beforeAutospacing="0" w:after="0" w:afterAutospacing="0"/>
              <w:rPr>
                <w:rFonts w:ascii="Arial" w:hAnsi="Arial" w:cs="Arial"/>
                <w:sz w:val="22"/>
                <w:szCs w:val="22"/>
              </w:rPr>
            </w:pPr>
          </w:p>
          <w:p w14:paraId="4AF4CA37" w14:textId="3EABC272" w:rsid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 xml:space="preserve">2 </w:t>
            </w:r>
            <w:r w:rsidRPr="00DD05C5">
              <w:rPr>
                <w:rFonts w:ascii="Arial" w:hAnsi="Arial" w:cs="Arial"/>
                <w:sz w:val="22"/>
                <w:szCs w:val="22"/>
              </w:rPr>
              <w:t xml:space="preserve">Renal </w:t>
            </w:r>
            <w:proofErr w:type="gramStart"/>
            <w:r w:rsidRPr="00DD05C5">
              <w:rPr>
                <w:rFonts w:ascii="Arial" w:hAnsi="Arial" w:cs="Arial"/>
                <w:sz w:val="22"/>
                <w:szCs w:val="22"/>
              </w:rPr>
              <w:t>toxicity</w:t>
            </w:r>
            <w:proofErr w:type="gramEnd"/>
            <w:r w:rsidRPr="00DD05C5">
              <w:rPr>
                <w:rFonts w:ascii="Arial" w:hAnsi="Arial" w:cs="Arial"/>
                <w:sz w:val="22"/>
                <w:szCs w:val="22"/>
              </w:rPr>
              <w:t xml:space="preserve"> defined as a progressive, sustained decline in renal function or development of renal tubular acidosis, attributable to TD-FTC. Toxicity could also include development or worsening of existing proteinuria without another reversible or explained cause. It is expected that PGD users will consult renal specialists if there is diagnostic uncertainty, as per</w:t>
            </w:r>
            <w:r w:rsidR="004E10B1">
              <w:rPr>
                <w:rFonts w:ascii="Arial" w:hAnsi="Arial" w:cs="Arial"/>
                <w:sz w:val="22"/>
                <w:szCs w:val="22"/>
              </w:rPr>
              <w:t xml:space="preserve"> the</w:t>
            </w:r>
            <w:r w:rsidRPr="00DD05C5">
              <w:rPr>
                <w:rFonts w:ascii="Arial" w:hAnsi="Arial" w:cs="Arial"/>
                <w:sz w:val="22"/>
                <w:szCs w:val="22"/>
              </w:rPr>
              <w:t xml:space="preserve"> </w:t>
            </w:r>
            <w:hyperlink r:id="rId26" w:history="1">
              <w:r w:rsidRPr="00DD05C5">
                <w:rPr>
                  <w:rStyle w:val="Hyperlink"/>
                  <w:rFonts w:ascii="Arial" w:hAnsi="Arial" w:cs="Arial"/>
                  <w:sz w:val="22"/>
                  <w:szCs w:val="22"/>
                </w:rPr>
                <w:t>NHS England Clinical Commissioning Policy for the use of generic and second line drugs for Pre Exposure Prophylaxis (</w:t>
              </w:r>
              <w:proofErr w:type="spellStart"/>
              <w:r w:rsidRPr="00DD05C5">
                <w:rPr>
                  <w:rStyle w:val="Hyperlink"/>
                  <w:rFonts w:ascii="Arial" w:hAnsi="Arial" w:cs="Arial"/>
                  <w:sz w:val="22"/>
                  <w:szCs w:val="22"/>
                </w:rPr>
                <w:t>PrEP</w:t>
              </w:r>
              <w:proofErr w:type="spellEnd"/>
              <w:r w:rsidRPr="00DD05C5">
                <w:rPr>
                  <w:rStyle w:val="Hyperlink"/>
                  <w:rFonts w:ascii="Arial" w:hAnsi="Arial" w:cs="Arial"/>
                  <w:sz w:val="22"/>
                  <w:szCs w:val="22"/>
                </w:rPr>
                <w:t>) for the prevention of HIV</w:t>
              </w:r>
            </w:hyperlink>
            <w:r>
              <w:rPr>
                <w:rFonts w:ascii="Arial" w:hAnsi="Arial" w:cs="Arial"/>
                <w:sz w:val="22"/>
                <w:szCs w:val="22"/>
              </w:rPr>
              <w:t>.</w:t>
            </w:r>
          </w:p>
          <w:p w14:paraId="461C3ED8" w14:textId="77777777" w:rsidR="00DD05C5" w:rsidRPr="00DD05C5" w:rsidRDefault="00DD05C5" w:rsidP="00DD05C5">
            <w:pPr>
              <w:pStyle w:val="NormalWeb"/>
              <w:spacing w:before="0" w:beforeAutospacing="0" w:after="0" w:afterAutospacing="0"/>
              <w:rPr>
                <w:rFonts w:ascii="Arial" w:hAnsi="Arial" w:cs="Arial"/>
                <w:sz w:val="22"/>
                <w:szCs w:val="22"/>
              </w:rPr>
            </w:pPr>
          </w:p>
          <w:p w14:paraId="2BFE7F71" w14:textId="6C5CA94C"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3</w:t>
            </w:r>
            <w:r w:rsidRPr="00DD05C5">
              <w:rPr>
                <w:rFonts w:ascii="Arial" w:hAnsi="Arial" w:cs="Arial"/>
                <w:sz w:val="22"/>
                <w:szCs w:val="22"/>
              </w:rPr>
              <w:t xml:space="preserve"> A reduction in eGFR of 15ml/min in the past 12 months or 25% reduction in eGFR in the past 12 months, as per</w:t>
            </w:r>
            <w:r w:rsidR="004E10B1">
              <w:rPr>
                <w:rFonts w:ascii="Arial" w:hAnsi="Arial" w:cs="Arial"/>
                <w:sz w:val="22"/>
                <w:szCs w:val="22"/>
              </w:rPr>
              <w:t xml:space="preserve"> the</w:t>
            </w:r>
            <w:r w:rsidRPr="00DD05C5">
              <w:rPr>
                <w:rFonts w:ascii="Arial" w:hAnsi="Arial" w:cs="Arial"/>
                <w:sz w:val="22"/>
                <w:szCs w:val="22"/>
              </w:rPr>
              <w:t xml:space="preserve"> </w:t>
            </w:r>
            <w:hyperlink r:id="rId27" w:history="1">
              <w:r w:rsidRPr="00DD05C5">
                <w:rPr>
                  <w:rStyle w:val="Hyperlink"/>
                  <w:rFonts w:ascii="Arial" w:hAnsi="Arial" w:cs="Arial"/>
                  <w:sz w:val="22"/>
                  <w:szCs w:val="22"/>
                </w:rPr>
                <w:t>NHS England Clinical Commissioning Policy for the use of generic and second line drugs for Pre Exposure Prophylaxis (</w:t>
              </w:r>
              <w:proofErr w:type="spellStart"/>
              <w:r w:rsidRPr="00DD05C5">
                <w:rPr>
                  <w:rStyle w:val="Hyperlink"/>
                  <w:rFonts w:ascii="Arial" w:hAnsi="Arial" w:cs="Arial"/>
                  <w:sz w:val="22"/>
                  <w:szCs w:val="22"/>
                </w:rPr>
                <w:t>PrEP</w:t>
              </w:r>
              <w:proofErr w:type="spellEnd"/>
              <w:r w:rsidRPr="00DD05C5">
                <w:rPr>
                  <w:rStyle w:val="Hyperlink"/>
                  <w:rFonts w:ascii="Arial" w:hAnsi="Arial" w:cs="Arial"/>
                  <w:sz w:val="22"/>
                  <w:szCs w:val="22"/>
                </w:rPr>
                <w:t>) for the prevention of HIV</w:t>
              </w:r>
            </w:hyperlink>
            <w:r>
              <w:rPr>
                <w:rFonts w:ascii="Arial" w:hAnsi="Arial" w:cs="Arial"/>
                <w:sz w:val="22"/>
                <w:szCs w:val="22"/>
              </w:rPr>
              <w:t>.</w:t>
            </w:r>
          </w:p>
          <w:p w14:paraId="5D6BD543" w14:textId="77777777" w:rsidR="00DD05C5" w:rsidRPr="00DD05C5" w:rsidRDefault="00DD05C5" w:rsidP="00DD05C5">
            <w:pPr>
              <w:pStyle w:val="NormalWeb"/>
              <w:spacing w:before="0" w:beforeAutospacing="0" w:after="0" w:afterAutospacing="0"/>
              <w:rPr>
                <w:rFonts w:ascii="Arial" w:hAnsi="Arial" w:cs="Arial"/>
                <w:sz w:val="22"/>
                <w:szCs w:val="22"/>
              </w:rPr>
            </w:pPr>
          </w:p>
          <w:p w14:paraId="0CE1428F" w14:textId="77777777" w:rsidR="00DD05C5" w:rsidRPr="00DD05C5" w:rsidRDefault="00DD05C5" w:rsidP="00DD05C5">
            <w:pPr>
              <w:numPr>
                <w:ilvl w:val="0"/>
                <w:numId w:val="46"/>
              </w:numPr>
              <w:shd w:val="clear" w:color="auto" w:fill="FFFFFF"/>
              <w:spacing w:after="0" w:line="240" w:lineRule="auto"/>
              <w:rPr>
                <w:rFonts w:eastAsia="Calibri"/>
                <w:sz w:val="22"/>
                <w:szCs w:val="22"/>
              </w:rPr>
            </w:pPr>
            <w:r w:rsidRPr="00DD05C5">
              <w:rPr>
                <w:rFonts w:ascii="Arial" w:eastAsia="Calibri" w:hAnsi="Arial" w:cs="Arial"/>
                <w:sz w:val="22"/>
                <w:szCs w:val="22"/>
              </w:rPr>
              <w:t>Willing and able to test for HIV on a 3-6 monthly basis</w:t>
            </w:r>
          </w:p>
          <w:p w14:paraId="38C32BE9" w14:textId="77777777" w:rsidR="00DD05C5" w:rsidRPr="00DD05C5" w:rsidRDefault="00DD05C5" w:rsidP="00DD05C5">
            <w:pPr>
              <w:numPr>
                <w:ilvl w:val="0"/>
                <w:numId w:val="46"/>
              </w:numPr>
              <w:shd w:val="clear" w:color="auto" w:fill="FFFFFF"/>
              <w:spacing w:after="0" w:line="240" w:lineRule="auto"/>
              <w:rPr>
                <w:rFonts w:ascii="Arial" w:eastAsia="Calibri" w:hAnsi="Arial" w:cs="Arial"/>
                <w:sz w:val="22"/>
                <w:szCs w:val="22"/>
              </w:rPr>
            </w:pPr>
            <w:r w:rsidRPr="00DD05C5">
              <w:rPr>
                <w:rFonts w:ascii="Arial" w:eastAsia="Calibri" w:hAnsi="Arial" w:cs="Arial"/>
                <w:sz w:val="22"/>
                <w:szCs w:val="22"/>
              </w:rPr>
              <w:t>Willing and able to test for other STIs on a 3-6 monthly</w:t>
            </w:r>
            <w:r w:rsidRPr="00DD05C5">
              <w:rPr>
                <w:rFonts w:ascii="Arial" w:eastAsia="Calibri" w:hAnsi="Arial" w:cs="Arial"/>
                <w:sz w:val="22"/>
                <w:szCs w:val="22"/>
                <w:vertAlign w:val="superscript"/>
              </w:rPr>
              <w:t>††</w:t>
            </w:r>
            <w:r w:rsidRPr="00DD05C5">
              <w:rPr>
                <w:rFonts w:ascii="Arial" w:eastAsia="Calibri" w:hAnsi="Arial" w:cs="Arial"/>
                <w:sz w:val="22"/>
                <w:szCs w:val="22"/>
              </w:rPr>
              <w:t xml:space="preserve"> basis as part of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care. </w:t>
            </w:r>
          </w:p>
          <w:p w14:paraId="327859D2" w14:textId="77777777" w:rsidR="00DD05C5" w:rsidRPr="00DD05C5" w:rsidRDefault="00DD05C5" w:rsidP="00DD05C5">
            <w:pPr>
              <w:numPr>
                <w:ilvl w:val="0"/>
                <w:numId w:val="46"/>
              </w:numPr>
              <w:shd w:val="clear" w:color="auto" w:fill="FFFFFF"/>
              <w:spacing w:after="0" w:line="240" w:lineRule="auto"/>
              <w:rPr>
                <w:rFonts w:eastAsia="Calibri"/>
                <w:sz w:val="22"/>
                <w:szCs w:val="22"/>
              </w:rPr>
            </w:pPr>
            <w:r w:rsidRPr="00DD05C5">
              <w:rPr>
                <w:rFonts w:ascii="Arial" w:eastAsia="Calibri" w:hAnsi="Arial" w:cs="Arial"/>
                <w:sz w:val="22"/>
                <w:szCs w:val="22"/>
              </w:rPr>
              <w:t xml:space="preserve">Able to access at least 6 monthly </w:t>
            </w:r>
            <w:proofErr w:type="gramStart"/>
            <w:r w:rsidRPr="00DD05C5">
              <w:rPr>
                <w:rFonts w:ascii="Arial" w:eastAsia="Calibri" w:hAnsi="Arial" w:cs="Arial"/>
                <w:sz w:val="22"/>
                <w:szCs w:val="22"/>
              </w:rPr>
              <w:t>review</w:t>
            </w:r>
            <w:proofErr w:type="gramEnd"/>
            <w:r w:rsidRPr="00DD05C5">
              <w:rPr>
                <w:rFonts w:ascii="Arial" w:eastAsia="Calibri" w:hAnsi="Arial" w:cs="Arial"/>
                <w:sz w:val="22"/>
                <w:szCs w:val="22"/>
              </w:rPr>
              <w:t xml:space="preserve"> for safety and adherence monitoring, sexual health care and support</w:t>
            </w:r>
          </w:p>
          <w:p w14:paraId="4E1A8E67" w14:textId="77777777" w:rsidR="00DD05C5" w:rsidRPr="00DD05C5" w:rsidRDefault="00DD05C5" w:rsidP="00DD05C5">
            <w:pPr>
              <w:numPr>
                <w:ilvl w:val="0"/>
                <w:numId w:val="46"/>
              </w:numPr>
              <w:shd w:val="clear" w:color="auto" w:fill="FFFFFF"/>
              <w:spacing w:after="0" w:line="240" w:lineRule="auto"/>
              <w:rPr>
                <w:rFonts w:ascii="Arial" w:eastAsia="Calibri" w:hAnsi="Arial" w:cs="Arial"/>
                <w:sz w:val="22"/>
                <w:szCs w:val="22"/>
              </w:rPr>
            </w:pPr>
            <w:r w:rsidRPr="00DD05C5">
              <w:rPr>
                <w:rFonts w:ascii="Arial" w:eastAsia="Calibri" w:hAnsi="Arial" w:cs="Arial"/>
                <w:sz w:val="22"/>
                <w:szCs w:val="22"/>
              </w:rPr>
              <w:t xml:space="preserve">Documented negative fourth-generation HIV antibody/antigen test result within the last 45 days (for initiation of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or within the last 3-6 months (for continuation of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 if not available then must be sent on the same </w:t>
            </w:r>
            <w:proofErr w:type="gramStart"/>
            <w:r w:rsidRPr="00DD05C5">
              <w:rPr>
                <w:rFonts w:ascii="Arial" w:eastAsia="Calibri" w:hAnsi="Arial" w:cs="Arial"/>
                <w:sz w:val="22"/>
                <w:szCs w:val="22"/>
              </w:rPr>
              <w:t>day.</w:t>
            </w:r>
            <w:r w:rsidRPr="00DD05C5">
              <w:rPr>
                <w:rFonts w:ascii="Arial" w:eastAsia="Calibri" w:hAnsi="Arial" w:cs="Arial"/>
                <w:sz w:val="22"/>
                <w:szCs w:val="22"/>
                <w:vertAlign w:val="superscript"/>
              </w:rPr>
              <w:t>‡</w:t>
            </w:r>
            <w:proofErr w:type="gramEnd"/>
          </w:p>
          <w:p w14:paraId="6BD5D956" w14:textId="77777777" w:rsidR="00DD05C5" w:rsidRPr="00DD05C5" w:rsidRDefault="00DD05C5" w:rsidP="00DD05C5">
            <w:pPr>
              <w:shd w:val="clear" w:color="auto" w:fill="FFFFFF"/>
              <w:rPr>
                <w:rFonts w:ascii="Arial" w:eastAsia="Calibri" w:hAnsi="Arial" w:cs="Arial"/>
                <w:sz w:val="22"/>
                <w:szCs w:val="22"/>
              </w:rPr>
            </w:pPr>
          </w:p>
          <w:p w14:paraId="05FFA2DE" w14:textId="77777777" w:rsidR="00DD05C5" w:rsidRPr="00DD05C5" w:rsidRDefault="00DD05C5" w:rsidP="00DD05C5">
            <w:pPr>
              <w:shd w:val="clear" w:color="auto" w:fill="FFFFFF"/>
              <w:rPr>
                <w:rFonts w:ascii="Arial" w:eastAsia="Calibri" w:hAnsi="Arial" w:cs="Arial"/>
                <w:sz w:val="22"/>
                <w:szCs w:val="22"/>
              </w:rPr>
            </w:pPr>
            <w:r w:rsidRPr="00DD05C5">
              <w:rPr>
                <w:rFonts w:ascii="Arial" w:eastAsia="Calibri" w:hAnsi="Arial" w:cs="Arial"/>
                <w:sz w:val="22"/>
                <w:szCs w:val="22"/>
                <w:vertAlign w:val="superscript"/>
              </w:rPr>
              <w:t>††</w:t>
            </w:r>
            <w:r w:rsidRPr="00DD05C5">
              <w:rPr>
                <w:rFonts w:ascii="Arial" w:eastAsia="Calibri" w:hAnsi="Arial" w:cs="Arial"/>
                <w:sz w:val="22"/>
                <w:szCs w:val="22"/>
              </w:rPr>
              <w:t xml:space="preserve"> 3-monthly STI testing recommended for people taking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who have new or multiple sexual partners. Less </w:t>
            </w:r>
            <w:r w:rsidRPr="00DD05C5">
              <w:rPr>
                <w:rFonts w:ascii="Arial" w:eastAsia="Calibri" w:hAnsi="Arial" w:cs="Arial"/>
                <w:sz w:val="22"/>
                <w:szCs w:val="22"/>
              </w:rPr>
              <w:lastRenderedPageBreak/>
              <w:t xml:space="preserve">frequent testing for STIs may be appropriate for those who, for example, have a single partner who is living with HIV and is not virally suppressed or those with less frequent partner change. </w:t>
            </w:r>
          </w:p>
          <w:p w14:paraId="3B17E468" w14:textId="77777777" w:rsidR="00DD05C5" w:rsidRPr="00DD05C5" w:rsidRDefault="00DD05C5" w:rsidP="00DD05C5">
            <w:pPr>
              <w:shd w:val="clear" w:color="auto" w:fill="FFFFFF"/>
              <w:rPr>
                <w:rFonts w:ascii="Arial" w:eastAsia="Calibri" w:hAnsi="Arial" w:cs="Arial"/>
                <w:sz w:val="22"/>
                <w:szCs w:val="22"/>
                <w:lang w:val="en-US"/>
              </w:rPr>
            </w:pPr>
          </w:p>
          <w:p w14:paraId="1EA247BE" w14:textId="77777777" w:rsidR="00DD05C5" w:rsidRPr="00DD05C5" w:rsidRDefault="00DD05C5" w:rsidP="00DD05C5">
            <w:pPr>
              <w:shd w:val="clear" w:color="auto" w:fill="FFFFFF"/>
              <w:rPr>
                <w:rFonts w:ascii="Arial" w:eastAsia="Calibri" w:hAnsi="Arial" w:cs="Arial"/>
                <w:sz w:val="22"/>
                <w:szCs w:val="22"/>
              </w:rPr>
            </w:pPr>
            <w:r w:rsidRPr="00DD05C5">
              <w:rPr>
                <w:rFonts w:ascii="Arial" w:eastAsia="Calibri" w:hAnsi="Arial" w:cs="Arial"/>
                <w:sz w:val="22"/>
                <w:szCs w:val="22"/>
              </w:rPr>
              <w:t xml:space="preserve">‡ If a combined HIV fourth-generation antigen/antibody test result in the last 45 days (initiation) or 6 months (continuation) is not available on the day then a non-reactive rapid blood-based HIV POCT is advisable on the day of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initiation and a laboratory HIV fourth-generation antigen/antibody test must be sent on the day;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can be supplied, assuming all other criteria are met, but the result must be reviewed as soon as possible: </w:t>
            </w:r>
            <w:r w:rsidRPr="00DD05C5">
              <w:rPr>
                <w:rFonts w:ascii="Arial" w:eastAsia="Calibri" w:hAnsi="Arial" w:cs="Arial"/>
                <w:sz w:val="22"/>
                <w:szCs w:val="22"/>
                <w:highlight w:val="cyan"/>
              </w:rPr>
              <w:t>amend to reflect local policy</w:t>
            </w:r>
            <w:r w:rsidRPr="00DD05C5">
              <w:rPr>
                <w:rFonts w:ascii="Arial" w:eastAsia="Calibri" w:hAnsi="Arial" w:cs="Arial"/>
                <w:sz w:val="22"/>
                <w:szCs w:val="22"/>
              </w:rPr>
              <w:t>.</w:t>
            </w:r>
          </w:p>
          <w:p w14:paraId="02A2FFD7" w14:textId="410C498C" w:rsidR="00DD05C5" w:rsidRPr="00DD05C5" w:rsidRDefault="00DD05C5" w:rsidP="00DD05C5">
            <w:pPr>
              <w:pStyle w:val="Tabletext"/>
              <w:rPr>
                <w:szCs w:val="22"/>
              </w:rPr>
            </w:pPr>
          </w:p>
        </w:tc>
      </w:tr>
      <w:tr w:rsidR="00DD05C5" w14:paraId="6FC007A9" w14:textId="77777777" w:rsidTr="00DD05C5">
        <w:tc>
          <w:tcPr>
            <w:tcW w:w="2547" w:type="dxa"/>
          </w:tcPr>
          <w:p w14:paraId="4F9F0FC6" w14:textId="72CE5320" w:rsidR="00DD05C5" w:rsidRPr="005A6168" w:rsidRDefault="00DD05C5" w:rsidP="00DD05C5">
            <w:pPr>
              <w:rPr>
                <w:rStyle w:val="TableHeaderColumn"/>
              </w:rPr>
            </w:pPr>
            <w:bookmarkStart w:id="5" w:name="Exclusions"/>
            <w:bookmarkEnd w:id="5"/>
            <w:r w:rsidRPr="00544444">
              <w:rPr>
                <w:rStyle w:val="TableHeaderColumn"/>
                <w:sz w:val="22"/>
              </w:rPr>
              <w:lastRenderedPageBreak/>
              <w:t>Criteria for exclusion</w:t>
            </w:r>
          </w:p>
        </w:tc>
        <w:tc>
          <w:tcPr>
            <w:tcW w:w="5948" w:type="dxa"/>
          </w:tcPr>
          <w:p w14:paraId="3D0F07B6" w14:textId="6FA17F44" w:rsidR="00DD05C5" w:rsidRDefault="00DD05C5" w:rsidP="00DD05C5">
            <w:pPr>
              <w:pStyle w:val="Bulletindent1"/>
            </w:pPr>
            <w:r w:rsidRPr="008131FE">
              <w:t xml:space="preserve">Consent </w:t>
            </w:r>
            <w:r>
              <w:t xml:space="preserve">refused </w:t>
            </w:r>
            <w:r w:rsidRPr="00CC1B72">
              <w:t xml:space="preserve">and documented in the individual’s </w:t>
            </w:r>
            <w:r>
              <w:t>clinical</w:t>
            </w:r>
            <w:r w:rsidRPr="00CC1B72">
              <w:t xml:space="preserve"> notes</w:t>
            </w:r>
          </w:p>
          <w:p w14:paraId="4F4AA564" w14:textId="4BBC6312" w:rsidR="00DD05C5" w:rsidRDefault="00DD05C5" w:rsidP="00DD05C5">
            <w:pPr>
              <w:pStyle w:val="Bulletindent1"/>
            </w:pPr>
            <w:r w:rsidRPr="00E50E7A">
              <w:t>Individuals under 1</w:t>
            </w:r>
            <w:r>
              <w:t>5</w:t>
            </w:r>
            <w:r w:rsidRPr="00E50E7A">
              <w:t xml:space="preserve"> years of age </w:t>
            </w:r>
          </w:p>
          <w:p w14:paraId="728D8E3C" w14:textId="118598B7" w:rsidR="00DD05C5" w:rsidRPr="00E50E7A" w:rsidRDefault="00DD05C5" w:rsidP="00DD05C5">
            <w:pPr>
              <w:pStyle w:val="Bulletindent1"/>
            </w:pPr>
            <w:r w:rsidRPr="00DD05C5">
              <w:t xml:space="preserve">Individuals </w:t>
            </w:r>
            <w:r>
              <w:t xml:space="preserve">under </w:t>
            </w:r>
            <w:r w:rsidRPr="00DD05C5">
              <w:t>16 years of age and assessed as lacking capacity to consent using the Fraser Guidelines</w:t>
            </w:r>
          </w:p>
          <w:p w14:paraId="646787AF" w14:textId="77777777" w:rsidR="00DD05C5" w:rsidRDefault="00DD05C5" w:rsidP="00DD05C5">
            <w:pPr>
              <w:pStyle w:val="Bulletindent1"/>
              <w:rPr>
                <w:rFonts w:eastAsia="Calibri"/>
              </w:rPr>
            </w:pPr>
            <w:r w:rsidRPr="00261917">
              <w:rPr>
                <w:rFonts w:eastAsia="Calibri"/>
              </w:rPr>
              <w:t>Individuals 16 years of age and over and assessed as lacking capacity to consent</w:t>
            </w:r>
          </w:p>
          <w:p w14:paraId="72CD3796" w14:textId="77777777" w:rsidR="00DD05C5" w:rsidRDefault="00DD05C5" w:rsidP="00DD05C5">
            <w:pPr>
              <w:pStyle w:val="Bulletindent1"/>
              <w:rPr>
                <w:rFonts w:eastAsia="Calibri"/>
              </w:rPr>
            </w:pPr>
            <w:r>
              <w:rPr>
                <w:rFonts w:eastAsia="Calibri"/>
              </w:rPr>
              <w:t xml:space="preserve">Actual body weight less than 35kg </w:t>
            </w:r>
          </w:p>
          <w:p w14:paraId="45DA6EBA" w14:textId="77777777" w:rsidR="00DD05C5" w:rsidRPr="00887A9A" w:rsidRDefault="00DD05C5" w:rsidP="00DD05C5">
            <w:pPr>
              <w:pStyle w:val="Bulletindent1"/>
              <w:rPr>
                <w:rFonts w:eastAsia="Calibri"/>
              </w:rPr>
            </w:pPr>
            <w:r w:rsidRPr="00F65FEF">
              <w:t>Known hypersensitivity or allergy to emtricitabine or tenofovir al</w:t>
            </w:r>
            <w:r>
              <w:t>a</w:t>
            </w:r>
            <w:r w:rsidRPr="00F65FEF">
              <w:t>fenamide fumarate or to any component of the product - See current Summary of Product Characteristics (</w:t>
            </w:r>
            <w:hyperlink r:id="rId28" w:history="1">
              <w:r w:rsidRPr="00F65FEF">
                <w:rPr>
                  <w:rStyle w:val="Hyperlink"/>
                  <w:rFonts w:cs="Arial"/>
                  <w:szCs w:val="22"/>
                </w:rPr>
                <w:t>SPC</w:t>
              </w:r>
            </w:hyperlink>
            <w:r w:rsidRPr="00F65FEF">
              <w:t xml:space="preserve">) for active ingredients and excipients. </w:t>
            </w:r>
            <w:r w:rsidRPr="00F65FEF">
              <w:rPr>
                <w:b/>
                <w:bCs/>
                <w:iCs/>
              </w:rPr>
              <w:t>Acceptable sources of allergy information include individual/carer/parent/guardian or National Care Record</w:t>
            </w:r>
          </w:p>
          <w:p w14:paraId="67D6AB5C" w14:textId="6E6DE868" w:rsidR="00DD05C5" w:rsidRDefault="00DD05C5" w:rsidP="00DD05C5">
            <w:pPr>
              <w:pStyle w:val="Bulletindent1"/>
              <w:rPr>
                <w:rFonts w:eastAsia="Calibri"/>
              </w:rPr>
            </w:pPr>
            <w:r>
              <w:rPr>
                <w:rFonts w:eastAsia="Calibri"/>
              </w:rPr>
              <w:t xml:space="preserve">Individuals who do not meet national eligibility criteria, as set out in the </w:t>
            </w:r>
            <w:hyperlink r:id="rId29" w:history="1">
              <w:r w:rsidRPr="00DD05C5">
                <w:rPr>
                  <w:rStyle w:val="Hyperlink"/>
                  <w:rFonts w:cs="Arial"/>
                  <w:szCs w:val="22"/>
                </w:rPr>
                <w:t>NHS England Clinical Commissioning Policy for the use of generic and second line drugs for Pre Exposure Prophylaxis (</w:t>
              </w:r>
              <w:proofErr w:type="spellStart"/>
              <w:r w:rsidRPr="00DD05C5">
                <w:rPr>
                  <w:rStyle w:val="Hyperlink"/>
                  <w:rFonts w:cs="Arial"/>
                  <w:szCs w:val="22"/>
                </w:rPr>
                <w:t>PrEP</w:t>
              </w:r>
              <w:proofErr w:type="spellEnd"/>
              <w:r w:rsidRPr="00DD05C5">
                <w:rPr>
                  <w:rStyle w:val="Hyperlink"/>
                  <w:rFonts w:cs="Arial"/>
                  <w:szCs w:val="22"/>
                </w:rPr>
                <w:t>) for the prevention of HIV</w:t>
              </w:r>
            </w:hyperlink>
            <w:r w:rsidRPr="00DD05C5">
              <w:rPr>
                <w:rFonts w:cs="Arial"/>
                <w:szCs w:val="22"/>
              </w:rPr>
              <w:t>)</w:t>
            </w:r>
          </w:p>
          <w:p w14:paraId="1135D8CE" w14:textId="77777777" w:rsidR="00DD05C5" w:rsidRPr="00E50E7A" w:rsidRDefault="00DD05C5" w:rsidP="00DD05C5">
            <w:pPr>
              <w:pStyle w:val="Bulletindent1"/>
            </w:pPr>
            <w:r w:rsidRPr="00E50E7A">
              <w:t>Individuals with an acute viral illness at enrolment that could represent HIV seroconversion</w:t>
            </w:r>
          </w:p>
          <w:p w14:paraId="59CB03A4" w14:textId="77777777" w:rsidR="00DD05C5" w:rsidRPr="00E50E7A" w:rsidRDefault="00DD05C5" w:rsidP="00DD05C5">
            <w:pPr>
              <w:pStyle w:val="Bulletindent1"/>
              <w:rPr>
                <w:iCs/>
              </w:rPr>
            </w:pPr>
            <w:r w:rsidRPr="00E50E7A">
              <w:t xml:space="preserve">Individuals known to be living with HIV </w:t>
            </w:r>
          </w:p>
          <w:p w14:paraId="5C579C3E" w14:textId="77777777" w:rsidR="00DD05C5" w:rsidRPr="00E50E7A" w:rsidRDefault="00DD05C5" w:rsidP="00DD05C5">
            <w:pPr>
              <w:pStyle w:val="Bulletindent1"/>
            </w:pPr>
            <w:r w:rsidRPr="00E50E7A">
              <w:lastRenderedPageBreak/>
              <w:t>Known or suspected liver cirrhosis</w:t>
            </w:r>
          </w:p>
          <w:p w14:paraId="1D8ABBAE" w14:textId="77777777" w:rsidR="00DD05C5" w:rsidRPr="00E50E7A" w:rsidRDefault="00DD05C5" w:rsidP="00DD05C5">
            <w:pPr>
              <w:pStyle w:val="Bulletindent1"/>
            </w:pPr>
            <w:r w:rsidRPr="00E50E7A">
              <w:t>Known acute or chronic hepatitis B infection</w:t>
            </w:r>
          </w:p>
          <w:p w14:paraId="61A358C0" w14:textId="77777777" w:rsidR="00DD05C5" w:rsidRPr="00887A9A" w:rsidRDefault="00DD05C5" w:rsidP="00DD05C5">
            <w:pPr>
              <w:pStyle w:val="Bulletindent1"/>
              <w:rPr>
                <w:rFonts w:eastAsia="Calibri"/>
              </w:rPr>
            </w:pPr>
            <w:r w:rsidRPr="002D29AE">
              <w:rPr>
                <w:rFonts w:eastAsia="Arial"/>
              </w:rPr>
              <w:t>Known</w:t>
            </w:r>
            <w:r>
              <w:rPr>
                <w:rFonts w:eastAsia="Arial"/>
              </w:rPr>
              <w:t xml:space="preserve"> or suspected</w:t>
            </w:r>
            <w:r w:rsidRPr="002D29AE">
              <w:rPr>
                <w:rFonts w:eastAsia="Arial"/>
              </w:rPr>
              <w:t xml:space="preserve"> chronic kidney disease </w:t>
            </w:r>
            <w:r>
              <w:rPr>
                <w:rFonts w:eastAsia="Arial"/>
              </w:rPr>
              <w:t xml:space="preserve">(CKD) </w:t>
            </w:r>
            <w:r w:rsidRPr="002D29AE">
              <w:rPr>
                <w:rFonts w:eastAsia="Arial"/>
              </w:rPr>
              <w:t>stage</w:t>
            </w:r>
            <w:r>
              <w:rPr>
                <w:rFonts w:eastAsia="Arial"/>
              </w:rPr>
              <w:t>s</w:t>
            </w:r>
            <w:r w:rsidRPr="002D29AE">
              <w:rPr>
                <w:rFonts w:eastAsia="Arial"/>
              </w:rPr>
              <w:t xml:space="preserve"> </w:t>
            </w:r>
            <w:r>
              <w:rPr>
                <w:rFonts w:eastAsia="Arial"/>
              </w:rPr>
              <w:t xml:space="preserve">4 or </w:t>
            </w:r>
            <w:r w:rsidRPr="002D29AE">
              <w:rPr>
                <w:rFonts w:eastAsia="Arial"/>
              </w:rPr>
              <w:t xml:space="preserve">5 (eGFR </w:t>
            </w:r>
            <w:r>
              <w:rPr>
                <w:rFonts w:eastAsia="Arial"/>
              </w:rPr>
              <w:t>&lt; 3</w:t>
            </w:r>
            <w:r w:rsidRPr="002D29AE">
              <w:rPr>
                <w:rFonts w:eastAsia="Arial"/>
              </w:rPr>
              <w:t>0ml/min</w:t>
            </w:r>
            <w:r>
              <w:rPr>
                <w:rFonts w:eastAsia="Arial"/>
              </w:rPr>
              <w:t>/1.73m</w:t>
            </w:r>
            <w:r w:rsidRPr="00D353DE">
              <w:rPr>
                <w:rFonts w:eastAsia="Arial"/>
                <w:vertAlign w:val="superscript"/>
              </w:rPr>
              <w:t>2</w:t>
            </w:r>
            <w:r w:rsidRPr="002D29AE">
              <w:rPr>
                <w:rFonts w:eastAsia="Arial"/>
              </w:rPr>
              <w:t>)</w:t>
            </w:r>
            <w:r>
              <w:rPr>
                <w:rFonts w:eastAsia="Arial"/>
              </w:rPr>
              <w:t xml:space="preserve"> </w:t>
            </w:r>
            <w:r w:rsidRPr="00887A9A">
              <w:rPr>
                <w:rFonts w:eastAsia="Arial"/>
              </w:rPr>
              <w:t xml:space="preserve">or on haemodialysis </w:t>
            </w:r>
          </w:p>
          <w:p w14:paraId="242D0FB3" w14:textId="2B4ADB5B" w:rsidR="00DD05C5" w:rsidRPr="00DD05C5" w:rsidRDefault="00DD05C5" w:rsidP="00DD05C5">
            <w:pPr>
              <w:pStyle w:val="Bulletindent1"/>
            </w:pPr>
            <w:r w:rsidRPr="00E50E7A">
              <w:t xml:space="preserve">Concurrent use of any interacting medicine as listed in </w:t>
            </w:r>
            <w:hyperlink w:anchor="druginteractions" w:history="1">
              <w:r w:rsidRPr="004E10B1">
                <w:rPr>
                  <w:rStyle w:val="Hyperlink"/>
                </w:rPr>
                <w:t>Drug Interactions</w:t>
              </w:r>
            </w:hyperlink>
            <w:r w:rsidRPr="00E50E7A">
              <w:t xml:space="preserve"> section of this PGD </w:t>
            </w:r>
          </w:p>
        </w:tc>
      </w:tr>
      <w:tr w:rsidR="00DD05C5" w14:paraId="2086F951" w14:textId="77777777" w:rsidTr="00DD05C5">
        <w:tc>
          <w:tcPr>
            <w:tcW w:w="2547" w:type="dxa"/>
          </w:tcPr>
          <w:p w14:paraId="34F2E318" w14:textId="7E1AEDD6" w:rsidR="00DD05C5" w:rsidRPr="005A6168" w:rsidRDefault="00DD05C5" w:rsidP="00DD05C5">
            <w:pPr>
              <w:rPr>
                <w:rStyle w:val="TableHeaderColumn"/>
              </w:rPr>
            </w:pPr>
            <w:bookmarkStart w:id="6" w:name="Cautions"/>
            <w:r w:rsidRPr="00544444">
              <w:rPr>
                <w:rStyle w:val="TableHeaderColumn"/>
                <w:sz w:val="22"/>
              </w:rPr>
              <w:lastRenderedPageBreak/>
              <w:t>Cautions including any relevant action to be taken</w:t>
            </w:r>
            <w:bookmarkEnd w:id="6"/>
          </w:p>
        </w:tc>
        <w:tc>
          <w:tcPr>
            <w:tcW w:w="5948" w:type="dxa"/>
          </w:tcPr>
          <w:p w14:paraId="3D51B928" w14:textId="629DDB50" w:rsidR="00DD05C5" w:rsidRPr="005E4309" w:rsidRDefault="00DD05C5" w:rsidP="00DD05C5">
            <w:pPr>
              <w:pStyle w:val="Bulletindent1"/>
            </w:pPr>
            <w:r>
              <w:t>[</w:t>
            </w:r>
            <w:r w:rsidRPr="00D74F3D">
              <w:rPr>
                <w:highlight w:val="cyan"/>
              </w:rPr>
              <w:t>If a combined HIV fourth-generation antigen/antibody test result in the last 45 days (initiation) or 6 months (continuation) is</w:t>
            </w:r>
            <w:r w:rsidRPr="00D74F3D">
              <w:rPr>
                <w:b/>
                <w:highlight w:val="cyan"/>
              </w:rPr>
              <w:t xml:space="preserve"> not available on the day</w:t>
            </w:r>
            <w:r w:rsidRPr="00D74F3D">
              <w:rPr>
                <w:highlight w:val="cyan"/>
              </w:rPr>
              <w:t xml:space="preserve"> then a non-reactive rapid blood-based HIV POCT is </w:t>
            </w:r>
            <w:r w:rsidRPr="00D74F3D">
              <w:rPr>
                <w:i/>
                <w:iCs/>
                <w:highlight w:val="cyan"/>
              </w:rPr>
              <w:t>advisable</w:t>
            </w:r>
            <w:r w:rsidRPr="00D74F3D">
              <w:rPr>
                <w:highlight w:val="cyan"/>
              </w:rPr>
              <w:t xml:space="preserve"> on the day of </w:t>
            </w:r>
            <w:proofErr w:type="spellStart"/>
            <w:r w:rsidRPr="00D74F3D">
              <w:rPr>
                <w:highlight w:val="cyan"/>
              </w:rPr>
              <w:t>PrEP</w:t>
            </w:r>
            <w:proofErr w:type="spellEnd"/>
            <w:r w:rsidRPr="00D74F3D">
              <w:rPr>
                <w:highlight w:val="cyan"/>
              </w:rPr>
              <w:t xml:space="preserve"> initiation and a laboratory HIV fourth-generation antigen/antibody test </w:t>
            </w:r>
            <w:r w:rsidRPr="00D74F3D">
              <w:rPr>
                <w:b/>
                <w:highlight w:val="cyan"/>
              </w:rPr>
              <w:t>must</w:t>
            </w:r>
            <w:r w:rsidRPr="00D74F3D">
              <w:rPr>
                <w:highlight w:val="cyan"/>
              </w:rPr>
              <w:t xml:space="preserve"> be sent on the day; </w:t>
            </w:r>
            <w:proofErr w:type="spellStart"/>
            <w:r w:rsidRPr="00D74F3D">
              <w:rPr>
                <w:highlight w:val="cyan"/>
              </w:rPr>
              <w:t>PrEP</w:t>
            </w:r>
            <w:proofErr w:type="spellEnd"/>
            <w:r w:rsidRPr="00D74F3D">
              <w:rPr>
                <w:highlight w:val="cyan"/>
              </w:rPr>
              <w:t xml:space="preserve"> can be supplied, assuming all other criteria are met, but the result must be reviewed as soon as possible</w:t>
            </w:r>
            <w:r>
              <w:t>]</w:t>
            </w:r>
          </w:p>
          <w:p w14:paraId="12870983" w14:textId="77777777" w:rsidR="00DD05C5" w:rsidRPr="00622F9F" w:rsidRDefault="00DD05C5" w:rsidP="00DD05C5">
            <w:pPr>
              <w:pStyle w:val="Bulletindent1"/>
              <w:rPr>
                <w:rFonts w:eastAsia="Arial"/>
                <w:u w:val="single"/>
              </w:rPr>
            </w:pPr>
            <w:r w:rsidRPr="00C86362">
              <w:rPr>
                <w:rFonts w:eastAsia="Arial"/>
              </w:rPr>
              <w:t xml:space="preserve">If an individual has had a high-risk exposure to HIV within the 72 hours prior to </w:t>
            </w:r>
            <w:proofErr w:type="spellStart"/>
            <w:r w:rsidRPr="00C86362">
              <w:rPr>
                <w:rFonts w:eastAsia="Arial"/>
              </w:rPr>
              <w:t>PrEP</w:t>
            </w:r>
            <w:proofErr w:type="spellEnd"/>
            <w:r w:rsidRPr="00C86362">
              <w:rPr>
                <w:rFonts w:eastAsia="Arial"/>
              </w:rPr>
              <w:t xml:space="preserve"> initiation, PEP should be considered prior to transitioning to </w:t>
            </w:r>
            <w:proofErr w:type="spellStart"/>
            <w:r w:rsidRPr="00C86362">
              <w:rPr>
                <w:rFonts w:eastAsia="Arial"/>
              </w:rPr>
              <w:t>PrEP</w:t>
            </w:r>
            <w:proofErr w:type="spellEnd"/>
            <w:r w:rsidRPr="00C86362">
              <w:rPr>
                <w:rFonts w:eastAsia="Arial"/>
              </w:rPr>
              <w:t xml:space="preserve"> in line with </w:t>
            </w:r>
            <w:hyperlink r:id="rId30" w:history="1">
              <w:r w:rsidRPr="00C86362">
                <w:rPr>
                  <w:rStyle w:val="Hyperlink"/>
                  <w:rFonts w:eastAsia="Arial" w:cs="Arial"/>
                  <w:spacing w:val="1"/>
                  <w:szCs w:val="22"/>
                </w:rPr>
                <w:t xml:space="preserve">BASHH/BHIVA HIV </w:t>
              </w:r>
              <w:proofErr w:type="spellStart"/>
              <w:r w:rsidRPr="00C86362">
                <w:rPr>
                  <w:rStyle w:val="Hyperlink"/>
                  <w:rFonts w:eastAsia="Arial" w:cs="Arial"/>
                  <w:spacing w:val="1"/>
                  <w:szCs w:val="22"/>
                </w:rPr>
                <w:t>PrEP</w:t>
              </w:r>
              <w:proofErr w:type="spellEnd"/>
              <w:r w:rsidRPr="00C86362">
                <w:rPr>
                  <w:rStyle w:val="Hyperlink"/>
                  <w:rFonts w:eastAsia="Arial" w:cs="Arial"/>
                  <w:spacing w:val="1"/>
                  <w:szCs w:val="22"/>
                </w:rPr>
                <w:t xml:space="preserve"> guidance</w:t>
              </w:r>
            </w:hyperlink>
            <w:r w:rsidRPr="00C86362">
              <w:rPr>
                <w:rFonts w:eastAsia="Arial"/>
                <w:u w:val="single"/>
              </w:rPr>
              <w:t>.</w:t>
            </w:r>
          </w:p>
          <w:p w14:paraId="6184ABBF" w14:textId="77777777" w:rsidR="00DD05C5" w:rsidRPr="00622F9F" w:rsidRDefault="00DD05C5" w:rsidP="00DD05C5">
            <w:pPr>
              <w:pStyle w:val="Bulletindent1"/>
              <w:rPr>
                <w:rFonts w:eastAsia="Arial"/>
                <w:spacing w:val="1"/>
              </w:rPr>
            </w:pPr>
            <w:r w:rsidRPr="003860ED">
              <w:rPr>
                <w:rFonts w:eastAsia="Calibri"/>
              </w:rPr>
              <w:t xml:space="preserve">Ongoing monitoring as per local pathway, in line with </w:t>
            </w:r>
            <w:hyperlink r:id="rId31" w:history="1">
              <w:r w:rsidRPr="00A827B8">
                <w:rPr>
                  <w:rStyle w:val="Hyperlink"/>
                  <w:rFonts w:eastAsia="Calibri" w:cs="Arial"/>
                  <w:bCs/>
                  <w:szCs w:val="22"/>
                </w:rPr>
                <w:t xml:space="preserve">BASHH/BHIVA HIV </w:t>
              </w:r>
              <w:proofErr w:type="spellStart"/>
              <w:r w:rsidRPr="00A827B8">
                <w:rPr>
                  <w:rStyle w:val="Hyperlink"/>
                  <w:rFonts w:eastAsia="Calibri" w:cs="Arial"/>
                  <w:bCs/>
                  <w:szCs w:val="22"/>
                </w:rPr>
                <w:t>PrEP</w:t>
              </w:r>
              <w:proofErr w:type="spellEnd"/>
              <w:r w:rsidRPr="00A827B8">
                <w:rPr>
                  <w:rStyle w:val="Hyperlink"/>
                  <w:rFonts w:eastAsia="Calibri" w:cs="Arial"/>
                  <w:bCs/>
                  <w:szCs w:val="22"/>
                </w:rPr>
                <w:t xml:space="preserve"> guidance</w:t>
              </w:r>
            </w:hyperlink>
            <w:r w:rsidRPr="00A827B8">
              <w:rPr>
                <w:rFonts w:eastAsia="Calibri"/>
              </w:rPr>
              <w:t>.</w:t>
            </w:r>
          </w:p>
          <w:p w14:paraId="39BDB154" w14:textId="77777777" w:rsidR="00DD05C5" w:rsidRPr="00C86362" w:rsidRDefault="00DD05C5" w:rsidP="00DD05C5">
            <w:pPr>
              <w:pStyle w:val="Bulletindent1"/>
              <w:rPr>
                <w:rFonts w:eastAsia="Arial"/>
                <w:iCs/>
              </w:rPr>
            </w:pPr>
            <w:r w:rsidRPr="00C86362">
              <w:rPr>
                <w:rFonts w:eastAsia="Arial"/>
                <w:iCs/>
              </w:rPr>
              <w:t xml:space="preserve">Individuals with impaired absorption of oral medications (e.g. due to malabsorption or bariatric surgery etc.) </w:t>
            </w:r>
            <w:r w:rsidRPr="00C86362">
              <w:rPr>
                <w:rFonts w:eastAsia="Arial"/>
              </w:rPr>
              <w:t xml:space="preserve">see </w:t>
            </w:r>
            <w:hyperlink r:id="rId32" w:history="1">
              <w:r w:rsidRPr="00C86362">
                <w:rPr>
                  <w:rStyle w:val="Hyperlink"/>
                  <w:rFonts w:eastAsia="Arial" w:cs="Arial"/>
                  <w:spacing w:val="1"/>
                  <w:szCs w:val="22"/>
                </w:rPr>
                <w:t xml:space="preserve">BASHH/BHIVA HIV </w:t>
              </w:r>
              <w:proofErr w:type="spellStart"/>
              <w:r w:rsidRPr="00C86362">
                <w:rPr>
                  <w:rStyle w:val="Hyperlink"/>
                  <w:rFonts w:eastAsia="Arial" w:cs="Arial"/>
                  <w:spacing w:val="1"/>
                  <w:szCs w:val="22"/>
                </w:rPr>
                <w:t>PrEP</w:t>
              </w:r>
              <w:proofErr w:type="spellEnd"/>
              <w:r w:rsidRPr="00C86362">
                <w:rPr>
                  <w:rStyle w:val="Hyperlink"/>
                  <w:rFonts w:eastAsia="Arial" w:cs="Arial"/>
                  <w:spacing w:val="1"/>
                  <w:szCs w:val="22"/>
                </w:rPr>
                <w:t xml:space="preserve"> guidance</w:t>
              </w:r>
            </w:hyperlink>
            <w:r w:rsidRPr="00C86362">
              <w:rPr>
                <w:rFonts w:eastAsia="Arial"/>
                <w:bCs/>
              </w:rPr>
              <w:t xml:space="preserve"> for further information. </w:t>
            </w:r>
          </w:p>
          <w:p w14:paraId="3D48AF6B" w14:textId="77777777" w:rsidR="00DD05C5" w:rsidRPr="007759AE" w:rsidRDefault="00DD05C5" w:rsidP="00DD05C5">
            <w:pPr>
              <w:pStyle w:val="Bulletindent1"/>
              <w:rPr>
                <w:rFonts w:eastAsia="Arial"/>
              </w:rPr>
            </w:pPr>
            <w:r w:rsidRPr="007759AE">
              <w:rPr>
                <w:rFonts w:eastAsia="Arial"/>
              </w:rPr>
              <w:t xml:space="preserve">If treatment is interrupted, discontinued or poor adherence is reported then treat as </w:t>
            </w:r>
            <w:r>
              <w:rPr>
                <w:rFonts w:eastAsia="Arial"/>
              </w:rPr>
              <w:t xml:space="preserve">a </w:t>
            </w:r>
            <w:r w:rsidRPr="007759AE">
              <w:rPr>
                <w:rFonts w:eastAsia="Arial"/>
              </w:rPr>
              <w:t>new episode of care under the PGD</w:t>
            </w:r>
            <w:r>
              <w:rPr>
                <w:rFonts w:eastAsia="Arial"/>
              </w:rPr>
              <w:t xml:space="preserve"> having reviewed inclusion/exclusion criteria</w:t>
            </w:r>
          </w:p>
          <w:p w14:paraId="287E75C9" w14:textId="77777777" w:rsidR="00DD05C5" w:rsidRPr="000248BF" w:rsidRDefault="00DD05C5" w:rsidP="00DD05C5">
            <w:pPr>
              <w:pStyle w:val="Bulletindent1"/>
              <w:rPr>
                <w:rFonts w:eastAsia="Arial"/>
              </w:rPr>
            </w:pPr>
            <w:r w:rsidRPr="00D91121">
              <w:rPr>
                <w:rFonts w:eastAsia="Arial"/>
              </w:rPr>
              <w:t>D</w:t>
            </w:r>
            <w:r w:rsidRPr="00D91121">
              <w:rPr>
                <w:rFonts w:eastAsia="Arial"/>
                <w:spacing w:val="4"/>
              </w:rPr>
              <w:t>i</w:t>
            </w:r>
            <w:r w:rsidRPr="00D91121">
              <w:rPr>
                <w:rFonts w:eastAsia="Arial"/>
              </w:rPr>
              <w:t>sc</w:t>
            </w:r>
            <w:r w:rsidRPr="00D91121">
              <w:rPr>
                <w:rFonts w:eastAsia="Arial"/>
                <w:spacing w:val="1"/>
              </w:rPr>
              <w:t>u</w:t>
            </w:r>
            <w:r w:rsidRPr="00D91121">
              <w:rPr>
                <w:rFonts w:eastAsia="Arial"/>
              </w:rPr>
              <w:t xml:space="preserve">ss </w:t>
            </w:r>
            <w:r w:rsidRPr="00D91121">
              <w:rPr>
                <w:rFonts w:eastAsia="Arial"/>
                <w:spacing w:val="-5"/>
              </w:rPr>
              <w:t>w</w:t>
            </w:r>
            <w:r w:rsidRPr="00D91121">
              <w:rPr>
                <w:rFonts w:eastAsia="Arial"/>
                <w:spacing w:val="4"/>
              </w:rPr>
              <w:t>i</w:t>
            </w:r>
            <w:r w:rsidRPr="00D91121">
              <w:rPr>
                <w:rFonts w:eastAsia="Arial"/>
              </w:rPr>
              <w:t>th</w:t>
            </w:r>
            <w:r w:rsidRPr="00D91121">
              <w:rPr>
                <w:rFonts w:eastAsia="Arial"/>
                <w:spacing w:val="1"/>
              </w:rPr>
              <w:t xml:space="preserve"> </w:t>
            </w:r>
            <w:r>
              <w:rPr>
                <w:rFonts w:eastAsia="Arial"/>
                <w:spacing w:val="1"/>
              </w:rPr>
              <w:t>a</w:t>
            </w:r>
            <w:r w:rsidRPr="00D91121">
              <w:rPr>
                <w:rFonts w:eastAsia="Arial"/>
                <w:spacing w:val="1"/>
              </w:rPr>
              <w:t xml:space="preserve"> </w:t>
            </w:r>
            <w:r>
              <w:rPr>
                <w:rFonts w:eastAsia="Arial"/>
              </w:rPr>
              <w:t>prescriber</w:t>
            </w:r>
            <w:r w:rsidRPr="000248BF">
              <w:rPr>
                <w:rFonts w:eastAsia="Arial"/>
                <w:spacing w:val="-3"/>
              </w:rPr>
              <w:t xml:space="preserve"> </w:t>
            </w:r>
            <w:r w:rsidRPr="000248BF">
              <w:rPr>
                <w:rFonts w:eastAsia="Arial"/>
                <w:spacing w:val="1"/>
              </w:rPr>
              <w:t>rega</w:t>
            </w:r>
            <w:r w:rsidRPr="000248BF">
              <w:rPr>
                <w:rFonts w:eastAsia="Arial"/>
                <w:spacing w:val="-3"/>
              </w:rPr>
              <w:t>r</w:t>
            </w:r>
            <w:r w:rsidRPr="000248BF">
              <w:rPr>
                <w:rFonts w:eastAsia="Arial"/>
                <w:spacing w:val="-4"/>
              </w:rPr>
              <w:t>d</w:t>
            </w:r>
            <w:r w:rsidRPr="000248BF">
              <w:rPr>
                <w:rFonts w:eastAsia="Arial"/>
                <w:spacing w:val="4"/>
              </w:rPr>
              <w:t>i</w:t>
            </w:r>
            <w:r w:rsidRPr="000248BF">
              <w:rPr>
                <w:rFonts w:eastAsia="Arial"/>
                <w:spacing w:val="1"/>
              </w:rPr>
              <w:t>n</w:t>
            </w:r>
            <w:r w:rsidRPr="000248BF">
              <w:rPr>
                <w:rFonts w:eastAsia="Arial"/>
              </w:rPr>
              <w:t>g</w:t>
            </w:r>
            <w:r w:rsidRPr="000248BF">
              <w:rPr>
                <w:rFonts w:eastAsia="Arial"/>
                <w:spacing w:val="1"/>
              </w:rPr>
              <w:t xml:space="preserve"> </w:t>
            </w:r>
            <w:r w:rsidRPr="000248BF">
              <w:rPr>
                <w:rFonts w:eastAsia="Arial"/>
              </w:rPr>
              <w:t>c</w:t>
            </w:r>
            <w:r w:rsidRPr="000248BF">
              <w:rPr>
                <w:rFonts w:eastAsia="Arial"/>
                <w:spacing w:val="1"/>
              </w:rPr>
              <w:t>o</w:t>
            </w:r>
            <w:r w:rsidRPr="000248BF">
              <w:rPr>
                <w:rFonts w:eastAsia="Arial"/>
                <w:spacing w:val="-4"/>
              </w:rPr>
              <w:t>nd</w:t>
            </w:r>
            <w:r w:rsidRPr="000248BF">
              <w:rPr>
                <w:rFonts w:eastAsia="Arial"/>
                <w:spacing w:val="4"/>
              </w:rPr>
              <w:t>i</w:t>
            </w:r>
            <w:r w:rsidRPr="000248BF">
              <w:rPr>
                <w:rFonts w:eastAsia="Arial"/>
                <w:spacing w:val="-4"/>
              </w:rPr>
              <w:t>t</w:t>
            </w:r>
            <w:r w:rsidRPr="000248BF">
              <w:rPr>
                <w:rFonts w:eastAsia="Arial"/>
                <w:spacing w:val="4"/>
              </w:rPr>
              <w:t>i</w:t>
            </w:r>
            <w:r w:rsidRPr="000248BF">
              <w:rPr>
                <w:rFonts w:eastAsia="Arial"/>
                <w:spacing w:val="1"/>
              </w:rPr>
              <w:t>ons</w:t>
            </w:r>
            <w:r w:rsidRPr="000248BF">
              <w:rPr>
                <w:rFonts w:eastAsia="Arial"/>
              </w:rPr>
              <w:t>/</w:t>
            </w:r>
            <w:r w:rsidRPr="000248BF">
              <w:rPr>
                <w:rFonts w:eastAsia="Arial"/>
                <w:spacing w:val="-8"/>
              </w:rPr>
              <w:t>m</w:t>
            </w:r>
            <w:r w:rsidRPr="000248BF">
              <w:rPr>
                <w:rFonts w:eastAsia="Arial"/>
                <w:spacing w:val="1"/>
              </w:rPr>
              <w:t>ed</w:t>
            </w:r>
            <w:r w:rsidRPr="000248BF">
              <w:rPr>
                <w:rFonts w:eastAsia="Arial"/>
                <w:spacing w:val="4"/>
              </w:rPr>
              <w:t>i</w:t>
            </w:r>
            <w:r w:rsidRPr="000248BF">
              <w:rPr>
                <w:rFonts w:eastAsia="Arial"/>
                <w:spacing w:val="-5"/>
              </w:rPr>
              <w:t>c</w:t>
            </w:r>
            <w:r w:rsidRPr="000248BF">
              <w:rPr>
                <w:rFonts w:eastAsia="Arial"/>
                <w:spacing w:val="4"/>
              </w:rPr>
              <w:t>i</w:t>
            </w:r>
            <w:r w:rsidRPr="000248BF">
              <w:rPr>
                <w:rFonts w:eastAsia="Arial"/>
                <w:spacing w:val="1"/>
              </w:rPr>
              <w:t>ne</w:t>
            </w:r>
            <w:r w:rsidRPr="000248BF">
              <w:rPr>
                <w:rFonts w:eastAsia="Arial"/>
              </w:rPr>
              <w:t>s/s</w:t>
            </w:r>
            <w:r w:rsidRPr="000248BF">
              <w:rPr>
                <w:rFonts w:eastAsia="Arial"/>
                <w:spacing w:val="4"/>
              </w:rPr>
              <w:t>i</w:t>
            </w:r>
            <w:r w:rsidRPr="000248BF">
              <w:rPr>
                <w:rFonts w:eastAsia="Arial"/>
                <w:spacing w:val="1"/>
              </w:rPr>
              <w:t>d</w:t>
            </w:r>
            <w:r w:rsidRPr="000248BF">
              <w:rPr>
                <w:rFonts w:eastAsia="Arial"/>
              </w:rPr>
              <w:t>e</w:t>
            </w:r>
            <w:r w:rsidRPr="000248BF">
              <w:rPr>
                <w:rFonts w:eastAsia="Arial"/>
                <w:spacing w:val="-3"/>
              </w:rPr>
              <w:t xml:space="preserve"> </w:t>
            </w:r>
            <w:r w:rsidRPr="000248BF">
              <w:rPr>
                <w:rFonts w:eastAsia="Arial"/>
                <w:spacing w:val="1"/>
              </w:rPr>
              <w:t>e</w:t>
            </w:r>
            <w:r w:rsidRPr="000248BF">
              <w:rPr>
                <w:rFonts w:eastAsia="Arial"/>
              </w:rPr>
              <w:t>f</w:t>
            </w:r>
            <w:r w:rsidRPr="000248BF">
              <w:rPr>
                <w:rFonts w:eastAsia="Arial"/>
                <w:spacing w:val="1"/>
              </w:rPr>
              <w:t>fe</w:t>
            </w:r>
            <w:r w:rsidRPr="000248BF">
              <w:rPr>
                <w:rFonts w:eastAsia="Arial"/>
              </w:rPr>
              <w:t>cts</w:t>
            </w:r>
            <w:r w:rsidRPr="000248BF">
              <w:rPr>
                <w:rFonts w:eastAsia="Arial"/>
                <w:spacing w:val="1"/>
              </w:rPr>
              <w:t xml:space="preserve"> o</w:t>
            </w:r>
            <w:r w:rsidRPr="000248BF">
              <w:rPr>
                <w:rFonts w:eastAsia="Arial"/>
              </w:rPr>
              <w:t>f</w:t>
            </w:r>
            <w:r w:rsidRPr="000248BF">
              <w:rPr>
                <w:rFonts w:eastAsia="Arial"/>
                <w:spacing w:val="1"/>
              </w:rPr>
              <w:t xml:space="preserve"> </w:t>
            </w:r>
            <w:r w:rsidRPr="000248BF">
              <w:rPr>
                <w:rFonts w:eastAsia="Arial"/>
                <w:spacing w:val="-5"/>
              </w:rPr>
              <w:t>w</w:t>
            </w:r>
            <w:r w:rsidRPr="000248BF">
              <w:rPr>
                <w:rFonts w:eastAsia="Arial"/>
                <w:spacing w:val="1"/>
              </w:rPr>
              <w:t>h</w:t>
            </w:r>
            <w:r w:rsidRPr="000248BF">
              <w:rPr>
                <w:rFonts w:eastAsia="Arial"/>
                <w:spacing w:val="4"/>
              </w:rPr>
              <w:t>i</w:t>
            </w:r>
            <w:r w:rsidRPr="000248BF">
              <w:rPr>
                <w:rFonts w:eastAsia="Arial"/>
              </w:rPr>
              <w:t>ch</w:t>
            </w:r>
            <w:r w:rsidRPr="000248BF">
              <w:rPr>
                <w:rFonts w:eastAsia="Arial"/>
                <w:spacing w:val="-3"/>
              </w:rPr>
              <w:t xml:space="preserve"> </w:t>
            </w:r>
            <w:r w:rsidRPr="000248BF">
              <w:rPr>
                <w:rFonts w:eastAsia="Arial"/>
              </w:rPr>
              <w:t>t</w:t>
            </w:r>
            <w:r w:rsidRPr="000248BF">
              <w:rPr>
                <w:rFonts w:eastAsia="Arial"/>
                <w:spacing w:val="1"/>
              </w:rPr>
              <w:t>h</w:t>
            </w:r>
            <w:r w:rsidRPr="000248BF">
              <w:rPr>
                <w:rFonts w:eastAsia="Arial"/>
              </w:rPr>
              <w:t>e</w:t>
            </w:r>
            <w:r w:rsidRPr="000248BF">
              <w:rPr>
                <w:rFonts w:eastAsia="Arial"/>
                <w:spacing w:val="1"/>
              </w:rPr>
              <w:t xml:space="preserve"> </w:t>
            </w:r>
            <w:r w:rsidRPr="000248BF">
              <w:rPr>
                <w:rFonts w:eastAsia="Arial"/>
                <w:spacing w:val="-3"/>
              </w:rPr>
              <w:t>h</w:t>
            </w:r>
            <w:r w:rsidRPr="000248BF">
              <w:rPr>
                <w:rFonts w:eastAsia="Arial"/>
                <w:spacing w:val="1"/>
              </w:rPr>
              <w:t>e</w:t>
            </w:r>
            <w:r w:rsidRPr="000248BF">
              <w:rPr>
                <w:rFonts w:eastAsia="Arial"/>
                <w:spacing w:val="-4"/>
              </w:rPr>
              <w:t>a</w:t>
            </w:r>
            <w:r w:rsidRPr="000248BF">
              <w:rPr>
                <w:rFonts w:eastAsia="Arial"/>
                <w:spacing w:val="4"/>
              </w:rPr>
              <w:t>l</w:t>
            </w:r>
            <w:r w:rsidRPr="000248BF">
              <w:rPr>
                <w:rFonts w:eastAsia="Arial"/>
              </w:rPr>
              <w:t>th</w:t>
            </w:r>
            <w:r w:rsidRPr="000248BF">
              <w:rPr>
                <w:rFonts w:eastAsia="Arial"/>
                <w:spacing w:val="1"/>
              </w:rPr>
              <w:t xml:space="preserve"> </w:t>
            </w:r>
            <w:r w:rsidRPr="000248BF">
              <w:rPr>
                <w:rFonts w:eastAsia="Arial"/>
              </w:rPr>
              <w:t>c</w:t>
            </w:r>
            <w:r w:rsidRPr="000248BF">
              <w:rPr>
                <w:rFonts w:eastAsia="Arial"/>
                <w:spacing w:val="-3"/>
              </w:rPr>
              <w:t>a</w:t>
            </w:r>
            <w:r w:rsidRPr="000248BF">
              <w:rPr>
                <w:rFonts w:eastAsia="Arial"/>
                <w:spacing w:val="1"/>
              </w:rPr>
              <w:t>r</w:t>
            </w:r>
            <w:r w:rsidRPr="000248BF">
              <w:rPr>
                <w:rFonts w:eastAsia="Arial"/>
              </w:rPr>
              <w:t>e</w:t>
            </w:r>
            <w:r w:rsidRPr="000248BF">
              <w:rPr>
                <w:rFonts w:eastAsia="Arial"/>
                <w:spacing w:val="1"/>
              </w:rPr>
              <w:t xml:space="preserve"> </w:t>
            </w:r>
            <w:r w:rsidRPr="000248BF">
              <w:rPr>
                <w:rFonts w:eastAsia="Arial"/>
                <w:spacing w:val="-5"/>
              </w:rPr>
              <w:t>professional</w:t>
            </w:r>
            <w:r w:rsidRPr="000248BF">
              <w:rPr>
                <w:rFonts w:eastAsia="Arial"/>
                <w:spacing w:val="-3"/>
              </w:rPr>
              <w:t xml:space="preserve"> </w:t>
            </w:r>
            <w:r w:rsidRPr="000248BF">
              <w:rPr>
                <w:rFonts w:eastAsia="Arial"/>
                <w:spacing w:val="4"/>
              </w:rPr>
              <w:t>i</w:t>
            </w:r>
            <w:r w:rsidRPr="000248BF">
              <w:rPr>
                <w:rFonts w:eastAsia="Arial"/>
              </w:rPr>
              <w:t xml:space="preserve">s </w:t>
            </w:r>
            <w:r w:rsidRPr="000248BF">
              <w:rPr>
                <w:rFonts w:eastAsia="Arial"/>
                <w:spacing w:val="1"/>
              </w:rPr>
              <w:t>un</w:t>
            </w:r>
            <w:r w:rsidRPr="000248BF">
              <w:rPr>
                <w:rFonts w:eastAsia="Arial"/>
              </w:rPr>
              <w:t>s</w:t>
            </w:r>
            <w:r w:rsidRPr="000248BF">
              <w:rPr>
                <w:rFonts w:eastAsia="Arial"/>
                <w:spacing w:val="-4"/>
              </w:rPr>
              <w:t>u</w:t>
            </w:r>
            <w:r w:rsidRPr="000248BF">
              <w:rPr>
                <w:rFonts w:eastAsia="Arial"/>
                <w:spacing w:val="1"/>
              </w:rPr>
              <w:t>r</w:t>
            </w:r>
            <w:r w:rsidRPr="000248BF">
              <w:rPr>
                <w:rFonts w:eastAsia="Arial"/>
              </w:rPr>
              <w:t xml:space="preserve">e. </w:t>
            </w:r>
          </w:p>
          <w:p w14:paraId="167978AA" w14:textId="77777777" w:rsidR="00DD05C5" w:rsidRDefault="00DD05C5" w:rsidP="00DD05C5">
            <w:pPr>
              <w:pStyle w:val="Bulletindent1"/>
              <w:rPr>
                <w:rFonts w:eastAsia="Arial"/>
              </w:rPr>
            </w:pPr>
            <w:r w:rsidRPr="000248BF">
              <w:rPr>
                <w:rFonts w:eastAsia="Arial"/>
              </w:rPr>
              <w:t>In the ev</w:t>
            </w:r>
            <w:r w:rsidRPr="000248BF">
              <w:rPr>
                <w:rFonts w:eastAsia="Arial"/>
                <w:spacing w:val="-4"/>
              </w:rPr>
              <w:t>e</w:t>
            </w:r>
            <w:r w:rsidRPr="000248BF">
              <w:rPr>
                <w:rFonts w:eastAsia="Arial"/>
              </w:rPr>
              <w:t xml:space="preserve">nt of </w:t>
            </w:r>
            <w:r w:rsidRPr="000248BF">
              <w:rPr>
                <w:rFonts w:eastAsia="Arial"/>
                <w:spacing w:val="-4"/>
              </w:rPr>
              <w:t>d</w:t>
            </w:r>
            <w:r w:rsidRPr="000248BF">
              <w:rPr>
                <w:rFonts w:eastAsia="Arial"/>
              </w:rPr>
              <w:t xml:space="preserve">ose </w:t>
            </w:r>
            <w:r w:rsidRPr="000248BF">
              <w:rPr>
                <w:rFonts w:eastAsia="Arial"/>
                <w:spacing w:val="-7"/>
              </w:rPr>
              <w:t>m</w:t>
            </w:r>
            <w:r w:rsidRPr="000248BF">
              <w:rPr>
                <w:rFonts w:eastAsia="Arial"/>
              </w:rPr>
              <w:t>od</w:t>
            </w:r>
            <w:r w:rsidRPr="000248BF">
              <w:rPr>
                <w:rFonts w:eastAsia="Arial"/>
                <w:spacing w:val="4"/>
              </w:rPr>
              <w:t>i</w:t>
            </w:r>
            <w:r w:rsidRPr="000248BF">
              <w:rPr>
                <w:rFonts w:eastAsia="Arial"/>
                <w:spacing w:val="-4"/>
              </w:rPr>
              <w:t>f</w:t>
            </w:r>
            <w:r w:rsidRPr="000248BF">
              <w:rPr>
                <w:rFonts w:eastAsia="Arial"/>
                <w:spacing w:val="4"/>
              </w:rPr>
              <w:t>i</w:t>
            </w:r>
            <w:r w:rsidRPr="000248BF">
              <w:rPr>
                <w:rFonts w:eastAsia="Arial"/>
              </w:rPr>
              <w:t>ca</w:t>
            </w:r>
            <w:r w:rsidRPr="000248BF">
              <w:rPr>
                <w:rFonts w:eastAsia="Arial"/>
                <w:spacing w:val="-4"/>
              </w:rPr>
              <w:t>t</w:t>
            </w:r>
            <w:r w:rsidRPr="000248BF">
              <w:rPr>
                <w:rFonts w:eastAsia="Arial"/>
                <w:spacing w:val="4"/>
              </w:rPr>
              <w:t>i</w:t>
            </w:r>
            <w:r w:rsidRPr="000248BF">
              <w:rPr>
                <w:rFonts w:eastAsia="Arial"/>
              </w:rPr>
              <w:t>ons,</w:t>
            </w:r>
            <w:r w:rsidRPr="000248BF">
              <w:rPr>
                <w:rFonts w:eastAsia="Arial"/>
                <w:spacing w:val="-4"/>
              </w:rPr>
              <w:t xml:space="preserve"> </w:t>
            </w:r>
            <w:r w:rsidRPr="000248BF">
              <w:rPr>
                <w:rFonts w:eastAsia="Arial"/>
              </w:rPr>
              <w:t>inte</w:t>
            </w:r>
            <w:r w:rsidRPr="000248BF">
              <w:rPr>
                <w:rFonts w:eastAsia="Arial"/>
                <w:spacing w:val="-3"/>
              </w:rPr>
              <w:t>r</w:t>
            </w:r>
            <w:r w:rsidRPr="000248BF">
              <w:rPr>
                <w:rFonts w:eastAsia="Arial"/>
              </w:rPr>
              <w:t>rup</w:t>
            </w:r>
            <w:r w:rsidRPr="000248BF">
              <w:rPr>
                <w:rFonts w:eastAsia="Arial"/>
                <w:spacing w:val="-4"/>
              </w:rPr>
              <w:t>t</w:t>
            </w:r>
            <w:r w:rsidRPr="000248BF">
              <w:rPr>
                <w:rFonts w:eastAsia="Arial"/>
                <w:spacing w:val="4"/>
              </w:rPr>
              <w:t>i</w:t>
            </w:r>
            <w:r w:rsidRPr="000248BF">
              <w:rPr>
                <w:rFonts w:eastAsia="Arial"/>
              </w:rPr>
              <w:t>o</w:t>
            </w:r>
            <w:r w:rsidRPr="000248BF">
              <w:rPr>
                <w:rFonts w:eastAsia="Arial"/>
                <w:spacing w:val="-4"/>
              </w:rPr>
              <w:t>n</w:t>
            </w:r>
            <w:r w:rsidRPr="000248BF">
              <w:rPr>
                <w:rFonts w:eastAsia="Arial"/>
              </w:rPr>
              <w:t>s, over</w:t>
            </w:r>
            <w:r w:rsidRPr="000248BF">
              <w:rPr>
                <w:rFonts w:eastAsia="Arial"/>
                <w:spacing w:val="2"/>
              </w:rPr>
              <w:t>d</w:t>
            </w:r>
            <w:r w:rsidRPr="000248BF">
              <w:rPr>
                <w:rFonts w:eastAsia="Arial"/>
              </w:rPr>
              <w:t>oses</w:t>
            </w:r>
            <w:r w:rsidRPr="000248BF">
              <w:rPr>
                <w:rFonts w:eastAsia="Arial"/>
                <w:spacing w:val="-4"/>
              </w:rPr>
              <w:t xml:space="preserve"> </w:t>
            </w:r>
            <w:r w:rsidRPr="000248BF">
              <w:rPr>
                <w:rFonts w:eastAsia="Arial"/>
              </w:rPr>
              <w:t xml:space="preserve">and </w:t>
            </w:r>
            <w:r w:rsidRPr="000248BF">
              <w:rPr>
                <w:rFonts w:eastAsia="Arial"/>
                <w:spacing w:val="-4"/>
              </w:rPr>
              <w:t>t</w:t>
            </w:r>
            <w:r w:rsidRPr="000248BF">
              <w:rPr>
                <w:rFonts w:eastAsia="Arial"/>
              </w:rPr>
              <w:t>reat</w:t>
            </w:r>
            <w:r w:rsidRPr="000248BF">
              <w:rPr>
                <w:rFonts w:eastAsia="Arial"/>
                <w:spacing w:val="-7"/>
              </w:rPr>
              <w:t>m</w:t>
            </w:r>
            <w:r w:rsidRPr="000248BF">
              <w:rPr>
                <w:rFonts w:eastAsia="Arial"/>
              </w:rPr>
              <w:t>ent d</w:t>
            </w:r>
            <w:r w:rsidRPr="000248BF">
              <w:rPr>
                <w:rFonts w:eastAsia="Arial"/>
                <w:spacing w:val="4"/>
              </w:rPr>
              <w:t>i</w:t>
            </w:r>
            <w:r w:rsidRPr="000248BF">
              <w:rPr>
                <w:rFonts w:eastAsia="Arial"/>
              </w:rPr>
              <w:t>sc</w:t>
            </w:r>
            <w:r w:rsidRPr="000248BF">
              <w:rPr>
                <w:rFonts w:eastAsia="Arial"/>
                <w:spacing w:val="-4"/>
              </w:rPr>
              <w:t>o</w:t>
            </w:r>
            <w:r w:rsidRPr="000248BF">
              <w:rPr>
                <w:rFonts w:eastAsia="Arial"/>
              </w:rPr>
              <w:t>n</w:t>
            </w:r>
            <w:r w:rsidRPr="000248BF">
              <w:rPr>
                <w:rFonts w:eastAsia="Arial"/>
                <w:spacing w:val="-4"/>
              </w:rPr>
              <w:t>t</w:t>
            </w:r>
            <w:r w:rsidRPr="000248BF">
              <w:rPr>
                <w:rFonts w:eastAsia="Arial"/>
                <w:spacing w:val="4"/>
              </w:rPr>
              <w:t>i</w:t>
            </w:r>
            <w:r w:rsidRPr="000248BF">
              <w:rPr>
                <w:rFonts w:eastAsia="Arial"/>
              </w:rPr>
              <w:t>nua</w:t>
            </w:r>
            <w:r w:rsidRPr="000248BF">
              <w:rPr>
                <w:rFonts w:eastAsia="Arial"/>
                <w:spacing w:val="-4"/>
              </w:rPr>
              <w:t>t</w:t>
            </w:r>
            <w:r w:rsidRPr="000248BF">
              <w:rPr>
                <w:rFonts w:eastAsia="Arial"/>
                <w:spacing w:val="4"/>
              </w:rPr>
              <w:t>i</w:t>
            </w:r>
            <w:r w:rsidRPr="000248BF">
              <w:rPr>
                <w:rFonts w:eastAsia="Arial"/>
                <w:spacing w:val="-4"/>
              </w:rPr>
              <w:t>o</w:t>
            </w:r>
            <w:r w:rsidRPr="000248BF">
              <w:rPr>
                <w:rFonts w:eastAsia="Arial"/>
              </w:rPr>
              <w:t>ns</w:t>
            </w:r>
            <w:r>
              <w:rPr>
                <w:rFonts w:eastAsia="Arial"/>
              </w:rPr>
              <w:t>,</w:t>
            </w:r>
            <w:r w:rsidRPr="000248BF">
              <w:rPr>
                <w:rFonts w:eastAsia="Arial"/>
              </w:rPr>
              <w:t xml:space="preserve"> </w:t>
            </w:r>
            <w:r>
              <w:rPr>
                <w:rFonts w:eastAsia="Arial"/>
              </w:rPr>
              <w:t>an Independent Prescriber</w:t>
            </w:r>
            <w:r w:rsidRPr="00D91121">
              <w:rPr>
                <w:rFonts w:eastAsia="Arial"/>
              </w:rPr>
              <w:t xml:space="preserve"> s</w:t>
            </w:r>
            <w:r w:rsidRPr="00D91121">
              <w:rPr>
                <w:rFonts w:eastAsia="Arial"/>
                <w:spacing w:val="-3"/>
              </w:rPr>
              <w:t>h</w:t>
            </w:r>
            <w:r w:rsidRPr="00D91121">
              <w:rPr>
                <w:rFonts w:eastAsia="Arial"/>
                <w:spacing w:val="-4"/>
              </w:rPr>
              <w:t>o</w:t>
            </w:r>
            <w:r w:rsidRPr="00D91121">
              <w:rPr>
                <w:rFonts w:eastAsia="Arial"/>
              </w:rPr>
              <w:t>u</w:t>
            </w:r>
            <w:r w:rsidRPr="00D91121">
              <w:rPr>
                <w:rFonts w:eastAsia="Arial"/>
                <w:spacing w:val="4"/>
              </w:rPr>
              <w:t>l</w:t>
            </w:r>
            <w:r w:rsidRPr="00D91121">
              <w:rPr>
                <w:rFonts w:eastAsia="Arial"/>
              </w:rPr>
              <w:t>d</w:t>
            </w:r>
            <w:r w:rsidRPr="00D91121">
              <w:rPr>
                <w:rFonts w:eastAsia="Arial"/>
                <w:spacing w:val="-3"/>
              </w:rPr>
              <w:t xml:space="preserve"> </w:t>
            </w:r>
            <w:r w:rsidRPr="00D91121">
              <w:rPr>
                <w:rFonts w:eastAsia="Arial"/>
              </w:rPr>
              <w:t>be</w:t>
            </w:r>
            <w:r>
              <w:rPr>
                <w:rFonts w:eastAsia="Arial"/>
              </w:rPr>
              <w:t xml:space="preserve"> </w:t>
            </w:r>
            <w:r w:rsidRPr="00D91121">
              <w:rPr>
                <w:rFonts w:eastAsia="Arial"/>
                <w:lang w:val="en-US"/>
              </w:rPr>
              <w:t>notified and</w:t>
            </w:r>
            <w:r w:rsidRPr="00D91121">
              <w:rPr>
                <w:rFonts w:eastAsia="Arial"/>
                <w:spacing w:val="-4"/>
                <w:lang w:val="en-US"/>
              </w:rPr>
              <w:t xml:space="preserve"> </w:t>
            </w:r>
            <w:r w:rsidRPr="00D91121">
              <w:rPr>
                <w:rFonts w:eastAsia="Arial"/>
                <w:lang w:val="en-US"/>
              </w:rPr>
              <w:t xml:space="preserve">the </w:t>
            </w:r>
            <w:r w:rsidRPr="00D91121">
              <w:rPr>
                <w:rFonts w:eastAsia="Arial"/>
                <w:spacing w:val="-3"/>
                <w:lang w:val="en-US"/>
              </w:rPr>
              <w:t>p</w:t>
            </w:r>
            <w:r w:rsidRPr="00D91121">
              <w:rPr>
                <w:rFonts w:eastAsia="Arial"/>
                <w:lang w:val="en-US"/>
              </w:rPr>
              <w:t>a</w:t>
            </w:r>
            <w:r w:rsidRPr="00D91121">
              <w:rPr>
                <w:rFonts w:eastAsia="Arial"/>
                <w:spacing w:val="-4"/>
                <w:lang w:val="en-US"/>
              </w:rPr>
              <w:t>t</w:t>
            </w:r>
            <w:r w:rsidRPr="00D91121">
              <w:rPr>
                <w:rFonts w:eastAsia="Arial"/>
                <w:spacing w:val="4"/>
                <w:lang w:val="en-US"/>
              </w:rPr>
              <w:t>i</w:t>
            </w:r>
            <w:r w:rsidRPr="00D91121">
              <w:rPr>
                <w:rFonts w:eastAsia="Arial"/>
                <w:lang w:val="en-US"/>
              </w:rPr>
              <w:t xml:space="preserve">ent </w:t>
            </w:r>
            <w:r w:rsidRPr="00D91121">
              <w:rPr>
                <w:rFonts w:eastAsia="Arial"/>
                <w:spacing w:val="-5"/>
                <w:lang w:val="en-US"/>
              </w:rPr>
              <w:t>c</w:t>
            </w:r>
            <w:r w:rsidRPr="00D91121">
              <w:rPr>
                <w:rFonts w:eastAsia="Arial"/>
                <w:spacing w:val="4"/>
                <w:lang w:val="en-US"/>
              </w:rPr>
              <w:t>l</w:t>
            </w:r>
            <w:r w:rsidRPr="00D91121">
              <w:rPr>
                <w:rFonts w:eastAsia="Arial"/>
                <w:lang w:val="en-US"/>
              </w:rPr>
              <w:t>o</w:t>
            </w:r>
            <w:r w:rsidRPr="00D91121">
              <w:rPr>
                <w:rFonts w:eastAsia="Arial"/>
                <w:spacing w:val="-5"/>
                <w:lang w:val="en-US"/>
              </w:rPr>
              <w:t>s</w:t>
            </w:r>
            <w:r w:rsidRPr="00D91121">
              <w:rPr>
                <w:rFonts w:eastAsia="Arial"/>
                <w:lang w:val="en-US"/>
              </w:rPr>
              <w:t>e</w:t>
            </w:r>
            <w:r w:rsidRPr="00D91121">
              <w:rPr>
                <w:rFonts w:eastAsia="Arial"/>
                <w:spacing w:val="4"/>
                <w:lang w:val="en-US"/>
              </w:rPr>
              <w:t>l</w:t>
            </w:r>
            <w:r w:rsidRPr="00D91121">
              <w:rPr>
                <w:rFonts w:eastAsia="Arial"/>
                <w:lang w:val="en-US"/>
              </w:rPr>
              <w:t>y</w:t>
            </w:r>
            <w:r w:rsidRPr="00D91121">
              <w:rPr>
                <w:rFonts w:eastAsia="Arial"/>
                <w:spacing w:val="-5"/>
                <w:lang w:val="en-US"/>
              </w:rPr>
              <w:t xml:space="preserve"> </w:t>
            </w:r>
            <w:r w:rsidRPr="00D91121">
              <w:rPr>
                <w:rFonts w:eastAsia="Arial"/>
                <w:lang w:val="en-US"/>
              </w:rPr>
              <w:t>obser</w:t>
            </w:r>
            <w:r w:rsidRPr="00D91121">
              <w:rPr>
                <w:rFonts w:eastAsia="Arial"/>
                <w:spacing w:val="-5"/>
                <w:lang w:val="en-US"/>
              </w:rPr>
              <w:t>v</w:t>
            </w:r>
            <w:r w:rsidRPr="00D91121">
              <w:rPr>
                <w:rFonts w:eastAsia="Arial"/>
                <w:lang w:val="en-US"/>
              </w:rPr>
              <w:t>ed a</w:t>
            </w:r>
            <w:r w:rsidRPr="00D91121">
              <w:rPr>
                <w:rFonts w:eastAsia="Arial"/>
                <w:spacing w:val="-4"/>
                <w:lang w:val="en-US"/>
              </w:rPr>
              <w:t>n</w:t>
            </w:r>
            <w:r w:rsidRPr="00D91121">
              <w:rPr>
                <w:rFonts w:eastAsia="Arial"/>
                <w:lang w:val="en-US"/>
              </w:rPr>
              <w:t>d</w:t>
            </w:r>
            <w:r w:rsidRPr="00D91121">
              <w:rPr>
                <w:rFonts w:eastAsia="Arial"/>
                <w:spacing w:val="-3"/>
                <w:lang w:val="en-US"/>
              </w:rPr>
              <w:t xml:space="preserve"> </w:t>
            </w:r>
            <w:r w:rsidRPr="00D91121">
              <w:rPr>
                <w:rFonts w:eastAsia="Arial"/>
                <w:spacing w:val="-8"/>
                <w:lang w:val="en-US"/>
              </w:rPr>
              <w:t>m</w:t>
            </w:r>
            <w:r w:rsidRPr="00D91121">
              <w:rPr>
                <w:rFonts w:eastAsia="Arial"/>
                <w:lang w:val="en-US"/>
              </w:rPr>
              <w:t>anaged accor</w:t>
            </w:r>
            <w:r w:rsidRPr="00D91121">
              <w:rPr>
                <w:rFonts w:eastAsia="Arial"/>
                <w:spacing w:val="-4"/>
                <w:lang w:val="en-US"/>
              </w:rPr>
              <w:t>d</w:t>
            </w:r>
            <w:r w:rsidRPr="00D91121">
              <w:rPr>
                <w:rFonts w:eastAsia="Arial"/>
                <w:spacing w:val="4"/>
                <w:lang w:val="en-US"/>
              </w:rPr>
              <w:t>i</w:t>
            </w:r>
            <w:r w:rsidRPr="00D91121">
              <w:rPr>
                <w:rFonts w:eastAsia="Arial"/>
                <w:lang w:val="en-US"/>
              </w:rPr>
              <w:t xml:space="preserve">ng </w:t>
            </w:r>
            <w:r w:rsidRPr="00D91121">
              <w:rPr>
                <w:rFonts w:eastAsia="Arial"/>
                <w:spacing w:val="-4"/>
                <w:lang w:val="en-US"/>
              </w:rPr>
              <w:t>t</w:t>
            </w:r>
            <w:r w:rsidRPr="00D91121">
              <w:rPr>
                <w:rFonts w:eastAsia="Arial"/>
                <w:lang w:val="en-US"/>
              </w:rPr>
              <w:t xml:space="preserve">o the </w:t>
            </w:r>
            <w:r w:rsidRPr="00D91121">
              <w:rPr>
                <w:rFonts w:eastAsia="Arial"/>
                <w:spacing w:val="-4"/>
                <w:lang w:val="en-US"/>
              </w:rPr>
              <w:t>c</w:t>
            </w:r>
            <w:r w:rsidRPr="00D91121">
              <w:rPr>
                <w:rFonts w:eastAsia="Arial"/>
                <w:lang w:val="en-US"/>
              </w:rPr>
              <w:t>urr</w:t>
            </w:r>
            <w:r w:rsidRPr="00D91121">
              <w:rPr>
                <w:rFonts w:eastAsia="Arial"/>
                <w:spacing w:val="-4"/>
                <w:lang w:val="en-US"/>
              </w:rPr>
              <w:t>e</w:t>
            </w:r>
            <w:r w:rsidRPr="00D91121">
              <w:rPr>
                <w:rFonts w:eastAsia="Arial"/>
                <w:lang w:val="en-US"/>
              </w:rPr>
              <w:t>nt</w:t>
            </w:r>
            <w:r w:rsidRPr="00D91121">
              <w:rPr>
                <w:rFonts w:eastAsia="Arial"/>
                <w:spacing w:val="-4"/>
                <w:lang w:val="en-US"/>
              </w:rPr>
              <w:t xml:space="preserve"> </w:t>
            </w:r>
            <w:r w:rsidRPr="00D91121">
              <w:rPr>
                <w:rFonts w:eastAsia="Arial"/>
                <w:spacing w:val="4"/>
                <w:lang w:val="en-US"/>
              </w:rPr>
              <w:t>l</w:t>
            </w:r>
            <w:r w:rsidRPr="00D91121">
              <w:rPr>
                <w:rFonts w:eastAsia="Arial"/>
                <w:lang w:val="en-US"/>
              </w:rPr>
              <w:t>oc</w:t>
            </w:r>
            <w:r w:rsidRPr="00D91121">
              <w:rPr>
                <w:rFonts w:eastAsia="Arial"/>
                <w:spacing w:val="-4"/>
                <w:lang w:val="en-US"/>
              </w:rPr>
              <w:t>a</w:t>
            </w:r>
            <w:r w:rsidRPr="00D91121">
              <w:rPr>
                <w:rFonts w:eastAsia="Arial"/>
                <w:lang w:val="en-US"/>
              </w:rPr>
              <w:t>l</w:t>
            </w:r>
            <w:r w:rsidRPr="00D91121">
              <w:rPr>
                <w:rFonts w:eastAsia="Arial"/>
                <w:spacing w:val="4"/>
                <w:lang w:val="en-US"/>
              </w:rPr>
              <w:t xml:space="preserve"> </w:t>
            </w:r>
            <w:r w:rsidRPr="00D91121">
              <w:rPr>
                <w:rFonts w:eastAsia="Arial"/>
                <w:spacing w:val="-3"/>
                <w:lang w:val="en-US"/>
              </w:rPr>
              <w:t>g</w:t>
            </w:r>
            <w:r w:rsidRPr="00D91121">
              <w:rPr>
                <w:rFonts w:eastAsia="Arial"/>
                <w:lang w:val="en-US"/>
              </w:rPr>
              <w:t>uid</w:t>
            </w:r>
            <w:r w:rsidRPr="00D91121">
              <w:rPr>
                <w:rFonts w:eastAsia="Arial"/>
                <w:spacing w:val="-3"/>
                <w:lang w:val="en-US"/>
              </w:rPr>
              <w:t>e</w:t>
            </w:r>
            <w:r w:rsidRPr="00D91121">
              <w:rPr>
                <w:rFonts w:eastAsia="Arial"/>
                <w:lang w:val="en-US"/>
              </w:rPr>
              <w:t>l</w:t>
            </w:r>
            <w:r w:rsidRPr="00D91121">
              <w:rPr>
                <w:rFonts w:eastAsia="Arial"/>
                <w:spacing w:val="4"/>
                <w:lang w:val="en-US"/>
              </w:rPr>
              <w:t>i</w:t>
            </w:r>
            <w:r w:rsidRPr="00D91121">
              <w:rPr>
                <w:rFonts w:eastAsia="Arial"/>
                <w:lang w:val="en-US"/>
              </w:rPr>
              <w:t>nes</w:t>
            </w:r>
            <w:r>
              <w:rPr>
                <w:rFonts w:eastAsia="Arial"/>
                <w:lang w:val="en-US"/>
              </w:rPr>
              <w:t>.</w:t>
            </w:r>
          </w:p>
          <w:p w14:paraId="64FEDD91" w14:textId="4D16C0AA" w:rsidR="00DD05C5" w:rsidRDefault="00DD05C5" w:rsidP="00DD05C5">
            <w:pPr>
              <w:pStyle w:val="Bulletindent1"/>
            </w:pPr>
            <w:r w:rsidRPr="00A5146E">
              <w:rPr>
                <w:rFonts w:eastAsia="Arial"/>
                <w:lang w:val="en-US"/>
              </w:rPr>
              <w:t xml:space="preserve">Advise individuals of the </w:t>
            </w:r>
            <w:r w:rsidRPr="00A5146E">
              <w:t>risk of modest weight gain with TA</w:t>
            </w:r>
            <w:r>
              <w:t>F-FTC</w:t>
            </w:r>
            <w:r w:rsidRPr="00A5146E">
              <w:t xml:space="preserve"> compared to TD</w:t>
            </w:r>
            <w:r>
              <w:t>-FTC</w:t>
            </w:r>
          </w:p>
        </w:tc>
      </w:tr>
      <w:tr w:rsidR="00DD05C5" w14:paraId="6E35D52F" w14:textId="77777777" w:rsidTr="00DD05C5">
        <w:tc>
          <w:tcPr>
            <w:tcW w:w="2547" w:type="dxa"/>
          </w:tcPr>
          <w:p w14:paraId="2A1A67A5" w14:textId="3EE498CE" w:rsidR="00DD05C5" w:rsidRPr="0016302D" w:rsidRDefault="00DD05C5" w:rsidP="00DD05C5">
            <w:pPr>
              <w:rPr>
                <w:rStyle w:val="TableHeaderColumn"/>
                <w:sz w:val="22"/>
              </w:rPr>
            </w:pPr>
            <w:r w:rsidRPr="0016302D">
              <w:rPr>
                <w:rStyle w:val="TableHeaderColumn"/>
                <w:sz w:val="22"/>
              </w:rPr>
              <w:lastRenderedPageBreak/>
              <w:t>Specific information to be provided</w:t>
            </w:r>
          </w:p>
        </w:tc>
        <w:tc>
          <w:tcPr>
            <w:tcW w:w="5948" w:type="dxa"/>
          </w:tcPr>
          <w:p w14:paraId="5206E96D" w14:textId="088E0419" w:rsidR="00DD05C5" w:rsidRPr="00DD05C5" w:rsidRDefault="00DD05C5" w:rsidP="00DD05C5">
            <w:pPr>
              <w:pStyle w:val="Tabletext"/>
              <w:rPr>
                <w:rFonts w:eastAsia="Arial" w:cs="Arial"/>
                <w:szCs w:val="22"/>
              </w:rPr>
            </w:pPr>
            <w:proofErr w:type="spellStart"/>
            <w:r w:rsidRPr="0016302D">
              <w:t>PrEP</w:t>
            </w:r>
            <w:proofErr w:type="spellEnd"/>
            <w:r w:rsidRPr="0016302D">
              <w:t xml:space="preserve"> should be offered as part of a package of care which includes comprehensive sexual and reproductive healthcare services.</w:t>
            </w:r>
          </w:p>
        </w:tc>
      </w:tr>
      <w:tr w:rsidR="00DD05C5" w14:paraId="6142EA67" w14:textId="77777777" w:rsidTr="00DD05C5">
        <w:tc>
          <w:tcPr>
            <w:tcW w:w="2547" w:type="dxa"/>
          </w:tcPr>
          <w:p w14:paraId="751752A4" w14:textId="1D0EE306" w:rsidR="00DD05C5" w:rsidRPr="00544444" w:rsidRDefault="00DD05C5" w:rsidP="00DD05C5">
            <w:pPr>
              <w:rPr>
                <w:rStyle w:val="TableHeaderColumn"/>
                <w:sz w:val="22"/>
              </w:rPr>
            </w:pPr>
            <w:r w:rsidRPr="00544444">
              <w:rPr>
                <w:rStyle w:val="TableHeaderColumn"/>
                <w:sz w:val="22"/>
              </w:rPr>
              <w:t xml:space="preserve">Actions to be taken if the individual is excluded </w:t>
            </w:r>
            <w:r>
              <w:rPr>
                <w:rStyle w:val="TableHeaderColumn"/>
                <w:sz w:val="22"/>
              </w:rPr>
              <w:t>or declines treatment</w:t>
            </w:r>
          </w:p>
        </w:tc>
        <w:tc>
          <w:tcPr>
            <w:tcW w:w="5948" w:type="dxa"/>
          </w:tcPr>
          <w:p w14:paraId="3C59ACE7" w14:textId="77777777" w:rsidR="00DD05C5" w:rsidRDefault="00DD05C5" w:rsidP="00DD05C5">
            <w:pPr>
              <w:pStyle w:val="Bulletindent1"/>
              <w:rPr>
                <w:rFonts w:eastAsia="Calibri"/>
              </w:rPr>
            </w:pPr>
            <w:r w:rsidRPr="00967DC6">
              <w:rPr>
                <w:rFonts w:eastAsia="Calibri"/>
              </w:rPr>
              <w:t xml:space="preserve">If </w:t>
            </w:r>
            <w:r>
              <w:rPr>
                <w:rFonts w:eastAsia="Calibri"/>
              </w:rPr>
              <w:t xml:space="preserve">an individual declines </w:t>
            </w:r>
            <w:proofErr w:type="spellStart"/>
            <w:r>
              <w:rPr>
                <w:rFonts w:eastAsia="Calibri"/>
              </w:rPr>
              <w:t>PrEP</w:t>
            </w:r>
            <w:proofErr w:type="spellEnd"/>
            <w:r>
              <w:rPr>
                <w:rFonts w:eastAsia="Calibri"/>
              </w:rPr>
              <w:t>,</w:t>
            </w:r>
            <w:r w:rsidRPr="00967DC6">
              <w:rPr>
                <w:rFonts w:eastAsia="Calibri"/>
              </w:rPr>
              <w:t xml:space="preserve"> ensure </w:t>
            </w:r>
            <w:r>
              <w:rPr>
                <w:rFonts w:eastAsia="Calibri"/>
              </w:rPr>
              <w:t xml:space="preserve">they understand why this medication has been offered </w:t>
            </w:r>
            <w:r w:rsidRPr="00967DC6">
              <w:rPr>
                <w:rFonts w:eastAsia="Calibri"/>
              </w:rPr>
              <w:t xml:space="preserve">and the potential consequences of not receiving </w:t>
            </w:r>
            <w:r>
              <w:rPr>
                <w:rFonts w:eastAsia="Calibri"/>
              </w:rPr>
              <w:t>it</w:t>
            </w:r>
            <w:r w:rsidRPr="00967DC6">
              <w:rPr>
                <w:rFonts w:eastAsia="Calibri"/>
              </w:rPr>
              <w:t>.</w:t>
            </w:r>
            <w:r>
              <w:rPr>
                <w:rFonts w:eastAsia="Calibri"/>
              </w:rPr>
              <w:t xml:space="preserve"> Record reason for declining in individual’s medical record.  </w:t>
            </w:r>
          </w:p>
          <w:p w14:paraId="574ADD34" w14:textId="77777777" w:rsidR="00DD05C5" w:rsidRPr="0016302D" w:rsidRDefault="00DD05C5" w:rsidP="00DD05C5">
            <w:pPr>
              <w:pStyle w:val="Bulletindent1"/>
              <w:rPr>
                <w:rFonts w:eastAsia="Calibri"/>
              </w:rPr>
            </w:pPr>
            <w:r w:rsidRPr="0016302D">
              <w:rPr>
                <w:rFonts w:eastAsia="Calibri"/>
              </w:rPr>
              <w:t xml:space="preserve">If individual tests HIV positive or has an indeterminate HIV test at </w:t>
            </w:r>
            <w:proofErr w:type="spellStart"/>
            <w:r w:rsidRPr="0016302D">
              <w:rPr>
                <w:rFonts w:eastAsia="Calibri"/>
              </w:rPr>
              <w:t>PrEP</w:t>
            </w:r>
            <w:proofErr w:type="spellEnd"/>
            <w:r w:rsidRPr="0016302D">
              <w:rPr>
                <w:rFonts w:eastAsia="Calibri"/>
              </w:rPr>
              <w:t xml:space="preserve"> initiation or continuation: manage as per local pathway.</w:t>
            </w:r>
          </w:p>
          <w:p w14:paraId="6E150913" w14:textId="77777777" w:rsidR="00DD05C5" w:rsidRPr="0016302D" w:rsidRDefault="00DD05C5" w:rsidP="00DD05C5">
            <w:pPr>
              <w:pStyle w:val="Bulletindent1"/>
              <w:rPr>
                <w:rFonts w:eastAsia="Calibri"/>
              </w:rPr>
            </w:pPr>
            <w:r w:rsidRPr="0016302D">
              <w:rPr>
                <w:rFonts w:eastAsia="Calibri"/>
              </w:rPr>
              <w:t xml:space="preserve">If recent HIV seroconversion is suspected, defer initiation of </w:t>
            </w:r>
            <w:proofErr w:type="spellStart"/>
            <w:r w:rsidRPr="0016302D">
              <w:rPr>
                <w:rFonts w:eastAsia="Calibri"/>
              </w:rPr>
              <w:t>PrEP</w:t>
            </w:r>
            <w:proofErr w:type="spellEnd"/>
            <w:r w:rsidRPr="0016302D">
              <w:rPr>
                <w:rFonts w:eastAsia="Calibri"/>
              </w:rPr>
              <w:t xml:space="preserve"> until HIV infection has been excluded:</w:t>
            </w:r>
          </w:p>
          <w:p w14:paraId="380A2167" w14:textId="77777777" w:rsidR="00DD05C5" w:rsidRPr="0016302D" w:rsidRDefault="00DD05C5" w:rsidP="00DD05C5">
            <w:pPr>
              <w:pStyle w:val="Bulletindent1"/>
              <w:numPr>
                <w:ilvl w:val="1"/>
                <w:numId w:val="15"/>
              </w:numPr>
              <w:rPr>
                <w:rFonts w:eastAsia="Calibri"/>
              </w:rPr>
            </w:pPr>
            <w:r w:rsidRPr="0016302D">
              <w:rPr>
                <w:rFonts w:eastAsia="Calibri"/>
              </w:rPr>
              <w:t xml:space="preserve">If the individual tests HIV negative, can proceed under PGD </w:t>
            </w:r>
          </w:p>
          <w:p w14:paraId="77B03DDD" w14:textId="77777777" w:rsidR="00DD05C5" w:rsidRPr="0016302D" w:rsidRDefault="00DD05C5" w:rsidP="00DD05C5">
            <w:pPr>
              <w:pStyle w:val="Bulletindent1"/>
              <w:numPr>
                <w:ilvl w:val="1"/>
                <w:numId w:val="15"/>
              </w:numPr>
              <w:rPr>
                <w:rFonts w:eastAsia="Calibri"/>
              </w:rPr>
            </w:pPr>
            <w:r w:rsidRPr="0016302D">
              <w:rPr>
                <w:rFonts w:eastAsia="Calibri"/>
              </w:rPr>
              <w:t>If the individual tests positive, refer to HIV services as per local pathway</w:t>
            </w:r>
          </w:p>
          <w:p w14:paraId="3F423222" w14:textId="77777777" w:rsidR="00DD05C5" w:rsidRPr="0016302D" w:rsidRDefault="00DD05C5" w:rsidP="00DD05C5">
            <w:pPr>
              <w:pStyle w:val="Bulletindent1"/>
              <w:rPr>
                <w:rFonts w:eastAsia="Calibri"/>
              </w:rPr>
            </w:pPr>
            <w:r w:rsidRPr="0016302D">
              <w:rPr>
                <w:rFonts w:eastAsia="Calibri"/>
              </w:rPr>
              <w:t>If currently showing symptoms of HIV seroconversion - refer to the appropriate prescriber</w:t>
            </w:r>
          </w:p>
          <w:p w14:paraId="698A1D16" w14:textId="77777777" w:rsidR="00DD05C5" w:rsidRPr="0016302D" w:rsidRDefault="00DD05C5" w:rsidP="00DD05C5">
            <w:pPr>
              <w:pStyle w:val="Bulletindent1"/>
              <w:rPr>
                <w:rFonts w:eastAsia="Calibri"/>
              </w:rPr>
            </w:pPr>
            <w:r w:rsidRPr="0016302D">
              <w:rPr>
                <w:rFonts w:eastAsia="Calibri"/>
              </w:rPr>
              <w:t xml:space="preserve">If a HIV test is reactive/positive whilst taking </w:t>
            </w:r>
            <w:proofErr w:type="spellStart"/>
            <w:r w:rsidRPr="0016302D">
              <w:rPr>
                <w:rFonts w:eastAsia="Calibri"/>
              </w:rPr>
              <w:t>PrEP</w:t>
            </w:r>
            <w:proofErr w:type="spellEnd"/>
            <w:r w:rsidRPr="0016302D">
              <w:rPr>
                <w:rFonts w:eastAsia="Calibri"/>
              </w:rPr>
              <w:t xml:space="preserve">, perform confirmatory serology with a combined antigen / antibody test, HIV viral load and resistance testing. Refer to HIV service urgently as per local pathway for intensification of HIV treatment. </w:t>
            </w:r>
          </w:p>
          <w:p w14:paraId="728AD3EB" w14:textId="77777777" w:rsidR="00DD05C5" w:rsidRPr="0016302D" w:rsidRDefault="00DD05C5" w:rsidP="00DD05C5">
            <w:pPr>
              <w:pStyle w:val="Bulletindent1"/>
              <w:rPr>
                <w:rFonts w:eastAsia="Calibri"/>
              </w:rPr>
            </w:pPr>
            <w:r w:rsidRPr="0016302D">
              <w:rPr>
                <w:rFonts w:eastAsia="Calibri"/>
              </w:rPr>
              <w:t>Individuals with acute or chronic hepatitis B should be referred to a prescriber and are excluded from being treated under this PGD.</w:t>
            </w:r>
          </w:p>
          <w:p w14:paraId="52F0D309" w14:textId="77777777" w:rsidR="00DD05C5" w:rsidRPr="0016302D" w:rsidRDefault="00DD05C5" w:rsidP="00DD05C5">
            <w:pPr>
              <w:pStyle w:val="Bulletindent1"/>
              <w:rPr>
                <w:rFonts w:eastAsia="Calibri"/>
              </w:rPr>
            </w:pPr>
            <w:r w:rsidRPr="0016302D">
              <w:rPr>
                <w:rFonts w:eastAsia="Calibri"/>
              </w:rPr>
              <w:t>If excluded, explain the reasons for exclusion to the individual and document in the individual’s medical record</w:t>
            </w:r>
          </w:p>
          <w:p w14:paraId="1ACA62F4" w14:textId="769293A2" w:rsidR="00DD05C5" w:rsidRPr="00DD05C5" w:rsidRDefault="00DD05C5" w:rsidP="00DD05C5">
            <w:pPr>
              <w:pStyle w:val="Bulletindent1"/>
              <w:rPr>
                <w:rFonts w:eastAsia="Calibri"/>
              </w:rPr>
            </w:pPr>
            <w:r w:rsidRPr="0016302D">
              <w:rPr>
                <w:rFonts w:eastAsia="Calibri"/>
              </w:rPr>
              <w:t>Where required, refer the individual to a suitable health service provider if appropriate and/or provide them with information about further options</w:t>
            </w:r>
          </w:p>
        </w:tc>
      </w:tr>
      <w:tr w:rsidR="00DD05C5" w14:paraId="7B53BE11" w14:textId="77777777" w:rsidTr="00DD05C5">
        <w:tc>
          <w:tcPr>
            <w:tcW w:w="2547" w:type="dxa"/>
          </w:tcPr>
          <w:p w14:paraId="27EF789B" w14:textId="005F2125" w:rsidR="00DD05C5" w:rsidRPr="0088215D" w:rsidRDefault="00DD05C5" w:rsidP="00DD05C5">
            <w:pPr>
              <w:rPr>
                <w:rStyle w:val="TableHeaderColumn"/>
              </w:rPr>
            </w:pPr>
            <w:r w:rsidRPr="0088215D">
              <w:rPr>
                <w:rStyle w:val="TableHeaderColumn"/>
                <w:sz w:val="22"/>
              </w:rPr>
              <w:t>Arrangements for referral for medical advice</w:t>
            </w:r>
          </w:p>
        </w:tc>
        <w:tc>
          <w:tcPr>
            <w:tcW w:w="5948" w:type="dxa"/>
          </w:tcPr>
          <w:p w14:paraId="28F287E2" w14:textId="5A8484C7" w:rsidR="00DD05C5" w:rsidRPr="00967DC6" w:rsidRDefault="00DD05C5" w:rsidP="00DD05C5">
            <w:pPr>
              <w:pStyle w:val="Tabletext"/>
              <w:rPr>
                <w:rFonts w:eastAsia="Calibri"/>
              </w:rPr>
            </w:pPr>
            <w:r w:rsidRPr="0088215D">
              <w:rPr>
                <w:rFonts w:eastAsia="Calibri"/>
              </w:rPr>
              <w:t>Refer to the appropriate medical practitioner in the care pathway</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10;"/>
      </w:tblPr>
      <w:tblGrid>
        <w:gridCol w:w="3566"/>
        <w:gridCol w:w="4934"/>
      </w:tblGrid>
      <w:tr w:rsidR="00165DD9" w14:paraId="2B351AEC" w14:textId="77777777" w:rsidTr="00DD05C5">
        <w:tc>
          <w:tcPr>
            <w:tcW w:w="3566" w:type="dxa"/>
          </w:tcPr>
          <w:p w14:paraId="6EB1838B" w14:textId="51FA7B9B" w:rsidR="00165DD9" w:rsidRPr="00544444" w:rsidRDefault="00165DD9" w:rsidP="33BB7BE5">
            <w:pPr>
              <w:rPr>
                <w:rStyle w:val="TableHeaderColumn"/>
                <w:sz w:val="22"/>
                <w:szCs w:val="22"/>
              </w:rPr>
            </w:pPr>
            <w:r w:rsidRPr="33BB7BE5">
              <w:rPr>
                <w:rStyle w:val="TableHeaderColumn"/>
                <w:sz w:val="22"/>
                <w:szCs w:val="22"/>
              </w:rPr>
              <w:t>Name, form and strength of</w:t>
            </w:r>
            <w:r w:rsidR="5C15BBA7" w:rsidRPr="33BB7BE5">
              <w:rPr>
                <w:rStyle w:val="TableHeaderColumn"/>
                <w:sz w:val="22"/>
                <w:szCs w:val="22"/>
              </w:rPr>
              <w:t xml:space="preserve"> medicine</w:t>
            </w:r>
          </w:p>
        </w:tc>
        <w:tc>
          <w:tcPr>
            <w:tcW w:w="4934" w:type="dxa"/>
          </w:tcPr>
          <w:p w14:paraId="3B7520F1" w14:textId="43719CEE" w:rsidR="000F39F6" w:rsidRDefault="0088215D" w:rsidP="000F39F6">
            <w:pPr>
              <w:pStyle w:val="Tabletext"/>
            </w:pPr>
            <w:r w:rsidRPr="0088215D">
              <w:rPr>
                <w:lang w:val="en-GB"/>
              </w:rPr>
              <w:t xml:space="preserve">Emtricitabine 200mg/tenofovir </w:t>
            </w:r>
            <w:r w:rsidR="00DD05C5">
              <w:rPr>
                <w:lang w:val="en-GB"/>
              </w:rPr>
              <w:t>alafenamide fumarate 25mg</w:t>
            </w:r>
            <w:r w:rsidRPr="0088215D">
              <w:rPr>
                <w:lang w:val="en-GB"/>
              </w:rPr>
              <w:t xml:space="preserve"> tablet</w:t>
            </w:r>
          </w:p>
          <w:p w14:paraId="2B104BB5" w14:textId="07ED3385" w:rsidR="00165DD9" w:rsidRDefault="00165DD9" w:rsidP="000F39F6">
            <w:pPr>
              <w:pStyle w:val="Tabletext"/>
            </w:pPr>
          </w:p>
        </w:tc>
      </w:tr>
      <w:tr w:rsidR="00165DD9" w14:paraId="6DAA0645" w14:textId="77777777" w:rsidTr="00DD05C5">
        <w:tc>
          <w:tcPr>
            <w:tcW w:w="3566" w:type="dxa"/>
          </w:tcPr>
          <w:p w14:paraId="2F56A41B" w14:textId="05091A78" w:rsidR="00165DD9" w:rsidRPr="00544444" w:rsidRDefault="00165DD9" w:rsidP="005A6168">
            <w:pPr>
              <w:rPr>
                <w:rStyle w:val="TableHeaderColumn"/>
                <w:sz w:val="22"/>
              </w:rPr>
            </w:pPr>
            <w:r w:rsidRPr="00544444">
              <w:rPr>
                <w:rStyle w:val="TableHeaderColumn"/>
                <w:sz w:val="22"/>
              </w:rPr>
              <w:t>Legal category</w:t>
            </w:r>
          </w:p>
        </w:tc>
        <w:tc>
          <w:tcPr>
            <w:tcW w:w="4934" w:type="dxa"/>
          </w:tcPr>
          <w:p w14:paraId="29E26784" w14:textId="56B07342" w:rsidR="00165DD9" w:rsidRDefault="00DD05C5" w:rsidP="009B62D2">
            <w:pPr>
              <w:pStyle w:val="Tabletext"/>
            </w:pPr>
            <w:r>
              <w:rPr>
                <w:rFonts w:cs="Arial"/>
                <w:szCs w:val="22"/>
              </w:rPr>
              <w:t>Prescription Only Medicine (</w:t>
            </w:r>
            <w:r w:rsidRPr="00456995">
              <w:rPr>
                <w:rFonts w:cs="Arial"/>
                <w:szCs w:val="22"/>
              </w:rPr>
              <w:t>POM</w:t>
            </w:r>
            <w:r>
              <w:rPr>
                <w:rFonts w:cs="Arial"/>
                <w:szCs w:val="22"/>
              </w:rPr>
              <w:t>)</w:t>
            </w:r>
          </w:p>
        </w:tc>
      </w:tr>
      <w:tr w:rsidR="00DD05C5" w14:paraId="3F94FE0F" w14:textId="77777777" w:rsidTr="00DD05C5">
        <w:tc>
          <w:tcPr>
            <w:tcW w:w="3566" w:type="dxa"/>
          </w:tcPr>
          <w:p w14:paraId="4084EF7C" w14:textId="05798F2C" w:rsidR="00DD05C5" w:rsidRPr="00544444" w:rsidRDefault="00DD05C5" w:rsidP="005A6168">
            <w:pPr>
              <w:rPr>
                <w:rStyle w:val="TableHeaderColumn"/>
                <w:sz w:val="22"/>
              </w:rPr>
            </w:pPr>
            <w:r>
              <w:rPr>
                <w:rFonts w:ascii="Arial" w:hAnsi="Arial" w:cs="Arial"/>
                <w:b/>
                <w:sz w:val="22"/>
                <w:szCs w:val="22"/>
              </w:rPr>
              <w:t xml:space="preserve">Black triangle </w:t>
            </w:r>
            <w:r w:rsidRPr="00E66B50">
              <w:rPr>
                <w:rFonts w:ascii="Arial" w:hAnsi="Arial" w:cs="Arial"/>
                <w:b/>
                <w:sz w:val="22"/>
                <w:szCs w:val="22"/>
              </w:rPr>
              <w:sym w:font="Wingdings 3" w:char="F071"/>
            </w:r>
          </w:p>
        </w:tc>
        <w:tc>
          <w:tcPr>
            <w:tcW w:w="4934" w:type="dxa"/>
          </w:tcPr>
          <w:p w14:paraId="46E44E19" w14:textId="42703ED4" w:rsidR="00DD05C5" w:rsidRPr="008676A6" w:rsidRDefault="00DD05C5" w:rsidP="009B62D2">
            <w:pPr>
              <w:pStyle w:val="Tabletext"/>
            </w:pPr>
            <w:r>
              <w:t>No</w:t>
            </w:r>
          </w:p>
        </w:tc>
      </w:tr>
      <w:tr w:rsidR="00165DD9" w14:paraId="44E2B1CC" w14:textId="77777777" w:rsidTr="00DD05C5">
        <w:tc>
          <w:tcPr>
            <w:tcW w:w="3566" w:type="dxa"/>
          </w:tcPr>
          <w:p w14:paraId="2EBF84AC" w14:textId="3F02AFE0" w:rsidR="00165DD9" w:rsidRPr="00544444" w:rsidRDefault="00165DD9" w:rsidP="005A6168">
            <w:pPr>
              <w:rPr>
                <w:rStyle w:val="TableHeaderColumn"/>
                <w:sz w:val="22"/>
              </w:rPr>
            </w:pPr>
            <w:r w:rsidRPr="00544444">
              <w:rPr>
                <w:rStyle w:val="TableHeaderColumn"/>
                <w:sz w:val="22"/>
              </w:rPr>
              <w:t>Route</w:t>
            </w:r>
            <w:r w:rsidR="009604EE" w:rsidRPr="00544444">
              <w:rPr>
                <w:rStyle w:val="TableHeaderColumn"/>
                <w:sz w:val="22"/>
              </w:rPr>
              <w:t xml:space="preserve"> or </w:t>
            </w:r>
            <w:r w:rsidRPr="00544444">
              <w:rPr>
                <w:rStyle w:val="TableHeaderColumn"/>
                <w:sz w:val="22"/>
              </w:rPr>
              <w:t>method of administration</w:t>
            </w:r>
          </w:p>
        </w:tc>
        <w:tc>
          <w:tcPr>
            <w:tcW w:w="4934" w:type="dxa"/>
          </w:tcPr>
          <w:p w14:paraId="02A417E4" w14:textId="6139D77D" w:rsidR="00DD05C5" w:rsidRDefault="00DD05C5" w:rsidP="00DD05C5">
            <w:pPr>
              <w:overflowPunct w:val="0"/>
              <w:autoSpaceDE w:val="0"/>
              <w:autoSpaceDN w:val="0"/>
              <w:adjustRightInd w:val="0"/>
              <w:textAlignment w:val="baseline"/>
              <w:rPr>
                <w:rFonts w:ascii="Arial" w:hAnsi="Arial" w:cs="Arial"/>
                <w:spacing w:val="-2"/>
                <w:sz w:val="22"/>
                <w:szCs w:val="22"/>
              </w:rPr>
            </w:pPr>
            <w:r w:rsidRPr="00456995">
              <w:rPr>
                <w:rFonts w:ascii="Arial" w:hAnsi="Arial" w:cs="Arial"/>
                <w:spacing w:val="-2"/>
                <w:sz w:val="22"/>
                <w:szCs w:val="22"/>
              </w:rPr>
              <w:t>Oral</w:t>
            </w:r>
            <w:r>
              <w:rPr>
                <w:rFonts w:ascii="Arial" w:hAnsi="Arial" w:cs="Arial"/>
                <w:spacing w:val="-2"/>
                <w:sz w:val="22"/>
                <w:szCs w:val="22"/>
              </w:rPr>
              <w:t>ly, swallowed whole</w:t>
            </w:r>
          </w:p>
          <w:p w14:paraId="04517ADA" w14:textId="6C35351B" w:rsidR="000F39F6" w:rsidRPr="00A95DEB" w:rsidRDefault="00DD05C5" w:rsidP="00DD05C5">
            <w:pPr>
              <w:pStyle w:val="Tabletext"/>
            </w:pPr>
            <w:r w:rsidRPr="000937AA">
              <w:rPr>
                <w:rFonts w:cs="Arial"/>
                <w:i/>
                <w:iCs/>
                <w:spacing w:val="-2"/>
                <w:szCs w:val="22"/>
              </w:rPr>
              <w:t>If individual is unable to swallow the tablet whole, the tablets may be split in half and both halves taken one after the other, ensuring that the full dose is taken immediately.</w:t>
            </w:r>
          </w:p>
        </w:tc>
      </w:tr>
      <w:tr w:rsidR="003E69CD" w14:paraId="264CA183" w14:textId="77777777" w:rsidTr="00DD05C5">
        <w:tc>
          <w:tcPr>
            <w:tcW w:w="3566" w:type="dxa"/>
          </w:tcPr>
          <w:p w14:paraId="011DED45" w14:textId="00483255" w:rsidR="003E69CD" w:rsidRPr="00544444" w:rsidRDefault="003E69CD" w:rsidP="005A6168">
            <w:pPr>
              <w:rPr>
                <w:rStyle w:val="TableHeaderColumn"/>
                <w:sz w:val="22"/>
              </w:rPr>
            </w:pPr>
            <w:r w:rsidRPr="00544444">
              <w:rPr>
                <w:rStyle w:val="TableHeaderColumn"/>
                <w:sz w:val="22"/>
              </w:rPr>
              <w:t>Off</w:t>
            </w:r>
            <w:r w:rsidR="00675BFB">
              <w:rPr>
                <w:rStyle w:val="TableHeaderColumn"/>
                <w:sz w:val="22"/>
              </w:rPr>
              <w:t>-</w:t>
            </w:r>
            <w:r w:rsidRPr="00544444">
              <w:rPr>
                <w:rStyle w:val="TableHeaderColumn"/>
                <w:sz w:val="22"/>
              </w:rPr>
              <w:t>label use</w:t>
            </w:r>
          </w:p>
        </w:tc>
        <w:tc>
          <w:tcPr>
            <w:tcW w:w="4934" w:type="dxa"/>
          </w:tcPr>
          <w:p w14:paraId="3E48CB5A" w14:textId="69AF05B7" w:rsidR="008A3BEE" w:rsidRDefault="008A3BEE" w:rsidP="008A3BEE">
            <w:pPr>
              <w:pStyle w:val="Tabletext"/>
              <w:rPr>
                <w:b/>
                <w:bCs/>
                <w:lang w:val="en-GB"/>
              </w:rPr>
            </w:pPr>
            <w:r>
              <w:rPr>
                <w:b/>
                <w:bCs/>
                <w:lang w:val="en-GB"/>
              </w:rPr>
              <w:t>Off-label use</w:t>
            </w:r>
          </w:p>
          <w:p w14:paraId="17B92A77" w14:textId="515862CA" w:rsidR="00DD05C5" w:rsidRDefault="00DD05C5" w:rsidP="00DD05C5">
            <w:pPr>
              <w:overflowPunct w:val="0"/>
              <w:autoSpaceDE w:val="0"/>
              <w:autoSpaceDN w:val="0"/>
              <w:adjustRightInd w:val="0"/>
              <w:spacing w:after="58"/>
              <w:textAlignment w:val="baseline"/>
              <w:rPr>
                <w:rFonts w:ascii="Arial" w:hAnsi="Arial"/>
                <w:szCs w:val="20"/>
              </w:rPr>
            </w:pPr>
            <w:r>
              <w:rPr>
                <w:rFonts w:ascii="Arial" w:eastAsia="Calibri" w:hAnsi="Arial" w:cs="Arial"/>
                <w:sz w:val="22"/>
                <w:szCs w:val="22"/>
              </w:rPr>
              <w:t xml:space="preserve">The use of a double dose lead-in is off-label but use in this way is supported by </w:t>
            </w:r>
            <w:hyperlink r:id="rId33" w:history="1">
              <w:r w:rsidRPr="00A827B8">
                <w:rPr>
                  <w:rStyle w:val="Hyperlink"/>
                  <w:rFonts w:ascii="Arial" w:eastAsia="Calibri" w:hAnsi="Arial" w:cs="Arial"/>
                  <w:sz w:val="22"/>
                  <w:szCs w:val="22"/>
                </w:rPr>
                <w:t xml:space="preserve">BASHH/BHIVA HIV </w:t>
              </w:r>
              <w:proofErr w:type="spellStart"/>
              <w:r w:rsidRPr="00A827B8">
                <w:rPr>
                  <w:rStyle w:val="Hyperlink"/>
                  <w:rFonts w:ascii="Arial" w:eastAsia="Calibri" w:hAnsi="Arial" w:cs="Arial"/>
                  <w:sz w:val="22"/>
                  <w:szCs w:val="22"/>
                </w:rPr>
                <w:t>PrEP</w:t>
              </w:r>
              <w:proofErr w:type="spellEnd"/>
              <w:r w:rsidRPr="00A827B8">
                <w:rPr>
                  <w:rStyle w:val="Hyperlink"/>
                  <w:rFonts w:ascii="Arial" w:eastAsia="Calibri" w:hAnsi="Arial" w:cs="Arial"/>
                  <w:sz w:val="22"/>
                  <w:szCs w:val="22"/>
                </w:rPr>
                <w:t xml:space="preserve"> guidance</w:t>
              </w:r>
            </w:hyperlink>
            <w:r w:rsidRPr="003860ED">
              <w:rPr>
                <w:rFonts w:ascii="Arial" w:hAnsi="Arial"/>
                <w:sz w:val="22"/>
                <w:szCs w:val="22"/>
              </w:rPr>
              <w:t xml:space="preserve"> and use in this way is supported by this PGD. </w:t>
            </w:r>
          </w:p>
          <w:p w14:paraId="387BF0C0" w14:textId="541AA291" w:rsidR="008A3BEE" w:rsidRDefault="00DD05C5" w:rsidP="00DD05C5">
            <w:pPr>
              <w:overflowPunct w:val="0"/>
              <w:autoSpaceDE w:val="0"/>
              <w:autoSpaceDN w:val="0"/>
              <w:adjustRightInd w:val="0"/>
              <w:spacing w:after="58"/>
              <w:textAlignment w:val="baseline"/>
              <w:rPr>
                <w:rFonts w:ascii="Arial" w:hAnsi="Arial" w:cs="Arial"/>
                <w:bCs/>
                <w:sz w:val="22"/>
                <w:szCs w:val="22"/>
                <w:lang w:val="en"/>
              </w:rPr>
            </w:pPr>
            <w:r>
              <w:rPr>
                <w:rFonts w:ascii="Arial" w:hAnsi="Arial" w:cs="Arial"/>
                <w:bCs/>
                <w:sz w:val="22"/>
                <w:szCs w:val="22"/>
                <w:lang w:val="en"/>
              </w:rPr>
              <w:t>E</w:t>
            </w:r>
            <w:r w:rsidRPr="003860ED">
              <w:rPr>
                <w:rFonts w:ascii="Arial" w:hAnsi="Arial" w:cs="Arial"/>
                <w:bCs/>
                <w:sz w:val="22"/>
                <w:szCs w:val="22"/>
                <w:lang w:val="en"/>
              </w:rPr>
              <w:t>vent based dosing</w:t>
            </w:r>
            <w:r>
              <w:rPr>
                <w:rFonts w:ascii="Arial" w:hAnsi="Arial" w:cs="Arial"/>
                <w:bCs/>
                <w:sz w:val="22"/>
                <w:szCs w:val="22"/>
                <w:lang w:val="en"/>
              </w:rPr>
              <w:t xml:space="preserve"> (EBD)</w:t>
            </w:r>
            <w:r w:rsidRPr="003860ED">
              <w:rPr>
                <w:rFonts w:ascii="Arial" w:hAnsi="Arial" w:cs="Arial"/>
                <w:bCs/>
                <w:sz w:val="22"/>
                <w:szCs w:val="22"/>
                <w:lang w:val="en"/>
              </w:rPr>
              <w:t xml:space="preserve"> is</w:t>
            </w:r>
            <w:r>
              <w:rPr>
                <w:rFonts w:ascii="Arial" w:hAnsi="Arial" w:cs="Arial"/>
                <w:bCs/>
                <w:sz w:val="22"/>
                <w:szCs w:val="22"/>
                <w:lang w:val="en"/>
              </w:rPr>
              <w:t xml:space="preserve"> off-label and</w:t>
            </w:r>
            <w:r w:rsidRPr="003860ED">
              <w:rPr>
                <w:rFonts w:ascii="Arial" w:hAnsi="Arial" w:cs="Arial"/>
                <w:bCs/>
                <w:sz w:val="22"/>
                <w:szCs w:val="22"/>
                <w:lang w:val="en"/>
              </w:rPr>
              <w:t xml:space="preserve"> not in line with</w:t>
            </w:r>
            <w:r>
              <w:rPr>
                <w:rFonts w:ascii="Arial" w:hAnsi="Arial" w:cs="Arial"/>
                <w:bCs/>
                <w:sz w:val="22"/>
                <w:szCs w:val="22"/>
                <w:lang w:val="en"/>
              </w:rPr>
              <w:t xml:space="preserve"> the</w:t>
            </w:r>
            <w:r w:rsidRPr="003860ED">
              <w:rPr>
                <w:rFonts w:ascii="Arial" w:hAnsi="Arial" w:cs="Arial"/>
                <w:bCs/>
                <w:sz w:val="22"/>
                <w:szCs w:val="22"/>
                <w:lang w:val="en"/>
              </w:rPr>
              <w:t xml:space="preserve"> </w:t>
            </w:r>
            <w:hyperlink r:id="rId34" w:history="1">
              <w:r w:rsidRPr="00DD05C5">
                <w:rPr>
                  <w:rStyle w:val="Hyperlink"/>
                  <w:rFonts w:ascii="Arial" w:hAnsi="Arial" w:cs="Arial"/>
                  <w:sz w:val="22"/>
                  <w:szCs w:val="22"/>
                </w:rPr>
                <w:t>NHS England Clinical Commissioning Policy for the use of generic and second line drugs for Pre Exposure Prophylaxis (</w:t>
              </w:r>
              <w:proofErr w:type="spellStart"/>
              <w:r w:rsidRPr="00DD05C5">
                <w:rPr>
                  <w:rStyle w:val="Hyperlink"/>
                  <w:rFonts w:ascii="Arial" w:hAnsi="Arial" w:cs="Arial"/>
                  <w:sz w:val="22"/>
                  <w:szCs w:val="22"/>
                </w:rPr>
                <w:t>PrEP</w:t>
              </w:r>
              <w:proofErr w:type="spellEnd"/>
              <w:r w:rsidRPr="00DD05C5">
                <w:rPr>
                  <w:rStyle w:val="Hyperlink"/>
                  <w:rFonts w:ascii="Arial" w:hAnsi="Arial" w:cs="Arial"/>
                  <w:sz w:val="22"/>
                  <w:szCs w:val="22"/>
                </w:rPr>
                <w:t>) for the prevention of HIV</w:t>
              </w:r>
            </w:hyperlink>
            <w:r w:rsidRPr="00DD05C5">
              <w:rPr>
                <w:rFonts w:ascii="Arial" w:hAnsi="Arial" w:cs="Arial"/>
                <w:sz w:val="22"/>
                <w:szCs w:val="22"/>
              </w:rPr>
              <w:t>)</w:t>
            </w:r>
            <w:r w:rsidRPr="003860ED">
              <w:rPr>
                <w:rFonts w:ascii="Arial" w:hAnsi="Arial" w:cs="Arial"/>
                <w:bCs/>
                <w:sz w:val="22"/>
                <w:szCs w:val="22"/>
                <w:lang w:val="en"/>
              </w:rPr>
              <w:t xml:space="preserve">and </w:t>
            </w:r>
            <w:r>
              <w:rPr>
                <w:rFonts w:ascii="Arial" w:hAnsi="Arial" w:cs="Arial"/>
                <w:bCs/>
                <w:sz w:val="22"/>
                <w:szCs w:val="22"/>
                <w:lang w:val="en"/>
              </w:rPr>
              <w:t xml:space="preserve">use in this way </w:t>
            </w:r>
            <w:r w:rsidRPr="003860ED">
              <w:rPr>
                <w:rFonts w:ascii="Arial" w:hAnsi="Arial" w:cs="Arial"/>
                <w:bCs/>
                <w:sz w:val="22"/>
                <w:szCs w:val="22"/>
                <w:lang w:val="en"/>
              </w:rPr>
              <w:t xml:space="preserve">is </w:t>
            </w:r>
            <w:r w:rsidRPr="003860ED">
              <w:rPr>
                <w:rFonts w:ascii="Arial" w:hAnsi="Arial" w:cs="Arial"/>
                <w:b/>
                <w:sz w:val="22"/>
                <w:szCs w:val="22"/>
                <w:lang w:val="en"/>
              </w:rPr>
              <w:t>not supported by this PGD</w:t>
            </w:r>
            <w:r w:rsidRPr="003860ED">
              <w:rPr>
                <w:rFonts w:ascii="Arial" w:hAnsi="Arial" w:cs="Arial"/>
                <w:bCs/>
                <w:sz w:val="22"/>
                <w:szCs w:val="22"/>
                <w:lang w:val="en"/>
              </w:rPr>
              <w:t xml:space="preserve">. </w:t>
            </w:r>
          </w:p>
          <w:p w14:paraId="5E73DC70" w14:textId="77777777" w:rsidR="00DD05C5" w:rsidRPr="00DD05C5" w:rsidRDefault="00DD05C5" w:rsidP="00DD05C5">
            <w:pPr>
              <w:overflowPunct w:val="0"/>
              <w:autoSpaceDE w:val="0"/>
              <w:autoSpaceDN w:val="0"/>
              <w:adjustRightInd w:val="0"/>
              <w:spacing w:after="58"/>
              <w:textAlignment w:val="baseline"/>
              <w:rPr>
                <w:rFonts w:ascii="Arial" w:hAnsi="Arial" w:cs="Arial"/>
                <w:bCs/>
                <w:sz w:val="22"/>
                <w:szCs w:val="22"/>
                <w:lang w:val="en"/>
              </w:rPr>
            </w:pPr>
          </w:p>
          <w:p w14:paraId="21453689" w14:textId="12995F2E" w:rsidR="00393D73" w:rsidRPr="00393D73" w:rsidRDefault="00393D73" w:rsidP="00A95DEB">
            <w:pPr>
              <w:pStyle w:val="Tabletext"/>
            </w:pPr>
            <w:r w:rsidRPr="008A3BEE">
              <w:rPr>
                <w:b/>
                <w:bCs/>
              </w:rPr>
              <w:t>Temperature variations</w:t>
            </w:r>
            <w:r>
              <w:t>:</w:t>
            </w:r>
          </w:p>
          <w:p w14:paraId="216C33A8" w14:textId="38D7591C" w:rsidR="008D525C" w:rsidRPr="008D525C" w:rsidRDefault="00393D73" w:rsidP="008D525C">
            <w:pPr>
              <w:pStyle w:val="Tabletext"/>
              <w:rPr>
                <w:b/>
                <w:bCs/>
              </w:rPr>
            </w:pPr>
            <w:r>
              <w:t xml:space="preserve">Medicines should be stored according to the conditions detailed in the </w:t>
            </w:r>
            <w:hyperlink w:anchor="storage">
              <w:r w:rsidRPr="374C1672">
                <w:rPr>
                  <w:rStyle w:val="Hyperlink"/>
                </w:rPr>
                <w:t>Storage</w:t>
              </w:r>
              <w:r w:rsidR="3C77307A" w:rsidRPr="374C1672">
                <w:rPr>
                  <w:rStyle w:val="Hyperlink"/>
                </w:rPr>
                <w:t xml:space="preserve"> section below.</w:t>
              </w:r>
            </w:hyperlink>
            <w:r>
              <w:t xml:space="preserve"> </w:t>
            </w:r>
            <w:r w:rsidR="28F615EF">
              <w:t xml:space="preserve">However, in the event of an inadvertent or unavoidable deviation of these conditions the local pharmacy or Medicines Management team must be consulted.  </w:t>
            </w:r>
          </w:p>
          <w:p w14:paraId="5EC9E3C9" w14:textId="023480B9" w:rsidR="008D525C" w:rsidRDefault="008D525C" w:rsidP="008D525C">
            <w:pPr>
              <w:pStyle w:val="Tabletext"/>
            </w:pPr>
          </w:p>
          <w:p w14:paraId="0A958248" w14:textId="19EAC666" w:rsidR="008D525C" w:rsidRPr="008D525C" w:rsidRDefault="008D525C" w:rsidP="008D525C">
            <w:pPr>
              <w:pStyle w:val="Tabletext"/>
              <w:rPr>
                <w:lang w:val="en-GB"/>
              </w:rPr>
            </w:pPr>
            <w:r w:rsidRPr="008D525C">
              <w:rPr>
                <w:lang w:val="en-GB"/>
              </w:rPr>
              <w:t>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5E8E064A" w14:textId="749CDE02" w:rsidR="00393D73" w:rsidRPr="00677C74" w:rsidRDefault="00393D73" w:rsidP="00A95DEB">
            <w:pPr>
              <w:pStyle w:val="Tabletext"/>
            </w:pPr>
            <w:r w:rsidRPr="00677C74">
              <w:t xml:space="preserve"> </w:t>
            </w:r>
          </w:p>
          <w:p w14:paraId="74240E7C" w14:textId="13BEA19F" w:rsidR="003E69CD" w:rsidRPr="003B61FD" w:rsidRDefault="00393D73" w:rsidP="00A95DEB">
            <w:pPr>
              <w:pStyle w:val="Tabletext"/>
              <w:rPr>
                <w:szCs w:val="22"/>
              </w:rPr>
            </w:pPr>
            <w:r w:rsidRPr="00677C74">
              <w:t xml:space="preserve">Where a drug is recommended off-label consider, as part of the consent process, </w:t>
            </w:r>
            <w:r w:rsidRPr="00677C74">
              <w:lastRenderedPageBreak/>
              <w:t>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6C31A5" w14:paraId="5F025438" w14:textId="77777777" w:rsidTr="00DD05C5">
        <w:tc>
          <w:tcPr>
            <w:tcW w:w="3566" w:type="dxa"/>
          </w:tcPr>
          <w:p w14:paraId="4284C645" w14:textId="2A2D9BE4" w:rsidR="006C31A5" w:rsidRPr="00544444" w:rsidRDefault="006C31A5" w:rsidP="006C31A5">
            <w:pPr>
              <w:rPr>
                <w:rStyle w:val="TableHeaderColumn"/>
                <w:sz w:val="22"/>
              </w:rPr>
            </w:pPr>
            <w:r w:rsidRPr="00544444">
              <w:rPr>
                <w:rStyle w:val="TableHeaderColumn"/>
                <w:sz w:val="22"/>
              </w:rPr>
              <w:lastRenderedPageBreak/>
              <w:t>Dose and frequency of administration</w:t>
            </w:r>
          </w:p>
        </w:tc>
        <w:tc>
          <w:tcPr>
            <w:tcW w:w="4934" w:type="dxa"/>
          </w:tcPr>
          <w:p w14:paraId="6AE711F1" w14:textId="3882515A" w:rsidR="00DD05C5" w:rsidRPr="00A86B62" w:rsidRDefault="00DD05C5" w:rsidP="00DD05C5">
            <w:pPr>
              <w:rPr>
                <w:rFonts w:ascii="Arial" w:hAnsi="Arial" w:cs="Arial"/>
                <w:sz w:val="22"/>
                <w:szCs w:val="22"/>
              </w:rPr>
            </w:pPr>
            <w:r w:rsidRPr="00A86B62">
              <w:rPr>
                <w:rFonts w:ascii="Arial" w:hAnsi="Arial" w:cs="Arial"/>
                <w:sz w:val="22"/>
                <w:szCs w:val="22"/>
              </w:rPr>
              <w:t xml:space="preserve">Day 1: Take </w:t>
            </w:r>
            <w:r>
              <w:rPr>
                <w:rFonts w:ascii="Arial" w:hAnsi="Arial" w:cs="Arial"/>
                <w:sz w:val="22"/>
                <w:szCs w:val="22"/>
              </w:rPr>
              <w:t>2</w:t>
            </w:r>
            <w:r w:rsidRPr="00A86B62">
              <w:rPr>
                <w:rFonts w:ascii="Arial" w:hAnsi="Arial" w:cs="Arial"/>
                <w:sz w:val="22"/>
                <w:szCs w:val="22"/>
              </w:rPr>
              <w:t xml:space="preserve"> tablets 2-24 hours prior to anticipated </w:t>
            </w:r>
            <w:r>
              <w:rPr>
                <w:rFonts w:ascii="Arial" w:hAnsi="Arial" w:cs="Arial"/>
                <w:sz w:val="22"/>
                <w:szCs w:val="22"/>
              </w:rPr>
              <w:t>risk</w:t>
            </w:r>
            <w:r w:rsidRPr="00A86B62">
              <w:rPr>
                <w:rFonts w:ascii="Arial" w:hAnsi="Arial" w:cs="Arial"/>
                <w:sz w:val="22"/>
                <w:szCs w:val="22"/>
              </w:rPr>
              <w:t xml:space="preserve">.  Continue with </w:t>
            </w:r>
            <w:r>
              <w:rPr>
                <w:rFonts w:ascii="Arial" w:hAnsi="Arial" w:cs="Arial"/>
                <w:sz w:val="22"/>
                <w:szCs w:val="22"/>
              </w:rPr>
              <w:t>1</w:t>
            </w:r>
            <w:r w:rsidRPr="00A86B62">
              <w:rPr>
                <w:rFonts w:ascii="Arial" w:hAnsi="Arial" w:cs="Arial"/>
                <w:sz w:val="22"/>
                <w:szCs w:val="22"/>
              </w:rPr>
              <w:t xml:space="preserve"> tablet per day thereafter.</w:t>
            </w:r>
          </w:p>
          <w:p w14:paraId="7C1D81B9" w14:textId="52BBF721" w:rsidR="00DD05C5" w:rsidRDefault="00DD05C5" w:rsidP="00DD05C5">
            <w:pPr>
              <w:rPr>
                <w:rFonts w:ascii="Arial" w:hAnsi="Arial" w:cs="Arial"/>
                <w:sz w:val="22"/>
                <w:szCs w:val="22"/>
              </w:rPr>
            </w:pPr>
            <w:r w:rsidRPr="00A86B62">
              <w:rPr>
                <w:rFonts w:ascii="Arial" w:hAnsi="Arial" w:cs="Arial"/>
                <w:sz w:val="22"/>
                <w:szCs w:val="22"/>
              </w:rPr>
              <w:t xml:space="preserve">When discontinuing, </w:t>
            </w:r>
            <w:proofErr w:type="spellStart"/>
            <w:r w:rsidRPr="00A86B62">
              <w:rPr>
                <w:rFonts w:ascii="Arial" w:hAnsi="Arial" w:cs="Arial"/>
                <w:sz w:val="22"/>
                <w:szCs w:val="22"/>
              </w:rPr>
              <w:t>PrEP</w:t>
            </w:r>
            <w:proofErr w:type="spellEnd"/>
            <w:r w:rsidRPr="00A86B62">
              <w:rPr>
                <w:rFonts w:ascii="Arial" w:hAnsi="Arial" w:cs="Arial"/>
                <w:sz w:val="22"/>
                <w:szCs w:val="22"/>
              </w:rPr>
              <w:t xml:space="preserve"> should be continued for </w:t>
            </w:r>
            <w:r>
              <w:rPr>
                <w:rFonts w:ascii="Arial" w:hAnsi="Arial" w:cs="Arial"/>
                <w:sz w:val="22"/>
                <w:szCs w:val="22"/>
              </w:rPr>
              <w:t xml:space="preserve">2 days </w:t>
            </w:r>
            <w:r w:rsidRPr="00A86B62">
              <w:rPr>
                <w:rFonts w:ascii="Arial" w:hAnsi="Arial" w:cs="Arial"/>
                <w:sz w:val="22"/>
                <w:szCs w:val="22"/>
              </w:rPr>
              <w:t xml:space="preserve">after the last </w:t>
            </w:r>
            <w:r>
              <w:rPr>
                <w:rFonts w:ascii="Arial" w:hAnsi="Arial" w:cs="Arial"/>
                <w:sz w:val="22"/>
                <w:szCs w:val="22"/>
              </w:rPr>
              <w:t>risk exposure</w:t>
            </w:r>
            <w:r w:rsidRPr="00A86B62">
              <w:rPr>
                <w:rFonts w:ascii="Arial" w:hAnsi="Arial" w:cs="Arial"/>
                <w:sz w:val="22"/>
                <w:szCs w:val="22"/>
              </w:rPr>
              <w:t xml:space="preserve"> has occurred.</w:t>
            </w:r>
          </w:p>
          <w:p w14:paraId="72C58AE8" w14:textId="77777777" w:rsidR="00DD05C5" w:rsidRDefault="00DD05C5" w:rsidP="00DD05C5">
            <w:pPr>
              <w:pStyle w:val="Tabletext"/>
              <w:rPr>
                <w:rFonts w:cs="Arial"/>
                <w:bCs/>
                <w:szCs w:val="22"/>
              </w:rPr>
            </w:pPr>
            <w:r w:rsidRPr="007A32E9">
              <w:rPr>
                <w:rFonts w:cs="Arial"/>
                <w:b/>
                <w:bCs/>
                <w:szCs w:val="22"/>
              </w:rPr>
              <w:t xml:space="preserve">Ensure the individual is counselled as to the lead-in time to protection </w:t>
            </w:r>
            <w:r w:rsidRPr="007A32E9">
              <w:rPr>
                <w:rFonts w:cs="Arial"/>
                <w:b/>
                <w:bCs/>
                <w:szCs w:val="22"/>
                <w:u w:val="single"/>
              </w:rPr>
              <w:t>and</w:t>
            </w:r>
            <w:r w:rsidRPr="007A32E9">
              <w:rPr>
                <w:rFonts w:cs="Arial"/>
                <w:b/>
                <w:bCs/>
                <w:szCs w:val="22"/>
              </w:rPr>
              <w:t xml:space="preserve"> duration it needs to be taken for after last risk exposure to ensure protection</w:t>
            </w:r>
            <w:r w:rsidRPr="007A32E9">
              <w:rPr>
                <w:rFonts w:cs="Arial"/>
                <w:bCs/>
                <w:szCs w:val="22"/>
              </w:rPr>
              <w:t>.</w:t>
            </w:r>
          </w:p>
          <w:p w14:paraId="7AB7248E" w14:textId="77777777" w:rsidR="006C31A5" w:rsidRDefault="006C31A5" w:rsidP="00DD05C5">
            <w:pPr>
              <w:pStyle w:val="Tabletext"/>
              <w:rPr>
                <w:b/>
                <w:bCs/>
                <w:lang w:val="en-GB"/>
              </w:rPr>
            </w:pPr>
          </w:p>
        </w:tc>
      </w:tr>
      <w:tr w:rsidR="00DD05C5" w14:paraId="027CD51B" w14:textId="77777777" w:rsidTr="00DD05C5">
        <w:tc>
          <w:tcPr>
            <w:tcW w:w="3566" w:type="dxa"/>
          </w:tcPr>
          <w:p w14:paraId="584DFF6B" w14:textId="77777777" w:rsidR="00DD05C5" w:rsidRPr="00544444" w:rsidRDefault="00DD05C5" w:rsidP="00DD05C5">
            <w:pPr>
              <w:rPr>
                <w:rStyle w:val="TableHeaderColumn"/>
                <w:sz w:val="22"/>
              </w:rPr>
            </w:pPr>
            <w:r w:rsidRPr="00544444">
              <w:rPr>
                <w:rStyle w:val="TableHeaderColumn"/>
                <w:sz w:val="22"/>
              </w:rPr>
              <w:t xml:space="preserve">Duration of treatment </w:t>
            </w:r>
          </w:p>
          <w:p w14:paraId="2649D483" w14:textId="77777777" w:rsidR="00DD05C5" w:rsidRPr="00544444" w:rsidRDefault="00DD05C5" w:rsidP="00DD05C5">
            <w:pPr>
              <w:rPr>
                <w:rStyle w:val="TableHeaderColumn"/>
                <w:sz w:val="22"/>
              </w:rPr>
            </w:pPr>
          </w:p>
        </w:tc>
        <w:tc>
          <w:tcPr>
            <w:tcW w:w="4934" w:type="dxa"/>
          </w:tcPr>
          <w:p w14:paraId="434C8C27" w14:textId="77777777" w:rsidR="00DD05C5" w:rsidRPr="006C31A5" w:rsidRDefault="00DD05C5" w:rsidP="00DD05C5">
            <w:pPr>
              <w:pStyle w:val="Tabletext"/>
              <w:spacing w:after="58"/>
              <w:rPr>
                <w:rFonts w:eastAsia="Calibri"/>
              </w:rPr>
            </w:pPr>
            <w:r w:rsidRPr="006C31A5">
              <w:rPr>
                <w:rFonts w:eastAsia="Calibri"/>
              </w:rPr>
              <w:t xml:space="preserve">No maximum or minimum period. Duration of treatment will be determined by the individual’s exposure to risk. </w:t>
            </w:r>
          </w:p>
          <w:p w14:paraId="6AA99DAA" w14:textId="77777777" w:rsidR="00DD05C5" w:rsidRPr="006C31A5" w:rsidRDefault="00DD05C5" w:rsidP="00DD05C5">
            <w:pPr>
              <w:pStyle w:val="Tabletext"/>
              <w:spacing w:after="58"/>
              <w:rPr>
                <w:rFonts w:eastAsia="Calibri"/>
              </w:rPr>
            </w:pPr>
          </w:p>
          <w:p w14:paraId="796A6A4C" w14:textId="0812795F" w:rsidR="00DD05C5" w:rsidRPr="00DD05C5" w:rsidRDefault="00DD05C5" w:rsidP="00DD05C5">
            <w:pPr>
              <w:spacing w:after="58"/>
              <w:rPr>
                <w:rFonts w:ascii="Arial" w:hAnsi="Arial" w:cs="Arial"/>
                <w:sz w:val="22"/>
                <w:szCs w:val="22"/>
              </w:rPr>
            </w:pPr>
            <w:r w:rsidRPr="00DD05C5">
              <w:rPr>
                <w:rFonts w:ascii="Arial" w:eastAsia="Calibri" w:hAnsi="Arial" w:cs="Arial"/>
                <w:sz w:val="22"/>
                <w:szCs w:val="22"/>
              </w:rPr>
              <w:t xml:space="preserve">Participants may stop </w:t>
            </w:r>
            <w:proofErr w:type="spellStart"/>
            <w:r w:rsidRPr="00DD05C5">
              <w:rPr>
                <w:rFonts w:ascii="Arial" w:eastAsia="Calibri" w:hAnsi="Arial" w:cs="Arial"/>
                <w:sz w:val="22"/>
                <w:szCs w:val="22"/>
              </w:rPr>
              <w:t>PrEP</w:t>
            </w:r>
            <w:proofErr w:type="spellEnd"/>
            <w:r w:rsidRPr="00DD05C5">
              <w:rPr>
                <w:rFonts w:ascii="Arial" w:eastAsia="Calibri" w:hAnsi="Arial" w:cs="Arial"/>
                <w:sz w:val="22"/>
                <w:szCs w:val="22"/>
              </w:rPr>
              <w:t xml:space="preserve"> at any time. Ensure they are aware of the </w:t>
            </w:r>
            <w:r w:rsidRPr="00DD05C5">
              <w:rPr>
                <w:rFonts w:ascii="Arial" w:eastAsia="Calibri" w:hAnsi="Arial" w:cs="Arial"/>
                <w:bCs/>
                <w:sz w:val="22"/>
                <w:szCs w:val="22"/>
              </w:rPr>
              <w:t xml:space="preserve">duration </w:t>
            </w:r>
            <w:proofErr w:type="spellStart"/>
            <w:r w:rsidRPr="00DD05C5">
              <w:rPr>
                <w:rFonts w:ascii="Arial" w:eastAsia="Calibri" w:hAnsi="Arial" w:cs="Arial"/>
                <w:bCs/>
                <w:sz w:val="22"/>
                <w:szCs w:val="22"/>
              </w:rPr>
              <w:t>PrEP</w:t>
            </w:r>
            <w:proofErr w:type="spellEnd"/>
            <w:r w:rsidRPr="00DD05C5">
              <w:rPr>
                <w:rFonts w:ascii="Arial" w:eastAsia="Calibri" w:hAnsi="Arial" w:cs="Arial"/>
                <w:bCs/>
                <w:sz w:val="22"/>
                <w:szCs w:val="22"/>
              </w:rPr>
              <w:t xml:space="preserve"> needs to be taken for after last risk exposure to ensure protection.</w:t>
            </w:r>
          </w:p>
        </w:tc>
      </w:tr>
      <w:tr w:rsidR="00DD05C5" w14:paraId="5E1C41C4" w14:textId="77777777" w:rsidTr="00DD05C5">
        <w:tc>
          <w:tcPr>
            <w:tcW w:w="3566" w:type="dxa"/>
          </w:tcPr>
          <w:p w14:paraId="776B87A2" w14:textId="12E2334C" w:rsidR="00DD05C5" w:rsidRPr="00544444" w:rsidRDefault="00DD05C5" w:rsidP="00DD05C5">
            <w:pPr>
              <w:rPr>
                <w:rStyle w:val="TableHeaderColumn"/>
                <w:sz w:val="22"/>
              </w:rPr>
            </w:pPr>
            <w:r w:rsidRPr="00544444">
              <w:rPr>
                <w:rStyle w:val="TableHeaderColumn"/>
                <w:sz w:val="22"/>
              </w:rPr>
              <w:t>Quantity to be supplied</w:t>
            </w:r>
          </w:p>
        </w:tc>
        <w:tc>
          <w:tcPr>
            <w:tcW w:w="4934" w:type="dxa"/>
          </w:tcPr>
          <w:p w14:paraId="0AD6B2C5" w14:textId="77777777" w:rsidR="00DD05C5" w:rsidRDefault="00DD05C5" w:rsidP="00DD05C5">
            <w:pPr>
              <w:pStyle w:val="Tabletext"/>
              <w:spacing w:after="58"/>
              <w:rPr>
                <w:rFonts w:cs="Arial"/>
                <w:bCs/>
                <w:iCs/>
              </w:rPr>
            </w:pPr>
            <w:r w:rsidRPr="006C31A5">
              <w:rPr>
                <w:rFonts w:cs="Arial"/>
                <w:bCs/>
                <w:iCs/>
              </w:rPr>
              <w:t xml:space="preserve">Appropriately labelled, packs of 30 tablets up to a maximum of 6 packs to be supplied. </w:t>
            </w:r>
          </w:p>
          <w:p w14:paraId="564E6A80" w14:textId="77777777" w:rsidR="00DD05C5" w:rsidRPr="006C31A5" w:rsidRDefault="00DD05C5" w:rsidP="00DD05C5">
            <w:pPr>
              <w:pStyle w:val="Tabletext"/>
              <w:spacing w:after="58"/>
              <w:rPr>
                <w:rFonts w:cs="Arial"/>
                <w:bCs/>
                <w:iCs/>
              </w:rPr>
            </w:pPr>
          </w:p>
          <w:p w14:paraId="6994DFF8" w14:textId="77777777" w:rsidR="00DD05C5" w:rsidRDefault="00DD05C5" w:rsidP="00DD05C5">
            <w:pPr>
              <w:pStyle w:val="Tabletext"/>
              <w:rPr>
                <w:rFonts w:cs="Arial"/>
                <w:bCs/>
                <w:iCs/>
              </w:rPr>
            </w:pPr>
            <w:r w:rsidRPr="006C31A5">
              <w:rPr>
                <w:rFonts w:cs="Arial"/>
                <w:bCs/>
                <w:iCs/>
              </w:rPr>
              <w:t xml:space="preserve">It is recommended that 3 months be supplied when initiating or re-starting </w:t>
            </w:r>
            <w:proofErr w:type="spellStart"/>
            <w:r w:rsidRPr="006C31A5">
              <w:rPr>
                <w:rFonts w:cs="Arial"/>
                <w:bCs/>
                <w:iCs/>
              </w:rPr>
              <w:t>PrEP.</w:t>
            </w:r>
            <w:proofErr w:type="spellEnd"/>
            <w:r w:rsidRPr="006C31A5">
              <w:rPr>
                <w:rFonts w:cs="Arial"/>
                <w:bCs/>
                <w:iCs/>
              </w:rPr>
              <w:t xml:space="preserve"> For individuals with low risk of toxicity and good adherence, a subsequent 6-month supply can be given if arrangements are made for 3-6 monthly STI† and 3-6 monthly HIV tests (either face-to-face or online). </w:t>
            </w:r>
          </w:p>
          <w:p w14:paraId="641ECF22" w14:textId="77777777" w:rsidR="00DD05C5" w:rsidRPr="006C31A5" w:rsidRDefault="00DD05C5" w:rsidP="00DD05C5">
            <w:pPr>
              <w:pStyle w:val="Tabletext"/>
              <w:rPr>
                <w:rFonts w:cs="Arial"/>
                <w:bCs/>
                <w:iCs/>
              </w:rPr>
            </w:pPr>
          </w:p>
          <w:p w14:paraId="733F4A8F" w14:textId="0F6113F9" w:rsidR="00DD05C5" w:rsidRPr="006C31A5" w:rsidRDefault="00DD05C5" w:rsidP="00DD05C5">
            <w:pPr>
              <w:pStyle w:val="Tabletext"/>
              <w:spacing w:after="58"/>
              <w:rPr>
                <w:rFonts w:eastAsia="Calibri"/>
              </w:rPr>
            </w:pPr>
            <w:r>
              <w:rPr>
                <w:rFonts w:cs="Arial"/>
                <w:bCs/>
                <w:iCs/>
                <w:highlight w:val="cyan"/>
              </w:rPr>
              <w:t>[</w:t>
            </w:r>
            <w:r w:rsidRPr="000063B5">
              <w:rPr>
                <w:rFonts w:cs="Arial"/>
                <w:bCs/>
                <w:iCs/>
                <w:highlight w:val="cyan"/>
              </w:rPr>
              <w:t>Quantity to supply will be defined by need, expected usage and local commissioning framework</w:t>
            </w:r>
            <w:r w:rsidRPr="006C31A5">
              <w:rPr>
                <w:rFonts w:cs="Arial"/>
                <w:bCs/>
                <w:iCs/>
              </w:rPr>
              <w:t>.</w:t>
            </w:r>
            <w:r>
              <w:rPr>
                <w:rFonts w:cs="Arial"/>
                <w:bCs/>
                <w:iCs/>
              </w:rPr>
              <w:t>]</w:t>
            </w:r>
          </w:p>
        </w:tc>
      </w:tr>
      <w:tr w:rsidR="00DD05C5" w14:paraId="4F26F641" w14:textId="77777777" w:rsidTr="00DD05C5">
        <w:tc>
          <w:tcPr>
            <w:tcW w:w="3566" w:type="dxa"/>
          </w:tcPr>
          <w:p w14:paraId="32B8F1EC" w14:textId="5891F7A1" w:rsidR="00DD05C5" w:rsidRPr="00544444" w:rsidRDefault="00DD05C5" w:rsidP="00DD05C5">
            <w:pPr>
              <w:rPr>
                <w:rStyle w:val="TableHeaderColumn"/>
                <w:sz w:val="22"/>
              </w:rPr>
            </w:pPr>
            <w:bookmarkStart w:id="7" w:name="storage"/>
            <w:r w:rsidRPr="00544444">
              <w:rPr>
                <w:rStyle w:val="TableHeaderColumn"/>
                <w:sz w:val="22"/>
              </w:rPr>
              <w:t>Storage</w:t>
            </w:r>
            <w:bookmarkEnd w:id="7"/>
          </w:p>
        </w:tc>
        <w:tc>
          <w:tcPr>
            <w:tcW w:w="4934" w:type="dxa"/>
          </w:tcPr>
          <w:p w14:paraId="7C25BF40" w14:textId="78588D8B" w:rsidR="00DD05C5" w:rsidRPr="006C31A5" w:rsidRDefault="00DD05C5" w:rsidP="00DD05C5">
            <w:pPr>
              <w:pStyle w:val="Tabletext"/>
              <w:spacing w:after="58"/>
              <w:rPr>
                <w:rFonts w:cs="Arial"/>
                <w:bCs/>
                <w:iCs/>
              </w:rPr>
            </w:pPr>
            <w:r w:rsidRPr="00BD1D91">
              <w:rPr>
                <w:rFonts w:eastAsia="Calibri"/>
              </w:rPr>
              <w:t xml:space="preserve">Stock </w:t>
            </w:r>
            <w:r w:rsidRPr="00581C9E">
              <w:rPr>
                <w:rFonts w:eastAsia="Calibri"/>
              </w:rPr>
              <w:t xml:space="preserve">must be securely stored according to </w:t>
            </w:r>
            <w:proofErr w:type="spellStart"/>
            <w:r w:rsidRPr="00581C9E">
              <w:rPr>
                <w:rFonts w:eastAsia="Calibri"/>
              </w:rPr>
              <w:t>organisation</w:t>
            </w:r>
            <w:proofErr w:type="spellEnd"/>
            <w:r w:rsidRPr="00581C9E">
              <w:rPr>
                <w:rFonts w:eastAsia="Calibri"/>
              </w:rPr>
              <w:t xml:space="preserve"> m</w:t>
            </w:r>
            <w:r w:rsidRPr="00BD1D91">
              <w:rPr>
                <w:rFonts w:eastAsia="Calibri"/>
              </w:rPr>
              <w:t>edicines policy and in conditions in line with</w:t>
            </w:r>
            <w:r>
              <w:rPr>
                <w:rFonts w:eastAsia="Calibri"/>
              </w:rPr>
              <w:t xml:space="preserve"> the </w:t>
            </w:r>
            <w:r w:rsidRPr="00BD1D91">
              <w:rPr>
                <w:rFonts w:eastAsia="Calibri"/>
              </w:rPr>
              <w:t xml:space="preserve"> </w:t>
            </w:r>
            <w:hyperlink r:id="rId35" w:history="1">
              <w:r w:rsidRPr="00BD1D91">
                <w:rPr>
                  <w:rStyle w:val="Hyperlink"/>
                  <w:rFonts w:eastAsia="Calibri"/>
                </w:rPr>
                <w:t>SmPC, which is available from the electronic Medicines Compendium website</w:t>
              </w:r>
            </w:hyperlink>
            <w:r w:rsidRPr="00BD1D91">
              <w:rPr>
                <w:rFonts w:eastAsia="Calibri"/>
              </w:rPr>
              <w:t>:</w:t>
            </w:r>
            <w:r w:rsidRPr="00677C74">
              <w:rPr>
                <w:rFonts w:cs="Arial"/>
                <w:szCs w:val="22"/>
              </w:rPr>
              <w:t xml:space="preserve"> </w:t>
            </w:r>
          </w:p>
        </w:tc>
      </w:tr>
      <w:tr w:rsidR="00DD05C5" w14:paraId="23793701" w14:textId="77777777" w:rsidTr="00DD05C5">
        <w:tc>
          <w:tcPr>
            <w:tcW w:w="3566" w:type="dxa"/>
          </w:tcPr>
          <w:p w14:paraId="68CB9E66" w14:textId="4935D9B6" w:rsidR="00DD05C5" w:rsidRPr="00544444" w:rsidRDefault="00DD05C5" w:rsidP="00DD05C5">
            <w:pPr>
              <w:rPr>
                <w:rStyle w:val="TableHeaderColumn"/>
                <w:sz w:val="22"/>
              </w:rPr>
            </w:pPr>
            <w:r w:rsidRPr="00544444">
              <w:rPr>
                <w:rStyle w:val="TableHeaderColumn"/>
                <w:sz w:val="22"/>
              </w:rPr>
              <w:lastRenderedPageBreak/>
              <w:t>Drug interactions</w:t>
            </w:r>
            <w:bookmarkStart w:id="8" w:name="druginteractions"/>
            <w:bookmarkEnd w:id="8"/>
          </w:p>
        </w:tc>
        <w:tc>
          <w:tcPr>
            <w:tcW w:w="4934" w:type="dxa"/>
          </w:tcPr>
          <w:p w14:paraId="4B65381C" w14:textId="77777777" w:rsidR="00DD05C5" w:rsidRPr="000063B5" w:rsidRDefault="00DD05C5" w:rsidP="00DD05C5">
            <w:pPr>
              <w:pStyle w:val="Tabletext"/>
              <w:rPr>
                <w:lang w:val="en-GB"/>
              </w:rPr>
            </w:pPr>
            <w:r w:rsidRPr="000063B5">
              <w:rPr>
                <w:lang w:val="en-GB"/>
              </w:rPr>
              <w:t>All concurrent medications should be reviewed for interactions.</w:t>
            </w:r>
          </w:p>
          <w:p w14:paraId="052675D9" w14:textId="77777777" w:rsidR="00DD05C5" w:rsidRPr="000063B5" w:rsidRDefault="00DD05C5" w:rsidP="00DD05C5">
            <w:pPr>
              <w:pStyle w:val="Tabletext"/>
              <w:rPr>
                <w:lang w:val="en-GB"/>
              </w:rPr>
            </w:pPr>
          </w:p>
          <w:p w14:paraId="2F83B9FC" w14:textId="27B64E9F" w:rsidR="00DD05C5" w:rsidRPr="000063B5" w:rsidRDefault="00DD05C5" w:rsidP="00DD05C5">
            <w:pPr>
              <w:pStyle w:val="Tabletext"/>
              <w:rPr>
                <w:lang w:val="en-GB"/>
              </w:rPr>
            </w:pPr>
            <w:r w:rsidRPr="000063B5">
              <w:rPr>
                <w:lang w:val="en-GB"/>
              </w:rPr>
              <w:t xml:space="preserve">Where it is known an individual is concurrently taking one of the following medicines, emtricitabine/tenofovir </w:t>
            </w:r>
            <w:r>
              <w:rPr>
                <w:lang w:val="en-GB"/>
              </w:rPr>
              <w:t xml:space="preserve">alafenamide </w:t>
            </w:r>
            <w:r w:rsidRPr="000063B5">
              <w:rPr>
                <w:lang w:val="en-GB"/>
              </w:rPr>
              <w:t>must not be supplied under this PGD and the individual referred to a prescriber:</w:t>
            </w:r>
          </w:p>
          <w:p w14:paraId="6B82BC34" w14:textId="77777777" w:rsidR="00DD05C5" w:rsidRPr="000063B5" w:rsidRDefault="00DD05C5" w:rsidP="00DD05C5">
            <w:pPr>
              <w:pStyle w:val="Bulletindent1"/>
            </w:pPr>
            <w:r w:rsidRPr="000063B5">
              <w:t>Emtricitabine</w:t>
            </w:r>
          </w:p>
          <w:p w14:paraId="117B17EC" w14:textId="77777777" w:rsidR="00DD05C5" w:rsidRPr="000063B5" w:rsidRDefault="00DD05C5" w:rsidP="00DD05C5">
            <w:pPr>
              <w:pStyle w:val="Bulletindent1"/>
            </w:pPr>
            <w:r w:rsidRPr="000063B5">
              <w:t>Tenofovir (all salts)</w:t>
            </w:r>
          </w:p>
          <w:p w14:paraId="3A5163F8" w14:textId="77777777" w:rsidR="00DD05C5" w:rsidRPr="000063B5" w:rsidRDefault="00DD05C5" w:rsidP="00DD05C5">
            <w:pPr>
              <w:pStyle w:val="Bulletindent1"/>
            </w:pPr>
            <w:r w:rsidRPr="000063B5">
              <w:t xml:space="preserve">Adefovir </w:t>
            </w:r>
            <w:proofErr w:type="spellStart"/>
            <w:r w:rsidRPr="000063B5">
              <w:t>dipivoxil</w:t>
            </w:r>
            <w:proofErr w:type="spellEnd"/>
          </w:p>
          <w:p w14:paraId="5F74F383" w14:textId="77777777" w:rsidR="00DD05C5" w:rsidRPr="000063B5" w:rsidRDefault="00DD05C5" w:rsidP="00DD05C5">
            <w:pPr>
              <w:pStyle w:val="Bulletindent1"/>
            </w:pPr>
            <w:r w:rsidRPr="000063B5">
              <w:t>Lamivudine and other cytidine analogues</w:t>
            </w:r>
          </w:p>
          <w:p w14:paraId="24AEE14D" w14:textId="77777777" w:rsidR="00DD05C5" w:rsidRDefault="00DD05C5" w:rsidP="00DD05C5">
            <w:pPr>
              <w:pStyle w:val="Bulletindent1"/>
            </w:pPr>
            <w:r w:rsidRPr="005E4309">
              <w:t>Cidofovir and other medicines that compete for active tubular secretion</w:t>
            </w:r>
          </w:p>
          <w:p w14:paraId="4C1F865B" w14:textId="77777777" w:rsidR="00DD05C5" w:rsidRPr="00E156BE" w:rsidRDefault="00DD05C5" w:rsidP="00DD05C5">
            <w:pPr>
              <w:pStyle w:val="Bulletindent1"/>
              <w:rPr>
                <w:rFonts w:eastAsia="Calibri"/>
                <w:color w:val="000000"/>
              </w:rPr>
            </w:pPr>
            <w:r w:rsidRPr="00E156BE">
              <w:rPr>
                <w:shd w:val="clear" w:color="auto" w:fill="FFFFFF"/>
              </w:rPr>
              <w:t xml:space="preserve">Carbamazepine, </w:t>
            </w:r>
            <w:proofErr w:type="spellStart"/>
            <w:r w:rsidRPr="00E156BE">
              <w:rPr>
                <w:shd w:val="clear" w:color="auto" w:fill="FFFFFF"/>
              </w:rPr>
              <w:t>fosphenytoin</w:t>
            </w:r>
            <w:proofErr w:type="spellEnd"/>
            <w:r w:rsidRPr="00E156BE">
              <w:rPr>
                <w:shd w:val="clear" w:color="auto" w:fill="FFFFFF"/>
              </w:rPr>
              <w:t xml:space="preserve">, oxcarbazepine, phenobarbital, phenytoin, primidone </w:t>
            </w:r>
          </w:p>
          <w:p w14:paraId="70723DDA" w14:textId="77777777" w:rsidR="00DD05C5" w:rsidRPr="00E156BE" w:rsidRDefault="00DD05C5" w:rsidP="00DD05C5">
            <w:pPr>
              <w:pStyle w:val="Bulletindent1"/>
              <w:rPr>
                <w:rFonts w:eastAsia="Calibri"/>
                <w:color w:val="000000"/>
              </w:rPr>
            </w:pPr>
            <w:r w:rsidRPr="00E156BE">
              <w:rPr>
                <w:shd w:val="clear" w:color="auto" w:fill="FFFFFF"/>
              </w:rPr>
              <w:t>Rifampicin, rifabutin, rifapentine</w:t>
            </w:r>
          </w:p>
          <w:p w14:paraId="69BBCA81" w14:textId="77777777" w:rsidR="00DD05C5" w:rsidRPr="00E156BE" w:rsidRDefault="00DD05C5" w:rsidP="00DD05C5">
            <w:pPr>
              <w:pStyle w:val="Bulletindent1"/>
              <w:rPr>
                <w:rFonts w:eastAsia="Calibri"/>
                <w:color w:val="000000"/>
              </w:rPr>
            </w:pPr>
            <w:r w:rsidRPr="00E156BE">
              <w:rPr>
                <w:shd w:val="clear" w:color="auto" w:fill="FFFFFF"/>
              </w:rPr>
              <w:t>Ketoconazole, itraconazole</w:t>
            </w:r>
          </w:p>
          <w:p w14:paraId="6454AFDF" w14:textId="77777777" w:rsidR="00DD05C5" w:rsidRPr="00E156BE" w:rsidRDefault="00DD05C5" w:rsidP="00DD05C5">
            <w:pPr>
              <w:pStyle w:val="Bulletindent1"/>
              <w:rPr>
                <w:rFonts w:eastAsia="Calibri"/>
                <w:color w:val="000000"/>
              </w:rPr>
            </w:pPr>
            <w:r w:rsidRPr="00E156BE">
              <w:rPr>
                <w:shd w:val="clear" w:color="auto" w:fill="FFFFFF"/>
              </w:rPr>
              <w:t>Ciclosporin</w:t>
            </w:r>
          </w:p>
          <w:p w14:paraId="3B1FC042" w14:textId="397C7634" w:rsidR="00DD05C5" w:rsidRPr="00DD05C5" w:rsidRDefault="00DD05C5" w:rsidP="00DD05C5">
            <w:pPr>
              <w:pStyle w:val="Bulletindent1"/>
              <w:rPr>
                <w:rFonts w:eastAsia="Calibri"/>
                <w:color w:val="000000"/>
              </w:rPr>
            </w:pPr>
            <w:r w:rsidRPr="00E156BE">
              <w:rPr>
                <w:shd w:val="clear" w:color="auto" w:fill="FFFFFF"/>
              </w:rPr>
              <w:t>St. John’s wort</w:t>
            </w:r>
          </w:p>
          <w:p w14:paraId="64061259" w14:textId="77777777" w:rsidR="00DD05C5" w:rsidRPr="000063B5" w:rsidRDefault="00DD05C5" w:rsidP="00DD05C5">
            <w:pPr>
              <w:pStyle w:val="Bulletindent1"/>
              <w:rPr>
                <w:rStyle w:val="Hyperlink"/>
              </w:rPr>
            </w:pPr>
            <w:r w:rsidRPr="005E4309">
              <w:t xml:space="preserve">Any other </w:t>
            </w:r>
            <w:r w:rsidRPr="000063B5">
              <w:t xml:space="preserve">medicine with a red (contraindicated and should not be co-administered) or amber (potential interaction) warning on the </w:t>
            </w:r>
            <w:r w:rsidRPr="000063B5">
              <w:rPr>
                <w:rStyle w:val="Hyperlink"/>
              </w:rPr>
              <w:fldChar w:fldCharType="begin"/>
            </w:r>
            <w:r w:rsidRPr="000063B5">
              <w:rPr>
                <w:rStyle w:val="Hyperlink"/>
              </w:rPr>
              <w:instrText>HYPERLINK "https://hiv-druginteractions.org/" \o "https://www.hep-druginteractions.org/" \t "_blank"</w:instrText>
            </w:r>
            <w:r w:rsidRPr="000063B5">
              <w:rPr>
                <w:rStyle w:val="Hyperlink"/>
              </w:rPr>
            </w:r>
            <w:r w:rsidRPr="000063B5">
              <w:rPr>
                <w:rStyle w:val="Hyperlink"/>
              </w:rPr>
              <w:fldChar w:fldCharType="separate"/>
            </w:r>
            <w:r w:rsidRPr="000063B5">
              <w:rPr>
                <w:rStyle w:val="Hyperlink"/>
              </w:rPr>
              <w:t>University of Liverpool HIV Drug Interactions website.</w:t>
            </w:r>
          </w:p>
          <w:p w14:paraId="57FAD631" w14:textId="77777777" w:rsidR="00DD05C5" w:rsidRPr="000063B5" w:rsidRDefault="00DD05C5" w:rsidP="00DD05C5">
            <w:pPr>
              <w:pStyle w:val="Tabletext"/>
              <w:rPr>
                <w:lang w:val="en-GB"/>
              </w:rPr>
            </w:pPr>
            <w:r w:rsidRPr="000063B5">
              <w:rPr>
                <w:rStyle w:val="Hyperlink"/>
              </w:rPr>
              <w:fldChar w:fldCharType="end"/>
            </w:r>
          </w:p>
          <w:p w14:paraId="4CF80B4A" w14:textId="01107B1A" w:rsidR="00DD05C5" w:rsidRPr="000063B5" w:rsidRDefault="00DD05C5" w:rsidP="00DD05C5">
            <w:pPr>
              <w:pStyle w:val="Tabletext"/>
              <w:rPr>
                <w:lang w:val="en-GB"/>
              </w:rPr>
            </w:pPr>
            <w:r w:rsidRPr="000063B5">
              <w:rPr>
                <w:lang w:val="en-GB"/>
              </w:rPr>
              <w:t xml:space="preserve">A detailed list of all drug interactions is available in the </w:t>
            </w:r>
            <w:hyperlink r:id="rId36" w:history="1">
              <w:r w:rsidRPr="000063B5">
                <w:rPr>
                  <w:rStyle w:val="Hyperlink"/>
                  <w:lang w:val="en-GB"/>
                </w:rPr>
                <w:t>BNF</w:t>
              </w:r>
            </w:hyperlink>
            <w:r w:rsidRPr="000063B5">
              <w:rPr>
                <w:lang w:val="en-GB"/>
              </w:rPr>
              <w:t xml:space="preserve">, the product </w:t>
            </w:r>
            <w:hyperlink r:id="rId37" w:history="1">
              <w:r>
                <w:rPr>
                  <w:rStyle w:val="Hyperlink"/>
                </w:rPr>
                <w:t>SmPC which is available from the EMC website</w:t>
              </w:r>
            </w:hyperlink>
            <w:r w:rsidRPr="000063B5">
              <w:rPr>
                <w:lang w:val="en-GB"/>
              </w:rPr>
              <w:t xml:space="preserve"> or the </w:t>
            </w:r>
            <w:hyperlink r:id="rId38" w:tgtFrame="_blank" w:tooltip="https://www.hep-druginteractions.org/" w:history="1">
              <w:r w:rsidRPr="000063B5">
                <w:rPr>
                  <w:rStyle w:val="Hyperlink"/>
                  <w:rFonts w:eastAsia="Arial"/>
                  <w:lang w:val="en-GB"/>
                </w:rPr>
                <w:t>University of Liverpool HIV Drug Interactions website</w:t>
              </w:r>
            </w:hyperlink>
            <w:r w:rsidRPr="000063B5">
              <w:rPr>
                <w:rStyle w:val="Hyperlink"/>
                <w:rFonts w:eastAsia="Arial"/>
                <w:lang w:val="en-GB"/>
              </w:rPr>
              <w:t>.</w:t>
            </w:r>
          </w:p>
          <w:p w14:paraId="62D5E887" w14:textId="77777777" w:rsidR="00DD05C5" w:rsidRPr="000063B5" w:rsidRDefault="00DD05C5" w:rsidP="00DD05C5">
            <w:pPr>
              <w:pStyle w:val="Tabletext"/>
              <w:rPr>
                <w:lang w:val="en-GB"/>
              </w:rPr>
            </w:pPr>
          </w:p>
          <w:p w14:paraId="6688A6F0" w14:textId="43466A4B" w:rsidR="00DD05C5" w:rsidRPr="006C31A5" w:rsidRDefault="00DD05C5" w:rsidP="00DD05C5">
            <w:pPr>
              <w:pStyle w:val="Tabletext"/>
              <w:spacing w:after="58"/>
              <w:rPr>
                <w:rFonts w:cs="Arial"/>
                <w:bCs/>
                <w:iCs/>
              </w:rPr>
            </w:pPr>
            <w:r w:rsidRPr="000063B5">
              <w:rPr>
                <w:u w:val="single"/>
                <w:lang w:val="en-GB"/>
              </w:rPr>
              <w:t>Note:</w:t>
            </w:r>
            <w:r w:rsidRPr="000063B5">
              <w:rPr>
                <w:lang w:val="en-GB"/>
              </w:rPr>
              <w:t xml:space="preserve"> The possibility of drug–drug interactions between </w:t>
            </w:r>
            <w:proofErr w:type="spellStart"/>
            <w:r w:rsidRPr="000063B5">
              <w:rPr>
                <w:lang w:val="en-GB"/>
              </w:rPr>
              <w:t>PrEP</w:t>
            </w:r>
            <w:proofErr w:type="spellEnd"/>
            <w:r w:rsidRPr="000063B5">
              <w:rPr>
                <w:lang w:val="en-GB"/>
              </w:rPr>
              <w:t xml:space="preserve"> and gender affirming hormone therapy (GAHT) remains a concern for some transgender people and reassurances should be given that there are </w:t>
            </w:r>
            <w:r w:rsidRPr="000063B5">
              <w:rPr>
                <w:b/>
                <w:bCs/>
                <w:lang w:val="en-GB"/>
              </w:rPr>
              <w:t>no expected interactions.</w:t>
            </w:r>
          </w:p>
        </w:tc>
      </w:tr>
      <w:tr w:rsidR="00DD05C5" w14:paraId="2EFCF313" w14:textId="77777777" w:rsidTr="00DD05C5">
        <w:tc>
          <w:tcPr>
            <w:tcW w:w="3566" w:type="dxa"/>
          </w:tcPr>
          <w:p w14:paraId="25B61BCF" w14:textId="01806301" w:rsidR="00DD05C5" w:rsidRPr="00544444" w:rsidRDefault="00DD05C5" w:rsidP="00DD05C5">
            <w:pPr>
              <w:rPr>
                <w:rStyle w:val="TableHeaderColumn"/>
                <w:sz w:val="22"/>
              </w:rPr>
            </w:pPr>
            <w:r w:rsidRPr="00544444">
              <w:rPr>
                <w:rStyle w:val="TableHeaderColumn"/>
                <w:sz w:val="22"/>
              </w:rPr>
              <w:lastRenderedPageBreak/>
              <w:t>Identification and management of adverse reactions</w:t>
            </w:r>
          </w:p>
        </w:tc>
        <w:tc>
          <w:tcPr>
            <w:tcW w:w="4934" w:type="dxa"/>
          </w:tcPr>
          <w:p w14:paraId="046B71FA" w14:textId="1D0B2851" w:rsidR="00DD05C5" w:rsidRDefault="00DD05C5" w:rsidP="00DD05C5">
            <w:pPr>
              <w:pStyle w:val="Tabletext"/>
            </w:pPr>
            <w:r w:rsidRPr="00BD1D91">
              <w:t xml:space="preserve">A detailed list of adverse reactions is available in the </w:t>
            </w:r>
            <w:hyperlink r:id="rId39" w:history="1">
              <w:r w:rsidRPr="000063B5">
                <w:rPr>
                  <w:rStyle w:val="Hyperlink"/>
                  <w:lang w:val="en-GB"/>
                </w:rPr>
                <w:t>SmPC which is available from the EMC website</w:t>
              </w:r>
            </w:hyperlink>
            <w:r w:rsidRPr="00BD1D91">
              <w:t xml:space="preserve"> and</w:t>
            </w:r>
            <w:r>
              <w:t xml:space="preserve"> </w:t>
            </w:r>
            <w:hyperlink r:id="rId40" w:history="1">
              <w:r w:rsidRPr="004E10B1">
                <w:rPr>
                  <w:rStyle w:val="Hyperlink"/>
                  <w:rFonts w:cs="Arial"/>
                  <w:bCs/>
                  <w:iCs/>
                </w:rPr>
                <w:t>the BNF</w:t>
              </w:r>
            </w:hyperlink>
            <w:r w:rsidRPr="00BD1D91">
              <w:t xml:space="preserve"> </w:t>
            </w:r>
          </w:p>
          <w:p w14:paraId="1AA9EC42" w14:textId="77777777" w:rsidR="00DD05C5" w:rsidRPr="00DD05C5" w:rsidRDefault="00DD05C5" w:rsidP="00DD05C5">
            <w:pPr>
              <w:pStyle w:val="Tabletext"/>
            </w:pPr>
          </w:p>
          <w:p w14:paraId="290037AC" w14:textId="77777777" w:rsidR="00DD05C5" w:rsidRPr="00261917" w:rsidRDefault="00DD05C5" w:rsidP="00DD05C5">
            <w:pPr>
              <w:widowControl w:val="0"/>
              <w:rPr>
                <w:rFonts w:ascii="Arial" w:eastAsia="Calibri" w:hAnsi="Arial" w:cs="Arial"/>
                <w:sz w:val="22"/>
                <w:szCs w:val="22"/>
              </w:rPr>
            </w:pPr>
            <w:r w:rsidRPr="00261917">
              <w:rPr>
                <w:rFonts w:ascii="Arial" w:eastAsia="Calibri" w:hAnsi="Arial" w:cs="Arial"/>
                <w:sz w:val="22"/>
                <w:szCs w:val="22"/>
              </w:rPr>
              <w:t xml:space="preserve">The following side effects are reported </w:t>
            </w:r>
            <w:r>
              <w:rPr>
                <w:rFonts w:ascii="Arial" w:eastAsia="Calibri" w:hAnsi="Arial" w:cs="Arial"/>
                <w:sz w:val="22"/>
                <w:szCs w:val="22"/>
              </w:rPr>
              <w:t xml:space="preserve">as </w:t>
            </w:r>
            <w:r w:rsidRPr="00987F77">
              <w:rPr>
                <w:rFonts w:ascii="Arial" w:eastAsia="Calibri" w:hAnsi="Arial" w:cs="Arial"/>
                <w:b/>
                <w:sz w:val="22"/>
                <w:szCs w:val="22"/>
              </w:rPr>
              <w:t>very common</w:t>
            </w:r>
            <w:r>
              <w:rPr>
                <w:rFonts w:ascii="Arial" w:eastAsia="Calibri" w:hAnsi="Arial" w:cs="Arial"/>
                <w:sz w:val="22"/>
                <w:szCs w:val="22"/>
              </w:rPr>
              <w:t xml:space="preserve"> or </w:t>
            </w:r>
            <w:r w:rsidRPr="00987F77">
              <w:rPr>
                <w:rFonts w:ascii="Arial" w:eastAsia="Calibri" w:hAnsi="Arial" w:cs="Arial"/>
                <w:b/>
                <w:sz w:val="22"/>
                <w:szCs w:val="22"/>
              </w:rPr>
              <w:t>common</w:t>
            </w:r>
            <w:r>
              <w:rPr>
                <w:rFonts w:ascii="Arial" w:eastAsia="Calibri" w:hAnsi="Arial" w:cs="Arial"/>
                <w:sz w:val="22"/>
                <w:szCs w:val="22"/>
              </w:rPr>
              <w:t xml:space="preserve"> </w:t>
            </w:r>
            <w:r w:rsidRPr="00261917">
              <w:rPr>
                <w:rFonts w:ascii="Arial" w:eastAsia="Calibri" w:hAnsi="Arial" w:cs="Arial"/>
                <w:sz w:val="22"/>
                <w:szCs w:val="22"/>
              </w:rPr>
              <w:t>with</w:t>
            </w:r>
            <w:r w:rsidRPr="00261917">
              <w:rPr>
                <w:rFonts w:ascii="Arial" w:eastAsia="Calibri" w:hAnsi="Arial" w:cs="Arial"/>
                <w:sz w:val="22"/>
                <w:szCs w:val="22"/>
                <w:lang w:val="en-US"/>
              </w:rPr>
              <w:t xml:space="preserve"> </w:t>
            </w:r>
            <w:r w:rsidRPr="00261917">
              <w:rPr>
                <w:rFonts w:ascii="Arial" w:eastAsia="Calibri" w:hAnsi="Arial" w:cs="Arial"/>
                <w:sz w:val="22"/>
                <w:szCs w:val="22"/>
              </w:rPr>
              <w:t xml:space="preserve">emtricitabine/tenofovir </w:t>
            </w:r>
            <w:r>
              <w:rPr>
                <w:rFonts w:ascii="Arial" w:eastAsia="Calibri" w:hAnsi="Arial" w:cs="Arial"/>
                <w:sz w:val="22"/>
                <w:szCs w:val="22"/>
              </w:rPr>
              <w:t>alafenamide</w:t>
            </w:r>
            <w:r w:rsidRPr="00261917">
              <w:rPr>
                <w:rFonts w:ascii="Arial" w:eastAsia="Calibri" w:hAnsi="Arial" w:cs="Arial"/>
                <w:sz w:val="22"/>
                <w:szCs w:val="22"/>
              </w:rPr>
              <w:t>:</w:t>
            </w:r>
          </w:p>
          <w:p w14:paraId="08648FA3" w14:textId="77777777" w:rsidR="00DD05C5" w:rsidRDefault="00DD05C5" w:rsidP="00DD05C5">
            <w:pPr>
              <w:numPr>
                <w:ilvl w:val="0"/>
                <w:numId w:val="49"/>
              </w:numPr>
              <w:spacing w:after="0" w:line="240" w:lineRule="auto"/>
              <w:rPr>
                <w:rFonts w:ascii="Arial" w:eastAsia="Arial" w:hAnsi="Arial" w:cs="Arial"/>
                <w:sz w:val="22"/>
                <w:szCs w:val="22"/>
              </w:rPr>
            </w:pPr>
            <w:r>
              <w:rPr>
                <w:rFonts w:ascii="Arial" w:eastAsia="Arial" w:hAnsi="Arial" w:cs="Arial"/>
                <w:position w:val="-1"/>
                <w:sz w:val="22"/>
                <w:szCs w:val="22"/>
              </w:rPr>
              <w:t xml:space="preserve">nausea, </w:t>
            </w:r>
            <w:r w:rsidRPr="00261917">
              <w:rPr>
                <w:rFonts w:ascii="Arial" w:eastAsia="Arial" w:hAnsi="Arial" w:cs="Arial"/>
                <w:position w:val="-1"/>
                <w:sz w:val="22"/>
                <w:szCs w:val="22"/>
              </w:rPr>
              <w:t>d</w:t>
            </w:r>
            <w:r w:rsidRPr="00261917">
              <w:rPr>
                <w:rFonts w:ascii="Arial" w:eastAsia="Arial" w:hAnsi="Arial" w:cs="Arial"/>
                <w:spacing w:val="1"/>
                <w:position w:val="-1"/>
                <w:sz w:val="22"/>
                <w:szCs w:val="22"/>
              </w:rPr>
              <w:t>i</w:t>
            </w:r>
            <w:r w:rsidRPr="00261917">
              <w:rPr>
                <w:rFonts w:ascii="Arial" w:eastAsia="Arial" w:hAnsi="Arial" w:cs="Arial"/>
                <w:position w:val="-1"/>
                <w:sz w:val="22"/>
                <w:szCs w:val="22"/>
              </w:rPr>
              <w:t>a</w:t>
            </w:r>
            <w:r w:rsidRPr="00261917">
              <w:rPr>
                <w:rFonts w:ascii="Arial" w:eastAsia="Arial" w:hAnsi="Arial" w:cs="Arial"/>
                <w:spacing w:val="-2"/>
                <w:position w:val="-1"/>
                <w:sz w:val="22"/>
                <w:szCs w:val="22"/>
              </w:rPr>
              <w:t>rr</w:t>
            </w:r>
            <w:r w:rsidRPr="00261917">
              <w:rPr>
                <w:rFonts w:ascii="Arial" w:eastAsia="Arial" w:hAnsi="Arial" w:cs="Arial"/>
                <w:position w:val="-1"/>
                <w:sz w:val="22"/>
                <w:szCs w:val="22"/>
              </w:rPr>
              <w:t>h</w:t>
            </w:r>
            <w:r w:rsidRPr="00261917">
              <w:rPr>
                <w:rFonts w:ascii="Arial" w:eastAsia="Arial" w:hAnsi="Arial" w:cs="Arial"/>
                <w:spacing w:val="4"/>
                <w:position w:val="-1"/>
                <w:sz w:val="22"/>
                <w:szCs w:val="22"/>
              </w:rPr>
              <w:t>o</w:t>
            </w:r>
            <w:r w:rsidRPr="00261917">
              <w:rPr>
                <w:rFonts w:ascii="Arial" w:eastAsia="Arial" w:hAnsi="Arial" w:cs="Arial"/>
                <w:position w:val="-1"/>
                <w:sz w:val="22"/>
                <w:szCs w:val="22"/>
              </w:rPr>
              <w:t>e</w:t>
            </w:r>
            <w:r w:rsidRPr="00261917">
              <w:rPr>
                <w:rFonts w:ascii="Arial" w:eastAsia="Arial" w:hAnsi="Arial" w:cs="Arial"/>
                <w:spacing w:val="1"/>
                <w:position w:val="-1"/>
                <w:sz w:val="22"/>
                <w:szCs w:val="22"/>
              </w:rPr>
              <w:t>a</w:t>
            </w:r>
            <w:r w:rsidRPr="00261917">
              <w:rPr>
                <w:rFonts w:ascii="Arial" w:eastAsia="Arial" w:hAnsi="Arial" w:cs="Arial"/>
                <w:position w:val="-1"/>
                <w:sz w:val="22"/>
                <w:szCs w:val="22"/>
              </w:rPr>
              <w:t>,</w:t>
            </w:r>
            <w:r w:rsidRPr="00261917">
              <w:rPr>
                <w:rFonts w:ascii="Arial" w:eastAsia="Arial" w:hAnsi="Arial" w:cs="Arial"/>
                <w:spacing w:val="46"/>
                <w:position w:val="-1"/>
                <w:sz w:val="22"/>
                <w:szCs w:val="22"/>
              </w:rPr>
              <w:t xml:space="preserve"> </w:t>
            </w:r>
            <w:r w:rsidRPr="00261917">
              <w:rPr>
                <w:rFonts w:ascii="Arial" w:eastAsia="Arial" w:hAnsi="Arial" w:cs="Arial"/>
                <w:position w:val="-1"/>
                <w:sz w:val="22"/>
                <w:szCs w:val="22"/>
              </w:rPr>
              <w:t>v</w:t>
            </w:r>
            <w:r w:rsidRPr="00261917">
              <w:rPr>
                <w:rFonts w:ascii="Arial" w:eastAsia="Arial" w:hAnsi="Arial" w:cs="Arial"/>
                <w:spacing w:val="4"/>
                <w:position w:val="-1"/>
                <w:sz w:val="22"/>
                <w:szCs w:val="22"/>
              </w:rPr>
              <w:t>o</w:t>
            </w:r>
            <w:r w:rsidRPr="00261917">
              <w:rPr>
                <w:rFonts w:ascii="Arial" w:eastAsia="Arial" w:hAnsi="Arial" w:cs="Arial"/>
                <w:spacing w:val="-3"/>
                <w:position w:val="-1"/>
                <w:sz w:val="22"/>
                <w:szCs w:val="22"/>
              </w:rPr>
              <w:t>m</w:t>
            </w:r>
            <w:r w:rsidRPr="00261917">
              <w:rPr>
                <w:rFonts w:ascii="Arial" w:eastAsia="Arial" w:hAnsi="Arial" w:cs="Arial"/>
                <w:spacing w:val="2"/>
                <w:position w:val="-1"/>
                <w:sz w:val="22"/>
                <w:szCs w:val="22"/>
              </w:rPr>
              <w:t>i</w:t>
            </w:r>
            <w:r w:rsidRPr="00261917">
              <w:rPr>
                <w:rFonts w:ascii="Arial" w:eastAsia="Arial" w:hAnsi="Arial" w:cs="Arial"/>
                <w:spacing w:val="-3"/>
                <w:position w:val="-1"/>
                <w:sz w:val="22"/>
                <w:szCs w:val="22"/>
              </w:rPr>
              <w:t>t</w:t>
            </w:r>
            <w:r w:rsidRPr="00261917">
              <w:rPr>
                <w:rFonts w:ascii="Arial" w:eastAsia="Arial" w:hAnsi="Arial" w:cs="Arial"/>
                <w:spacing w:val="2"/>
                <w:position w:val="-1"/>
                <w:sz w:val="22"/>
                <w:szCs w:val="22"/>
              </w:rPr>
              <w:t>i</w:t>
            </w:r>
            <w:r w:rsidRPr="00261917">
              <w:rPr>
                <w:rFonts w:ascii="Arial" w:eastAsia="Arial" w:hAnsi="Arial" w:cs="Arial"/>
                <w:position w:val="-1"/>
                <w:sz w:val="22"/>
                <w:szCs w:val="22"/>
              </w:rPr>
              <w:t>n</w:t>
            </w:r>
            <w:r w:rsidRPr="00261917">
              <w:rPr>
                <w:rFonts w:ascii="Arial" w:eastAsia="Arial" w:hAnsi="Arial" w:cs="Arial"/>
                <w:spacing w:val="4"/>
                <w:position w:val="-1"/>
                <w:sz w:val="22"/>
                <w:szCs w:val="22"/>
              </w:rPr>
              <w:t>g</w:t>
            </w:r>
            <w:r w:rsidRPr="00261917">
              <w:rPr>
                <w:rFonts w:ascii="Arial" w:eastAsia="Arial" w:hAnsi="Arial" w:cs="Arial"/>
                <w:position w:val="-1"/>
                <w:sz w:val="22"/>
                <w:szCs w:val="22"/>
              </w:rPr>
              <w:t>,</w:t>
            </w:r>
            <w:r w:rsidRPr="00261917">
              <w:rPr>
                <w:rFonts w:ascii="Arial" w:eastAsia="Arial" w:hAnsi="Arial" w:cs="Arial"/>
                <w:spacing w:val="41"/>
                <w:position w:val="-1"/>
                <w:sz w:val="22"/>
                <w:szCs w:val="22"/>
              </w:rPr>
              <w:t xml:space="preserve"> </w:t>
            </w:r>
            <w:r>
              <w:rPr>
                <w:rFonts w:ascii="Arial" w:eastAsia="Arial" w:hAnsi="Arial" w:cs="Arial"/>
                <w:w w:val="104"/>
                <w:position w:val="-1"/>
                <w:sz w:val="22"/>
                <w:szCs w:val="22"/>
              </w:rPr>
              <w:t>abdominal pain, flatulence</w:t>
            </w:r>
          </w:p>
          <w:p w14:paraId="14E72501" w14:textId="77777777" w:rsidR="00DD05C5" w:rsidRDefault="00DD05C5" w:rsidP="00DD05C5">
            <w:pPr>
              <w:numPr>
                <w:ilvl w:val="0"/>
                <w:numId w:val="49"/>
              </w:numPr>
              <w:spacing w:after="0" w:line="240" w:lineRule="auto"/>
              <w:rPr>
                <w:rFonts w:ascii="Arial" w:eastAsia="Arial" w:hAnsi="Arial" w:cs="Arial"/>
                <w:sz w:val="22"/>
                <w:szCs w:val="22"/>
              </w:rPr>
            </w:pPr>
            <w:r w:rsidRPr="00EE4397">
              <w:rPr>
                <w:rFonts w:ascii="Arial" w:eastAsia="Arial" w:hAnsi="Arial" w:cs="Arial"/>
                <w:sz w:val="22"/>
                <w:szCs w:val="22"/>
              </w:rPr>
              <w:t>d</w:t>
            </w:r>
            <w:r w:rsidRPr="00EE4397">
              <w:rPr>
                <w:rFonts w:ascii="Arial" w:eastAsia="Arial" w:hAnsi="Arial" w:cs="Arial"/>
                <w:spacing w:val="1"/>
                <w:sz w:val="22"/>
                <w:szCs w:val="22"/>
              </w:rPr>
              <w:t>i</w:t>
            </w:r>
            <w:r w:rsidRPr="00EE4397">
              <w:rPr>
                <w:rFonts w:ascii="Arial" w:eastAsia="Arial" w:hAnsi="Arial" w:cs="Arial"/>
                <w:sz w:val="22"/>
                <w:szCs w:val="22"/>
              </w:rPr>
              <w:t>z</w:t>
            </w:r>
            <w:r w:rsidRPr="00EE4397">
              <w:rPr>
                <w:rFonts w:ascii="Arial" w:eastAsia="Arial" w:hAnsi="Arial" w:cs="Arial"/>
                <w:spacing w:val="-1"/>
                <w:sz w:val="22"/>
                <w:szCs w:val="22"/>
              </w:rPr>
              <w:t>z</w:t>
            </w:r>
            <w:r w:rsidRPr="00EE4397">
              <w:rPr>
                <w:rFonts w:ascii="Arial" w:eastAsia="Arial" w:hAnsi="Arial" w:cs="Arial"/>
                <w:spacing w:val="2"/>
                <w:sz w:val="22"/>
                <w:szCs w:val="22"/>
              </w:rPr>
              <w:t>i</w:t>
            </w:r>
            <w:r w:rsidRPr="00EE4397">
              <w:rPr>
                <w:rFonts w:ascii="Arial" w:eastAsia="Arial" w:hAnsi="Arial" w:cs="Arial"/>
                <w:sz w:val="22"/>
                <w:szCs w:val="22"/>
              </w:rPr>
              <w:t>ne</w:t>
            </w:r>
            <w:r w:rsidRPr="00EE4397">
              <w:rPr>
                <w:rFonts w:ascii="Arial" w:eastAsia="Arial" w:hAnsi="Arial" w:cs="Arial"/>
                <w:spacing w:val="-1"/>
                <w:sz w:val="22"/>
                <w:szCs w:val="22"/>
              </w:rPr>
              <w:t>s</w:t>
            </w:r>
            <w:r w:rsidRPr="00EE4397">
              <w:rPr>
                <w:rFonts w:ascii="Arial" w:eastAsia="Arial" w:hAnsi="Arial" w:cs="Arial"/>
                <w:sz w:val="22"/>
                <w:szCs w:val="22"/>
              </w:rPr>
              <w:t>s,</w:t>
            </w:r>
            <w:r w:rsidRPr="00EE4397">
              <w:rPr>
                <w:rFonts w:ascii="Arial" w:eastAsia="Arial" w:hAnsi="Arial" w:cs="Arial"/>
                <w:spacing w:val="44"/>
                <w:sz w:val="22"/>
                <w:szCs w:val="22"/>
              </w:rPr>
              <w:t xml:space="preserve"> </w:t>
            </w:r>
            <w:r w:rsidRPr="00EE4397">
              <w:rPr>
                <w:rFonts w:ascii="Arial" w:eastAsia="Arial" w:hAnsi="Arial" w:cs="Arial"/>
                <w:w w:val="104"/>
                <w:sz w:val="22"/>
                <w:szCs w:val="22"/>
              </w:rPr>
              <w:t>h</w:t>
            </w:r>
            <w:r w:rsidRPr="00EE4397">
              <w:rPr>
                <w:rFonts w:ascii="Arial" w:eastAsia="Arial" w:hAnsi="Arial" w:cs="Arial"/>
                <w:spacing w:val="4"/>
                <w:w w:val="104"/>
                <w:sz w:val="22"/>
                <w:szCs w:val="22"/>
              </w:rPr>
              <w:t>e</w:t>
            </w:r>
            <w:r w:rsidRPr="00EE4397">
              <w:rPr>
                <w:rFonts w:ascii="Arial" w:eastAsia="Arial" w:hAnsi="Arial" w:cs="Arial"/>
                <w:w w:val="104"/>
                <w:sz w:val="22"/>
                <w:szCs w:val="22"/>
              </w:rPr>
              <w:t>ad</w:t>
            </w:r>
            <w:r w:rsidRPr="00EE4397">
              <w:rPr>
                <w:rFonts w:ascii="Arial" w:eastAsia="Arial" w:hAnsi="Arial" w:cs="Arial"/>
                <w:spacing w:val="-1"/>
                <w:w w:val="104"/>
                <w:sz w:val="22"/>
                <w:szCs w:val="22"/>
              </w:rPr>
              <w:t>a</w:t>
            </w:r>
            <w:r w:rsidRPr="00EE4397">
              <w:rPr>
                <w:rFonts w:ascii="Arial" w:eastAsia="Arial" w:hAnsi="Arial" w:cs="Arial"/>
                <w:w w:val="104"/>
                <w:sz w:val="22"/>
                <w:szCs w:val="22"/>
              </w:rPr>
              <w:t>c</w:t>
            </w:r>
            <w:r w:rsidRPr="00EE4397">
              <w:rPr>
                <w:rFonts w:ascii="Arial" w:eastAsia="Arial" w:hAnsi="Arial" w:cs="Arial"/>
                <w:spacing w:val="4"/>
                <w:w w:val="104"/>
                <w:sz w:val="22"/>
                <w:szCs w:val="22"/>
              </w:rPr>
              <w:t>h</w:t>
            </w:r>
            <w:r w:rsidRPr="00EE4397">
              <w:rPr>
                <w:rFonts w:ascii="Arial" w:eastAsia="Arial" w:hAnsi="Arial" w:cs="Arial"/>
                <w:w w:val="104"/>
                <w:sz w:val="22"/>
                <w:szCs w:val="22"/>
              </w:rPr>
              <w:t>e</w:t>
            </w:r>
          </w:p>
          <w:p w14:paraId="0283411A" w14:textId="77777777" w:rsidR="00DD05C5" w:rsidRDefault="00DD05C5" w:rsidP="00DD05C5">
            <w:pPr>
              <w:numPr>
                <w:ilvl w:val="0"/>
                <w:numId w:val="49"/>
              </w:numPr>
              <w:spacing w:after="0" w:line="240" w:lineRule="auto"/>
              <w:rPr>
                <w:rFonts w:ascii="Arial" w:eastAsia="Arial" w:hAnsi="Arial" w:cs="Arial"/>
                <w:sz w:val="22"/>
                <w:szCs w:val="22"/>
              </w:rPr>
            </w:pPr>
            <w:r w:rsidRPr="00EE4397">
              <w:rPr>
                <w:rFonts w:ascii="Arial" w:eastAsia="Arial" w:hAnsi="Arial" w:cs="Arial"/>
                <w:spacing w:val="-2"/>
                <w:w w:val="104"/>
                <w:sz w:val="22"/>
                <w:szCs w:val="22"/>
              </w:rPr>
              <w:t>skin reactions (r</w:t>
            </w:r>
            <w:r w:rsidRPr="00EE4397">
              <w:rPr>
                <w:rFonts w:ascii="Arial" w:eastAsia="Arial" w:hAnsi="Arial" w:cs="Arial"/>
                <w:w w:val="104"/>
                <w:sz w:val="22"/>
                <w:szCs w:val="22"/>
              </w:rPr>
              <w:t>a</w:t>
            </w:r>
            <w:r w:rsidRPr="00EE4397">
              <w:rPr>
                <w:rFonts w:ascii="Arial" w:eastAsia="Arial" w:hAnsi="Arial" w:cs="Arial"/>
                <w:spacing w:val="-1"/>
                <w:w w:val="104"/>
                <w:sz w:val="22"/>
                <w:szCs w:val="22"/>
              </w:rPr>
              <w:t>s</w:t>
            </w:r>
            <w:r w:rsidRPr="00EE4397">
              <w:rPr>
                <w:rFonts w:ascii="Arial" w:eastAsia="Arial" w:hAnsi="Arial" w:cs="Arial"/>
                <w:w w:val="104"/>
                <w:sz w:val="22"/>
                <w:szCs w:val="22"/>
              </w:rPr>
              <w:t>h)</w:t>
            </w:r>
          </w:p>
          <w:p w14:paraId="00653C98" w14:textId="77777777" w:rsidR="00DD05C5" w:rsidRDefault="00DD05C5" w:rsidP="00DD05C5">
            <w:pPr>
              <w:numPr>
                <w:ilvl w:val="0"/>
                <w:numId w:val="49"/>
              </w:numPr>
              <w:spacing w:after="0" w:line="240" w:lineRule="auto"/>
              <w:rPr>
                <w:rFonts w:ascii="Arial" w:eastAsia="Arial" w:hAnsi="Arial" w:cs="Arial"/>
                <w:sz w:val="22"/>
                <w:szCs w:val="22"/>
              </w:rPr>
            </w:pPr>
            <w:r w:rsidRPr="00EE4397">
              <w:rPr>
                <w:rFonts w:ascii="Arial" w:eastAsia="Arial" w:hAnsi="Arial" w:cs="Arial"/>
                <w:position w:val="-1"/>
                <w:sz w:val="22"/>
                <w:szCs w:val="22"/>
              </w:rPr>
              <w:t>ab</w:t>
            </w:r>
            <w:r w:rsidRPr="00EE4397">
              <w:rPr>
                <w:rFonts w:ascii="Arial" w:eastAsia="Arial" w:hAnsi="Arial" w:cs="Arial"/>
                <w:spacing w:val="4"/>
                <w:position w:val="-1"/>
                <w:sz w:val="22"/>
                <w:szCs w:val="22"/>
              </w:rPr>
              <w:t>n</w:t>
            </w:r>
            <w:r w:rsidRPr="00EE4397">
              <w:rPr>
                <w:rFonts w:ascii="Arial" w:eastAsia="Arial" w:hAnsi="Arial" w:cs="Arial"/>
                <w:position w:val="-1"/>
                <w:sz w:val="22"/>
                <w:szCs w:val="22"/>
              </w:rPr>
              <w:t>o</w:t>
            </w:r>
            <w:r w:rsidRPr="00EE4397">
              <w:rPr>
                <w:rFonts w:ascii="Arial" w:eastAsia="Arial" w:hAnsi="Arial" w:cs="Arial"/>
                <w:spacing w:val="2"/>
                <w:position w:val="-1"/>
                <w:sz w:val="22"/>
                <w:szCs w:val="22"/>
              </w:rPr>
              <w:t>r</w:t>
            </w:r>
            <w:r w:rsidRPr="00EE4397">
              <w:rPr>
                <w:rFonts w:ascii="Arial" w:eastAsia="Arial" w:hAnsi="Arial" w:cs="Arial"/>
                <w:spacing w:val="-3"/>
                <w:position w:val="-1"/>
                <w:sz w:val="22"/>
                <w:szCs w:val="22"/>
              </w:rPr>
              <w:t>m</w:t>
            </w:r>
            <w:r w:rsidRPr="00EE4397">
              <w:rPr>
                <w:rFonts w:ascii="Arial" w:eastAsia="Arial" w:hAnsi="Arial" w:cs="Arial"/>
                <w:position w:val="-1"/>
                <w:sz w:val="22"/>
                <w:szCs w:val="22"/>
              </w:rPr>
              <w:t>al</w:t>
            </w:r>
            <w:r w:rsidRPr="00EE4397">
              <w:rPr>
                <w:rFonts w:ascii="Arial" w:eastAsia="Arial" w:hAnsi="Arial" w:cs="Arial"/>
                <w:spacing w:val="42"/>
                <w:position w:val="-1"/>
                <w:sz w:val="22"/>
                <w:szCs w:val="22"/>
              </w:rPr>
              <w:t xml:space="preserve"> </w:t>
            </w:r>
            <w:r w:rsidRPr="00EE4397">
              <w:rPr>
                <w:rFonts w:ascii="Arial" w:eastAsia="Arial" w:hAnsi="Arial" w:cs="Arial"/>
                <w:spacing w:val="4"/>
                <w:w w:val="104"/>
                <w:position w:val="-1"/>
                <w:sz w:val="22"/>
                <w:szCs w:val="22"/>
              </w:rPr>
              <w:t>d</w:t>
            </w:r>
            <w:r w:rsidRPr="00EE4397">
              <w:rPr>
                <w:rFonts w:ascii="Arial" w:eastAsia="Arial" w:hAnsi="Arial" w:cs="Arial"/>
                <w:spacing w:val="-2"/>
                <w:w w:val="104"/>
                <w:position w:val="-1"/>
                <w:sz w:val="22"/>
                <w:szCs w:val="22"/>
              </w:rPr>
              <w:t>r</w:t>
            </w:r>
            <w:r w:rsidRPr="00EE4397">
              <w:rPr>
                <w:rFonts w:ascii="Arial" w:eastAsia="Arial" w:hAnsi="Arial" w:cs="Arial"/>
                <w:w w:val="104"/>
                <w:position w:val="-1"/>
                <w:sz w:val="22"/>
                <w:szCs w:val="22"/>
              </w:rPr>
              <w:t>e</w:t>
            </w:r>
            <w:r w:rsidRPr="00EE4397">
              <w:rPr>
                <w:rFonts w:ascii="Arial" w:eastAsia="Arial" w:hAnsi="Arial" w:cs="Arial"/>
                <w:spacing w:val="4"/>
                <w:w w:val="104"/>
                <w:position w:val="-1"/>
                <w:sz w:val="22"/>
                <w:szCs w:val="22"/>
              </w:rPr>
              <w:t>a</w:t>
            </w:r>
            <w:r w:rsidRPr="00EE4397">
              <w:rPr>
                <w:rFonts w:ascii="Arial" w:eastAsia="Arial" w:hAnsi="Arial" w:cs="Arial"/>
                <w:spacing w:val="-3"/>
                <w:w w:val="104"/>
                <w:position w:val="-1"/>
                <w:sz w:val="22"/>
                <w:szCs w:val="22"/>
              </w:rPr>
              <w:t>m</w:t>
            </w:r>
            <w:r w:rsidRPr="00EE4397">
              <w:rPr>
                <w:rFonts w:ascii="Arial" w:eastAsia="Arial" w:hAnsi="Arial" w:cs="Arial"/>
                <w:w w:val="104"/>
                <w:position w:val="-1"/>
                <w:sz w:val="22"/>
                <w:szCs w:val="22"/>
              </w:rPr>
              <w:t>s</w:t>
            </w:r>
          </w:p>
          <w:p w14:paraId="46D244E6" w14:textId="77777777" w:rsidR="00DD05C5" w:rsidRPr="00EE4397" w:rsidRDefault="00DD05C5" w:rsidP="00DD05C5">
            <w:pPr>
              <w:numPr>
                <w:ilvl w:val="0"/>
                <w:numId w:val="49"/>
              </w:numPr>
              <w:spacing w:after="0" w:line="240" w:lineRule="auto"/>
              <w:rPr>
                <w:rFonts w:ascii="Arial" w:eastAsia="Arial" w:hAnsi="Arial" w:cs="Arial"/>
                <w:sz w:val="22"/>
                <w:szCs w:val="22"/>
              </w:rPr>
            </w:pPr>
            <w:r w:rsidRPr="00EE4397">
              <w:rPr>
                <w:rFonts w:ascii="Arial" w:eastAsia="Arial" w:hAnsi="Arial" w:cs="Arial"/>
                <w:position w:val="-1"/>
                <w:sz w:val="22"/>
                <w:szCs w:val="22"/>
              </w:rPr>
              <w:t>fatigue</w:t>
            </w:r>
          </w:p>
          <w:p w14:paraId="0BAA0671" w14:textId="77777777" w:rsidR="00DD05C5" w:rsidRPr="00EE4397" w:rsidRDefault="00DD05C5" w:rsidP="00DD05C5">
            <w:pPr>
              <w:ind w:left="357"/>
              <w:rPr>
                <w:rFonts w:ascii="Arial" w:eastAsia="Arial" w:hAnsi="Arial" w:cs="Arial"/>
                <w:sz w:val="22"/>
                <w:szCs w:val="22"/>
              </w:rPr>
            </w:pPr>
          </w:p>
          <w:p w14:paraId="5655A738" w14:textId="3EEC578E" w:rsidR="00DD05C5" w:rsidRPr="00DD05C5" w:rsidRDefault="00DD05C5" w:rsidP="00DD05C5">
            <w:pPr>
              <w:pStyle w:val="Tabletext"/>
            </w:pPr>
            <w:r w:rsidRPr="002B6CFA">
              <w:rPr>
                <w:rFonts w:cs="Arial"/>
                <w:szCs w:val="22"/>
              </w:rPr>
              <w:t>In the event of a severe adverse reaction, the individual must be advised to stop treatment immediately and seek urgent medical advice.</w:t>
            </w:r>
          </w:p>
        </w:tc>
      </w:tr>
      <w:tr w:rsidR="00DD05C5" w14:paraId="5A6AD93D" w14:textId="77777777" w:rsidTr="00DD05C5">
        <w:tc>
          <w:tcPr>
            <w:tcW w:w="3566" w:type="dxa"/>
          </w:tcPr>
          <w:p w14:paraId="7060DC48" w14:textId="02763A63" w:rsidR="00DD05C5" w:rsidRPr="00544444" w:rsidRDefault="00DD05C5" w:rsidP="00DD05C5">
            <w:pPr>
              <w:rPr>
                <w:rStyle w:val="TableHeaderColumn"/>
                <w:sz w:val="22"/>
              </w:rPr>
            </w:pPr>
            <w:r w:rsidRPr="00544444">
              <w:rPr>
                <w:rStyle w:val="TableHeaderColumn"/>
                <w:sz w:val="22"/>
              </w:rPr>
              <w:t>Management of and reporting procedures for adverse reactions</w:t>
            </w:r>
          </w:p>
        </w:tc>
        <w:tc>
          <w:tcPr>
            <w:tcW w:w="4934" w:type="dxa"/>
          </w:tcPr>
          <w:p w14:paraId="5F2E2091" w14:textId="77777777" w:rsidR="00DD05C5" w:rsidRPr="00677C74" w:rsidRDefault="00DD05C5" w:rsidP="00DD05C5">
            <w:pPr>
              <w:pStyle w:val="Bulletindent1"/>
            </w:pPr>
            <w:r w:rsidRPr="00677C74">
              <w:t>Healthcare professionals and individuals/carers</w:t>
            </w:r>
            <w:r>
              <w:t>/parents/guardians</w:t>
            </w:r>
            <w:r w:rsidRPr="00677C74">
              <w:t xml:space="preserve"> are encouraged to report suspected adverse reactions to the </w:t>
            </w:r>
            <w:hyperlink r:id="rId41" w:history="1">
              <w:r w:rsidRPr="00504FB7">
                <w:rPr>
                  <w:rStyle w:val="Hyperlink"/>
                </w:rPr>
                <w:t>MHRA's Yellow Card Scheme</w:t>
              </w:r>
            </w:hyperlink>
          </w:p>
          <w:p w14:paraId="07A43D83" w14:textId="77777777" w:rsidR="00DD05C5" w:rsidRPr="00677C74" w:rsidRDefault="00DD05C5" w:rsidP="00DD05C5">
            <w:pPr>
              <w:pStyle w:val="Bulletindent1"/>
            </w:pPr>
            <w:r w:rsidRPr="00677C74">
              <w:t>Record all adverse drug reactions (ADRs) in the individual’s clinical record.</w:t>
            </w:r>
          </w:p>
          <w:p w14:paraId="42D86E1B" w14:textId="77777777" w:rsidR="00DD05C5" w:rsidRPr="008D52EE" w:rsidRDefault="00DD05C5" w:rsidP="00DD05C5">
            <w:pPr>
              <w:pStyle w:val="Bulletindent1"/>
              <w:rPr>
                <w:highlight w:val="cyan"/>
              </w:rPr>
            </w:pPr>
            <w:r>
              <w:rPr>
                <w:highlight w:val="cyan"/>
              </w:rPr>
              <w:t>[</w:t>
            </w:r>
            <w:r w:rsidRPr="008D52EE">
              <w:rPr>
                <w:highlight w:val="cyan"/>
              </w:rPr>
              <w:t>Report via organisation incident policy.</w:t>
            </w:r>
            <w:r>
              <w:rPr>
                <w:highlight w:val="cyan"/>
              </w:rPr>
              <w:t>]</w:t>
            </w:r>
          </w:p>
          <w:p w14:paraId="4EEFA3C7" w14:textId="0404DF66" w:rsidR="00DD05C5" w:rsidRPr="000063B5" w:rsidRDefault="00DD05C5" w:rsidP="00DD05C5">
            <w:pPr>
              <w:pStyle w:val="Tabletext"/>
              <w:numPr>
                <w:ilvl w:val="0"/>
                <w:numId w:val="50"/>
              </w:numPr>
              <w:rPr>
                <w:lang w:val="en-GB"/>
              </w:rPr>
            </w:pPr>
            <w:r w:rsidRPr="00677C74">
              <w:t>It is considered good practice to notify the individual’s GP in the event of an adverse reaction.</w:t>
            </w:r>
          </w:p>
        </w:tc>
      </w:tr>
      <w:tr w:rsidR="00DD05C5" w14:paraId="5E2C6119" w14:textId="77777777" w:rsidTr="00DD05C5">
        <w:tc>
          <w:tcPr>
            <w:tcW w:w="3566" w:type="dxa"/>
          </w:tcPr>
          <w:p w14:paraId="29FF2147" w14:textId="1C8E77F5" w:rsidR="00DD05C5" w:rsidRPr="00544444" w:rsidRDefault="00DD05C5" w:rsidP="00DD05C5">
            <w:pPr>
              <w:rPr>
                <w:rStyle w:val="TableHeaderColumn"/>
                <w:sz w:val="22"/>
              </w:rPr>
            </w:pPr>
            <w:r w:rsidRPr="00544444">
              <w:rPr>
                <w:rStyle w:val="TableHeaderColumn"/>
                <w:sz w:val="22"/>
              </w:rPr>
              <w:t>Written or other information to be given to individual/carer/parent/guardian</w:t>
            </w:r>
          </w:p>
        </w:tc>
        <w:tc>
          <w:tcPr>
            <w:tcW w:w="4934" w:type="dxa"/>
          </w:tcPr>
          <w:p w14:paraId="09C20437" w14:textId="77777777" w:rsidR="00DD05C5" w:rsidRPr="00C06F39" w:rsidRDefault="00DD05C5" w:rsidP="00DD05C5">
            <w:pPr>
              <w:pStyle w:val="Tabletext"/>
              <w:rPr>
                <w:b/>
                <w:bCs/>
              </w:rPr>
            </w:pPr>
            <w:r w:rsidRPr="00C06F39">
              <w:rPr>
                <w:b/>
                <w:bCs/>
              </w:rPr>
              <w:t>Medicine:</w:t>
            </w:r>
          </w:p>
          <w:p w14:paraId="7328708B" w14:textId="77777777" w:rsidR="00DD05C5" w:rsidRDefault="00DD05C5" w:rsidP="00DD05C5">
            <w:pPr>
              <w:pStyle w:val="Bulletindent1"/>
              <w:rPr>
                <w:rFonts w:eastAsia="Arial"/>
              </w:rPr>
            </w:pPr>
            <w:r w:rsidRPr="00456995">
              <w:rPr>
                <w:rFonts w:eastAsia="Arial"/>
              </w:rPr>
              <w:t xml:space="preserve">Give </w:t>
            </w:r>
            <w:r>
              <w:rPr>
                <w:rFonts w:eastAsia="Arial"/>
              </w:rPr>
              <w:t xml:space="preserve">manufacturer’s </w:t>
            </w:r>
            <w:r w:rsidRPr="00456995">
              <w:rPr>
                <w:rFonts w:eastAsia="Arial"/>
              </w:rPr>
              <w:t>information leaflet (PIL) provided with the original pack. Explain mode of action, side effects, and benefits of the medicine</w:t>
            </w:r>
            <w:r>
              <w:rPr>
                <w:rFonts w:eastAsia="Arial"/>
              </w:rPr>
              <w:t>.</w:t>
            </w:r>
          </w:p>
          <w:p w14:paraId="71727808" w14:textId="77777777" w:rsidR="00DD05C5" w:rsidRPr="007B59AE" w:rsidRDefault="00DD05C5" w:rsidP="00DD05C5">
            <w:pPr>
              <w:pStyle w:val="Bulletindent1"/>
              <w:rPr>
                <w:rFonts w:eastAsia="Arial"/>
              </w:rPr>
            </w:pPr>
            <w:r>
              <w:rPr>
                <w:rFonts w:eastAsia="Arial"/>
              </w:rPr>
              <w:t xml:space="preserve">Ensure individual is counselled as to which regimen is to be followed and that they also have clear written information provided on the appropriate regimen and the non-applicable regimen has been crossed out on the supplied product label.  </w:t>
            </w:r>
          </w:p>
          <w:p w14:paraId="4F73CE8E" w14:textId="77777777" w:rsidR="00DD05C5" w:rsidRDefault="00DD05C5" w:rsidP="00DD05C5">
            <w:pPr>
              <w:pStyle w:val="Bulletindent1"/>
              <w:rPr>
                <w:rFonts w:eastAsia="Arial"/>
              </w:rPr>
            </w:pPr>
            <w:r w:rsidRPr="005B1705">
              <w:rPr>
                <w:rFonts w:eastAsia="Arial"/>
              </w:rPr>
              <w:t>If</w:t>
            </w:r>
            <w:r w:rsidRPr="005B1705">
              <w:rPr>
                <w:rFonts w:eastAsia="Arial"/>
                <w:spacing w:val="63"/>
              </w:rPr>
              <w:t xml:space="preserve"> </w:t>
            </w:r>
            <w:r w:rsidRPr="005B1705">
              <w:rPr>
                <w:rFonts w:eastAsia="Arial"/>
              </w:rPr>
              <w:t>needed,</w:t>
            </w:r>
            <w:r w:rsidRPr="005B1705">
              <w:rPr>
                <w:rFonts w:eastAsia="Arial"/>
                <w:spacing w:val="63"/>
              </w:rPr>
              <w:t xml:space="preserve"> </w:t>
            </w:r>
            <w:r w:rsidRPr="005B1705">
              <w:rPr>
                <w:rFonts w:eastAsia="Arial"/>
              </w:rPr>
              <w:t>the</w:t>
            </w:r>
            <w:r w:rsidRPr="005B1705">
              <w:rPr>
                <w:rFonts w:eastAsia="Arial"/>
                <w:spacing w:val="63"/>
              </w:rPr>
              <w:t xml:space="preserve"> </w:t>
            </w:r>
            <w:r w:rsidRPr="005B1705">
              <w:rPr>
                <w:rFonts w:eastAsia="Arial"/>
                <w:spacing w:val="-4"/>
              </w:rPr>
              <w:t>t</w:t>
            </w:r>
            <w:r w:rsidRPr="005B1705">
              <w:rPr>
                <w:rFonts w:eastAsia="Arial"/>
              </w:rPr>
              <w:t>a</w:t>
            </w:r>
            <w:r w:rsidRPr="005B1705">
              <w:rPr>
                <w:rFonts w:eastAsia="Arial"/>
                <w:spacing w:val="-4"/>
              </w:rPr>
              <w:t>b</w:t>
            </w:r>
            <w:r w:rsidRPr="005B1705">
              <w:rPr>
                <w:rFonts w:eastAsia="Arial"/>
                <w:spacing w:val="4"/>
              </w:rPr>
              <w:t>l</w:t>
            </w:r>
            <w:r w:rsidRPr="005B1705">
              <w:rPr>
                <w:rFonts w:eastAsia="Arial"/>
              </w:rPr>
              <w:t>et</w:t>
            </w:r>
            <w:r w:rsidRPr="005B1705">
              <w:rPr>
                <w:rFonts w:eastAsia="Arial"/>
                <w:spacing w:val="2"/>
              </w:rPr>
              <w:t>(</w:t>
            </w:r>
            <w:r w:rsidRPr="005B1705">
              <w:rPr>
                <w:rFonts w:eastAsia="Arial"/>
                <w:spacing w:val="-5"/>
              </w:rPr>
              <w:t>s</w:t>
            </w:r>
            <w:r w:rsidRPr="005B1705">
              <w:rPr>
                <w:rFonts w:eastAsia="Arial"/>
              </w:rPr>
              <w:t>)</w:t>
            </w:r>
            <w:r w:rsidRPr="005B1705">
              <w:rPr>
                <w:rFonts w:eastAsia="Arial"/>
                <w:spacing w:val="64"/>
              </w:rPr>
              <w:t xml:space="preserve"> </w:t>
            </w:r>
            <w:r w:rsidRPr="005B1705">
              <w:rPr>
                <w:rFonts w:eastAsia="Arial"/>
              </w:rPr>
              <w:t>can</w:t>
            </w:r>
            <w:r w:rsidRPr="005B1705">
              <w:rPr>
                <w:rFonts w:eastAsia="Arial"/>
                <w:spacing w:val="63"/>
              </w:rPr>
              <w:t xml:space="preserve"> </w:t>
            </w:r>
            <w:r w:rsidRPr="005B1705">
              <w:rPr>
                <w:rFonts w:eastAsia="Arial"/>
              </w:rPr>
              <w:t>be</w:t>
            </w:r>
            <w:r w:rsidRPr="005B1705">
              <w:rPr>
                <w:rFonts w:eastAsia="Arial"/>
                <w:spacing w:val="63"/>
              </w:rPr>
              <w:t xml:space="preserve"> </w:t>
            </w:r>
            <w:r w:rsidRPr="005B1705">
              <w:rPr>
                <w:rFonts w:eastAsia="Arial"/>
                <w:spacing w:val="-4"/>
              </w:rPr>
              <w:t>d</w:t>
            </w:r>
            <w:r w:rsidRPr="005B1705">
              <w:rPr>
                <w:rFonts w:eastAsia="Arial"/>
                <w:spacing w:val="4"/>
              </w:rPr>
              <w:t>i</w:t>
            </w:r>
            <w:r w:rsidRPr="005B1705">
              <w:rPr>
                <w:rFonts w:eastAsia="Arial"/>
              </w:rPr>
              <w:t>sper</w:t>
            </w:r>
            <w:r w:rsidRPr="005B1705">
              <w:rPr>
                <w:rFonts w:eastAsia="Arial"/>
                <w:spacing w:val="-5"/>
              </w:rPr>
              <w:t>s</w:t>
            </w:r>
            <w:r w:rsidRPr="005B1705">
              <w:rPr>
                <w:rFonts w:eastAsia="Arial"/>
              </w:rPr>
              <w:t>ed</w:t>
            </w:r>
            <w:r w:rsidRPr="005B1705">
              <w:rPr>
                <w:rFonts w:eastAsia="Arial"/>
                <w:spacing w:val="63"/>
              </w:rPr>
              <w:t xml:space="preserve"> </w:t>
            </w:r>
            <w:r w:rsidRPr="005B1705">
              <w:rPr>
                <w:rFonts w:eastAsia="Arial"/>
              </w:rPr>
              <w:t>in</w:t>
            </w:r>
            <w:r w:rsidRPr="005B1705">
              <w:rPr>
                <w:rFonts w:eastAsia="Arial"/>
                <w:spacing w:val="63"/>
              </w:rPr>
              <w:t xml:space="preserve"> </w:t>
            </w:r>
            <w:r w:rsidRPr="005B1705">
              <w:rPr>
                <w:rFonts w:eastAsia="Arial"/>
              </w:rPr>
              <w:t>appro</w:t>
            </w:r>
            <w:r w:rsidRPr="005B1705">
              <w:rPr>
                <w:rFonts w:eastAsia="Arial"/>
                <w:spacing w:val="-5"/>
              </w:rPr>
              <w:t>x</w:t>
            </w:r>
            <w:r w:rsidRPr="005B1705">
              <w:rPr>
                <w:rFonts w:eastAsia="Arial"/>
                <w:spacing w:val="4"/>
              </w:rPr>
              <w:t>i</w:t>
            </w:r>
            <w:r w:rsidRPr="005B1705">
              <w:rPr>
                <w:rFonts w:eastAsia="Arial"/>
                <w:spacing w:val="-8"/>
              </w:rPr>
              <w:t>m</w:t>
            </w:r>
            <w:r w:rsidRPr="005B1705">
              <w:rPr>
                <w:rFonts w:eastAsia="Arial"/>
              </w:rPr>
              <w:t>ate</w:t>
            </w:r>
            <w:r w:rsidRPr="005B1705">
              <w:rPr>
                <w:rFonts w:eastAsia="Arial"/>
                <w:spacing w:val="4"/>
              </w:rPr>
              <w:t>l</w:t>
            </w:r>
            <w:r w:rsidRPr="005B1705">
              <w:rPr>
                <w:rFonts w:eastAsia="Arial"/>
              </w:rPr>
              <w:t>y</w:t>
            </w:r>
            <w:r>
              <w:rPr>
                <w:rFonts w:eastAsia="Arial"/>
              </w:rPr>
              <w:t xml:space="preserve"> </w:t>
            </w:r>
            <w:r w:rsidRPr="005B1705">
              <w:rPr>
                <w:rFonts w:eastAsia="Arial"/>
              </w:rPr>
              <w:t>100</w:t>
            </w:r>
            <w:r w:rsidRPr="005B1705">
              <w:rPr>
                <w:rFonts w:eastAsia="Arial"/>
                <w:spacing w:val="-8"/>
              </w:rPr>
              <w:t>m</w:t>
            </w:r>
            <w:r w:rsidRPr="005B1705">
              <w:rPr>
                <w:rFonts w:eastAsia="Arial"/>
              </w:rPr>
              <w:t>l</w:t>
            </w:r>
            <w:r w:rsidRPr="005B1705">
              <w:rPr>
                <w:rFonts w:eastAsia="Arial"/>
                <w:spacing w:val="43"/>
              </w:rPr>
              <w:t xml:space="preserve"> </w:t>
            </w:r>
            <w:r w:rsidRPr="005B1705">
              <w:rPr>
                <w:rFonts w:eastAsia="Arial"/>
              </w:rPr>
              <w:t>of</w:t>
            </w:r>
            <w:r w:rsidRPr="005B1705">
              <w:rPr>
                <w:rFonts w:eastAsia="Arial"/>
                <w:spacing w:val="44"/>
              </w:rPr>
              <w:t xml:space="preserve"> </w:t>
            </w:r>
            <w:r w:rsidRPr="005B1705">
              <w:rPr>
                <w:rFonts w:eastAsia="Arial"/>
                <w:spacing w:val="-5"/>
              </w:rPr>
              <w:lastRenderedPageBreak/>
              <w:t>w</w:t>
            </w:r>
            <w:r w:rsidRPr="005B1705">
              <w:rPr>
                <w:rFonts w:eastAsia="Arial"/>
              </w:rPr>
              <w:t>ater,</w:t>
            </w:r>
            <w:r w:rsidRPr="005B1705">
              <w:rPr>
                <w:rFonts w:eastAsia="Arial"/>
                <w:spacing w:val="40"/>
              </w:rPr>
              <w:t xml:space="preserve"> </w:t>
            </w:r>
            <w:r w:rsidRPr="005B1705">
              <w:rPr>
                <w:rFonts w:eastAsia="Arial"/>
              </w:rPr>
              <w:t>oran</w:t>
            </w:r>
            <w:r w:rsidRPr="005B1705">
              <w:rPr>
                <w:rFonts w:eastAsia="Arial"/>
                <w:spacing w:val="-4"/>
              </w:rPr>
              <w:t>g</w:t>
            </w:r>
            <w:r w:rsidRPr="005B1705">
              <w:rPr>
                <w:rFonts w:eastAsia="Arial"/>
              </w:rPr>
              <w:t>e</w:t>
            </w:r>
            <w:r w:rsidRPr="005B1705">
              <w:rPr>
                <w:rFonts w:eastAsia="Arial"/>
                <w:spacing w:val="40"/>
              </w:rPr>
              <w:t xml:space="preserve"> </w:t>
            </w:r>
            <w:r w:rsidRPr="005B1705">
              <w:rPr>
                <w:rFonts w:eastAsia="Arial"/>
                <w:spacing w:val="-5"/>
              </w:rPr>
              <w:t>j</w:t>
            </w:r>
            <w:r w:rsidRPr="005B1705">
              <w:rPr>
                <w:rFonts w:eastAsia="Arial"/>
              </w:rPr>
              <w:t>u</w:t>
            </w:r>
            <w:r w:rsidRPr="005B1705">
              <w:rPr>
                <w:rFonts w:eastAsia="Arial"/>
                <w:spacing w:val="4"/>
              </w:rPr>
              <w:t>i</w:t>
            </w:r>
            <w:r w:rsidRPr="005B1705">
              <w:rPr>
                <w:rFonts w:eastAsia="Arial"/>
              </w:rPr>
              <w:t>ce</w:t>
            </w:r>
            <w:r w:rsidRPr="005B1705">
              <w:rPr>
                <w:rFonts w:eastAsia="Arial"/>
                <w:spacing w:val="40"/>
              </w:rPr>
              <w:t xml:space="preserve"> </w:t>
            </w:r>
            <w:r w:rsidRPr="005B1705">
              <w:rPr>
                <w:rFonts w:eastAsia="Arial"/>
              </w:rPr>
              <w:t>or</w:t>
            </w:r>
            <w:r w:rsidRPr="005B1705">
              <w:rPr>
                <w:rFonts w:eastAsia="Arial"/>
                <w:spacing w:val="41"/>
              </w:rPr>
              <w:t xml:space="preserve"> </w:t>
            </w:r>
            <w:r w:rsidRPr="005B1705">
              <w:rPr>
                <w:rFonts w:eastAsia="Arial"/>
              </w:rPr>
              <w:t>gra</w:t>
            </w:r>
            <w:r w:rsidRPr="005B1705">
              <w:rPr>
                <w:rFonts w:eastAsia="Arial"/>
                <w:spacing w:val="-4"/>
              </w:rPr>
              <w:t>p</w:t>
            </w:r>
            <w:r w:rsidRPr="005B1705">
              <w:rPr>
                <w:rFonts w:eastAsia="Arial"/>
              </w:rPr>
              <w:t>e</w:t>
            </w:r>
            <w:r w:rsidRPr="005B1705">
              <w:rPr>
                <w:rFonts w:eastAsia="Arial"/>
                <w:spacing w:val="40"/>
              </w:rPr>
              <w:t xml:space="preserve"> </w:t>
            </w:r>
            <w:r w:rsidRPr="005B1705">
              <w:rPr>
                <w:rFonts w:eastAsia="Arial"/>
              </w:rPr>
              <w:t>ju</w:t>
            </w:r>
            <w:r w:rsidRPr="005B1705">
              <w:rPr>
                <w:rFonts w:eastAsia="Arial"/>
                <w:spacing w:val="5"/>
              </w:rPr>
              <w:t>i</w:t>
            </w:r>
            <w:r w:rsidRPr="005B1705">
              <w:rPr>
                <w:rFonts w:eastAsia="Arial"/>
              </w:rPr>
              <w:t>ce</w:t>
            </w:r>
            <w:r w:rsidRPr="005B1705">
              <w:rPr>
                <w:rFonts w:eastAsia="Arial"/>
                <w:spacing w:val="40"/>
              </w:rPr>
              <w:t xml:space="preserve"> </w:t>
            </w:r>
            <w:r w:rsidRPr="005B1705">
              <w:rPr>
                <w:rFonts w:eastAsia="Arial"/>
              </w:rPr>
              <w:t>a</w:t>
            </w:r>
            <w:r w:rsidRPr="005B1705">
              <w:rPr>
                <w:rFonts w:eastAsia="Arial"/>
                <w:spacing w:val="-4"/>
              </w:rPr>
              <w:t>n</w:t>
            </w:r>
            <w:r w:rsidRPr="005B1705">
              <w:rPr>
                <w:rFonts w:eastAsia="Arial"/>
              </w:rPr>
              <w:t>d</w:t>
            </w:r>
            <w:r w:rsidRPr="005B1705">
              <w:rPr>
                <w:rFonts w:eastAsia="Arial"/>
                <w:spacing w:val="40"/>
              </w:rPr>
              <w:t xml:space="preserve"> </w:t>
            </w:r>
            <w:r w:rsidRPr="005B1705">
              <w:rPr>
                <w:rFonts w:eastAsia="Arial"/>
              </w:rPr>
              <w:t xml:space="preserve">taken </w:t>
            </w:r>
            <w:r w:rsidRPr="005B1705">
              <w:rPr>
                <w:rFonts w:eastAsia="Arial"/>
                <w:spacing w:val="4"/>
              </w:rPr>
              <w:t>i</w:t>
            </w:r>
            <w:r w:rsidRPr="005B1705">
              <w:rPr>
                <w:rFonts w:eastAsia="Arial"/>
                <w:spacing w:val="-3"/>
              </w:rPr>
              <w:t>m</w:t>
            </w:r>
            <w:r w:rsidRPr="005B1705">
              <w:rPr>
                <w:rFonts w:eastAsia="Arial"/>
                <w:spacing w:val="-8"/>
              </w:rPr>
              <w:t>m</w:t>
            </w:r>
            <w:r w:rsidRPr="005B1705">
              <w:rPr>
                <w:rFonts w:eastAsia="Arial"/>
              </w:rPr>
              <w:t>ed</w:t>
            </w:r>
            <w:r w:rsidRPr="005B1705">
              <w:rPr>
                <w:rFonts w:eastAsia="Arial"/>
                <w:spacing w:val="4"/>
              </w:rPr>
              <w:t>i</w:t>
            </w:r>
            <w:r w:rsidRPr="005B1705">
              <w:rPr>
                <w:rFonts w:eastAsia="Arial"/>
              </w:rPr>
              <w:t>ate</w:t>
            </w:r>
            <w:r w:rsidRPr="005B1705">
              <w:rPr>
                <w:rFonts w:eastAsia="Arial"/>
                <w:spacing w:val="4"/>
              </w:rPr>
              <w:t>l</w:t>
            </w:r>
            <w:r w:rsidRPr="005B1705">
              <w:rPr>
                <w:rFonts w:eastAsia="Arial"/>
              </w:rPr>
              <w:t>y</w:t>
            </w:r>
          </w:p>
          <w:p w14:paraId="28C7FCF9" w14:textId="77777777" w:rsidR="00DD05C5" w:rsidRDefault="00DD05C5" w:rsidP="00DD05C5">
            <w:pPr>
              <w:pStyle w:val="Bulletindent1"/>
              <w:rPr>
                <w:rFonts w:eastAsia="Arial"/>
              </w:rPr>
            </w:pPr>
            <w:r w:rsidRPr="00764247">
              <w:rPr>
                <w:rFonts w:eastAsia="Arial"/>
              </w:rPr>
              <w:t xml:space="preserve">There </w:t>
            </w:r>
            <w:r>
              <w:rPr>
                <w:rFonts w:eastAsia="Arial"/>
              </w:rPr>
              <w:t>is</w:t>
            </w:r>
            <w:r w:rsidRPr="00764247">
              <w:rPr>
                <w:rFonts w:eastAsia="Arial"/>
              </w:rPr>
              <w:t xml:space="preserve"> no requirement for </w:t>
            </w:r>
            <w:proofErr w:type="spellStart"/>
            <w:r w:rsidRPr="00764247">
              <w:rPr>
                <w:rFonts w:eastAsia="Arial"/>
              </w:rPr>
              <w:t>PrEP</w:t>
            </w:r>
            <w:proofErr w:type="spellEnd"/>
            <w:r w:rsidRPr="00764247">
              <w:rPr>
                <w:rFonts w:eastAsia="Arial"/>
              </w:rPr>
              <w:t xml:space="preserve"> to be taken with/after food</w:t>
            </w:r>
            <w:r>
              <w:rPr>
                <w:rFonts w:eastAsia="Arial"/>
              </w:rPr>
              <w:t xml:space="preserve">. However, if an individual experiences gastrointestinal side effects whilst taking </w:t>
            </w:r>
            <w:proofErr w:type="spellStart"/>
            <w:r>
              <w:rPr>
                <w:rFonts w:eastAsia="Arial"/>
              </w:rPr>
              <w:t>PrEP</w:t>
            </w:r>
            <w:proofErr w:type="spellEnd"/>
            <w:r>
              <w:rPr>
                <w:rFonts w:eastAsia="Arial"/>
              </w:rPr>
              <w:t xml:space="preserve"> advise them to take it with food.</w:t>
            </w:r>
          </w:p>
          <w:p w14:paraId="1B4098B4" w14:textId="77777777" w:rsidR="00DD05C5" w:rsidRDefault="00DD05C5" w:rsidP="00DD05C5">
            <w:pPr>
              <w:pStyle w:val="Bulletindent1"/>
              <w:numPr>
                <w:ilvl w:val="1"/>
                <w:numId w:val="15"/>
              </w:numPr>
              <w:rPr>
                <w:rFonts w:eastAsia="Arial"/>
              </w:rPr>
            </w:pPr>
            <w:r>
              <w:rPr>
                <w:rFonts w:eastAsia="Arial"/>
              </w:rPr>
              <w:t>Individuals</w:t>
            </w:r>
            <w:r w:rsidRPr="008F3EEC">
              <w:rPr>
                <w:rFonts w:eastAsia="Arial"/>
              </w:rPr>
              <w:t xml:space="preserve"> who experience moderate</w:t>
            </w:r>
            <w:r>
              <w:rPr>
                <w:rFonts w:eastAsia="Arial"/>
              </w:rPr>
              <w:t xml:space="preserve"> - </w:t>
            </w:r>
            <w:r w:rsidRPr="008F3EEC">
              <w:rPr>
                <w:rFonts w:eastAsia="Arial"/>
              </w:rPr>
              <w:t xml:space="preserve">severe gastrointestinal side effects following the double dose (two </w:t>
            </w:r>
            <w:r>
              <w:rPr>
                <w:rFonts w:eastAsia="Arial"/>
              </w:rPr>
              <w:t>tablets</w:t>
            </w:r>
            <w:r w:rsidRPr="008F3EEC">
              <w:rPr>
                <w:rFonts w:eastAsia="Arial"/>
              </w:rPr>
              <w:t>), can take the dose as two separate tablets 6</w:t>
            </w:r>
            <w:r>
              <w:rPr>
                <w:rFonts w:eastAsia="Arial"/>
              </w:rPr>
              <w:t xml:space="preserve"> - </w:t>
            </w:r>
            <w:r w:rsidRPr="008F3EEC">
              <w:rPr>
                <w:rFonts w:eastAsia="Arial"/>
              </w:rPr>
              <w:t>12 hours apart within the 2- to 24-hour window period. The second tablet should be taken at least 2 hours before risk.</w:t>
            </w:r>
          </w:p>
          <w:p w14:paraId="182EE65E" w14:textId="77777777" w:rsidR="00DD05C5" w:rsidRDefault="00DD05C5" w:rsidP="00DD05C5">
            <w:pPr>
              <w:pStyle w:val="Bulletindent1"/>
              <w:rPr>
                <w:rFonts w:eastAsia="Arial"/>
              </w:rPr>
            </w:pPr>
            <w:r w:rsidRPr="00261917">
              <w:rPr>
                <w:rFonts w:eastAsia="Arial"/>
              </w:rPr>
              <w:t>Advise</w:t>
            </w:r>
            <w:r>
              <w:rPr>
                <w:rFonts w:eastAsia="Arial"/>
              </w:rPr>
              <w:t xml:space="preserve"> the</w:t>
            </w:r>
            <w:r w:rsidRPr="00261917">
              <w:rPr>
                <w:rFonts w:eastAsia="Arial"/>
              </w:rPr>
              <w:t xml:space="preserve"> individual that if they vomit within 1 hour of taking a dose a single repeat dose should be taken.  </w:t>
            </w:r>
          </w:p>
          <w:p w14:paraId="28A2F815" w14:textId="77777777" w:rsidR="00DD05C5" w:rsidRDefault="00DD05C5" w:rsidP="00DD05C5">
            <w:pPr>
              <w:pStyle w:val="Bulletindent1"/>
              <w:rPr>
                <w:rFonts w:eastAsia="Arial"/>
              </w:rPr>
            </w:pPr>
            <w:r>
              <w:rPr>
                <w:rFonts w:eastAsia="Arial"/>
              </w:rPr>
              <w:t>Advise the individual that if a dose is missed it should be taken as soon as it is remembered unless it is more than 12 hours late, when it should be omitted. Advise them to take the next dose at the correct time.</w:t>
            </w:r>
          </w:p>
          <w:p w14:paraId="0F13F800" w14:textId="77777777" w:rsidR="00DD05C5" w:rsidRDefault="00DD05C5" w:rsidP="00DD05C5">
            <w:pPr>
              <w:pStyle w:val="Bulletindent1"/>
              <w:rPr>
                <w:rFonts w:eastAsia="Arial"/>
              </w:rPr>
            </w:pPr>
            <w:r w:rsidRPr="006B0A43">
              <w:rPr>
                <w:rFonts w:eastAsia="Arial"/>
              </w:rPr>
              <w:t>Advise individual of the risk of reduction in BMD (</w:t>
            </w:r>
            <w:r>
              <w:rPr>
                <w:rFonts w:eastAsia="Arial"/>
              </w:rPr>
              <w:t>~</w:t>
            </w:r>
            <w:r w:rsidRPr="006B0A43">
              <w:rPr>
                <w:rFonts w:eastAsia="Arial"/>
              </w:rPr>
              <w:t xml:space="preserve">2%) but that there is no evidence of an increased risk of fractures while taking </w:t>
            </w:r>
            <w:proofErr w:type="spellStart"/>
            <w:r w:rsidRPr="006B0A43">
              <w:rPr>
                <w:rFonts w:eastAsia="Arial"/>
              </w:rPr>
              <w:t>PrEP.</w:t>
            </w:r>
            <w:proofErr w:type="spellEnd"/>
          </w:p>
          <w:p w14:paraId="0C1DDE96" w14:textId="77777777" w:rsidR="00DD05C5" w:rsidRPr="00261917" w:rsidRDefault="00DD05C5" w:rsidP="00DD05C5">
            <w:pPr>
              <w:pStyle w:val="Bulletindent1"/>
              <w:rPr>
                <w:rFonts w:eastAsia="Arial"/>
              </w:rPr>
            </w:pPr>
            <w:r w:rsidRPr="00261917">
              <w:rPr>
                <w:rFonts w:eastAsia="Arial"/>
              </w:rPr>
              <w:t xml:space="preserve">Advise to </w:t>
            </w:r>
            <w:r>
              <w:rPr>
                <w:rFonts w:eastAsia="Arial"/>
              </w:rPr>
              <w:t xml:space="preserve">note date a new medicine’s container is opened and to either </w:t>
            </w:r>
            <w:r w:rsidRPr="00261917">
              <w:rPr>
                <w:rFonts w:eastAsia="Arial"/>
              </w:rPr>
              <w:t xml:space="preserve">use or discard medicines in line with </w:t>
            </w:r>
            <w:r>
              <w:rPr>
                <w:rFonts w:eastAsia="Arial"/>
              </w:rPr>
              <w:t xml:space="preserve">expiry </w:t>
            </w:r>
            <w:r w:rsidRPr="00261917">
              <w:rPr>
                <w:rFonts w:eastAsia="Arial"/>
              </w:rPr>
              <w:t>information on the container</w:t>
            </w:r>
          </w:p>
          <w:p w14:paraId="70F0D803" w14:textId="77777777" w:rsidR="00DD05C5" w:rsidRDefault="00DD05C5" w:rsidP="00DD05C5">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w:t>
            </w:r>
            <w:r>
              <w:rPr>
                <w:rFonts w:eastAsia="Arial"/>
              </w:rPr>
              <w:t>that if they are</w:t>
            </w:r>
            <w:r w:rsidRPr="00261917">
              <w:rPr>
                <w:rFonts w:eastAsia="Arial"/>
              </w:rPr>
              <w:t xml:space="preserve"> concerned about any side effects they experience</w:t>
            </w:r>
            <w:r>
              <w:rPr>
                <w:rFonts w:eastAsia="Arial"/>
              </w:rPr>
              <w:t>,</w:t>
            </w:r>
            <w:r w:rsidRPr="00261917">
              <w:rPr>
                <w:rFonts w:eastAsia="Arial"/>
              </w:rPr>
              <w:t xml:space="preserve"> they should contact their clinic as soon as possible</w:t>
            </w:r>
          </w:p>
          <w:p w14:paraId="74A166F9" w14:textId="77777777" w:rsidR="00DD05C5" w:rsidRDefault="00DD05C5" w:rsidP="00DD05C5">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to report any new medicines to prescriber/pharmacist to check for </w:t>
            </w:r>
            <w:r>
              <w:rPr>
                <w:rFonts w:eastAsia="Arial"/>
              </w:rPr>
              <w:t xml:space="preserve">drug-drug </w:t>
            </w:r>
            <w:r w:rsidRPr="00261917">
              <w:rPr>
                <w:rFonts w:eastAsia="Arial"/>
              </w:rPr>
              <w:t>interactions</w:t>
            </w:r>
            <w:r>
              <w:rPr>
                <w:rFonts w:eastAsia="Arial"/>
              </w:rPr>
              <w:t>.</w:t>
            </w:r>
          </w:p>
          <w:p w14:paraId="0A2E0780" w14:textId="77777777" w:rsidR="00DD05C5" w:rsidRPr="00A577D2" w:rsidRDefault="00DD05C5" w:rsidP="00DD05C5">
            <w:pPr>
              <w:pStyle w:val="Bulletindent1"/>
              <w:rPr>
                <w:rFonts w:eastAsia="Arial"/>
              </w:rPr>
            </w:pPr>
            <w:r w:rsidRPr="00DD05C5">
              <w:rPr>
                <w:rFonts w:eastAsia="Calibri-Bold"/>
              </w:rPr>
              <w:t>Advise the individual to return any unused medicines to a pharmacy for disposal: Do not</w:t>
            </w:r>
            <w:r>
              <w:rPr>
                <w:rFonts w:eastAsia="Calibri-Bold"/>
              </w:rPr>
              <w:t xml:space="preserve"> </w:t>
            </w:r>
            <w:r w:rsidRPr="00D720D4">
              <w:rPr>
                <w:rFonts w:eastAsia="Calibri-Bold"/>
              </w:rPr>
              <w:t>dispose of medicines in the</w:t>
            </w:r>
            <w:r>
              <w:rPr>
                <w:rFonts w:eastAsia="Calibri-Bold"/>
              </w:rPr>
              <w:t xml:space="preserve"> </w:t>
            </w:r>
            <w:r w:rsidRPr="00D720D4">
              <w:rPr>
                <w:rFonts w:eastAsia="Calibri-Bold"/>
              </w:rPr>
              <w:t>bin, down the sink or toilet</w:t>
            </w:r>
          </w:p>
          <w:p w14:paraId="22E2645C" w14:textId="77777777" w:rsidR="00DD05C5" w:rsidRDefault="00DD05C5" w:rsidP="00DD05C5">
            <w:pPr>
              <w:pStyle w:val="Tabletext"/>
              <w:rPr>
                <w:rFonts w:eastAsia="Arial" w:cs="Arial"/>
                <w:b/>
                <w:szCs w:val="22"/>
                <w:u w:val="single"/>
              </w:rPr>
            </w:pPr>
            <w:r w:rsidRPr="00261917">
              <w:rPr>
                <w:rFonts w:eastAsia="Arial" w:cs="Arial"/>
                <w:b/>
                <w:szCs w:val="22"/>
                <w:u w:val="single"/>
              </w:rPr>
              <w:lastRenderedPageBreak/>
              <w:t>Clinical</w:t>
            </w:r>
          </w:p>
          <w:p w14:paraId="6230F35D" w14:textId="77777777" w:rsidR="00DD05C5" w:rsidRPr="00261917" w:rsidRDefault="00DD05C5" w:rsidP="00DD05C5">
            <w:pPr>
              <w:pStyle w:val="Bulletindent1"/>
              <w:rPr>
                <w:rFonts w:eastAsia="Arial"/>
              </w:rPr>
            </w:pPr>
            <w:r w:rsidRPr="00261917">
              <w:rPr>
                <w:rFonts w:eastAsia="Arial"/>
                <w:spacing w:val="-2"/>
                <w:position w:val="-1"/>
              </w:rPr>
              <w:t>A</w:t>
            </w:r>
            <w:r w:rsidRPr="00261917">
              <w:rPr>
                <w:rFonts w:eastAsia="Arial"/>
                <w:spacing w:val="1"/>
                <w:position w:val="-1"/>
              </w:rPr>
              <w:t>dheren</w:t>
            </w:r>
            <w:r w:rsidRPr="00261917">
              <w:rPr>
                <w:rFonts w:eastAsia="Arial"/>
                <w:position w:val="-1"/>
              </w:rPr>
              <w:t xml:space="preserve">ce  </w:t>
            </w:r>
            <w:r w:rsidRPr="00261917">
              <w:rPr>
                <w:rFonts w:eastAsia="Arial"/>
                <w:spacing w:val="36"/>
                <w:position w:val="-1"/>
              </w:rPr>
              <w:t xml:space="preserve"> </w:t>
            </w:r>
            <w:r w:rsidRPr="00261917">
              <w:rPr>
                <w:rFonts w:eastAsia="Arial"/>
                <w:spacing w:val="1"/>
                <w:position w:val="-1"/>
              </w:rPr>
              <w:t>an</w:t>
            </w:r>
            <w:r w:rsidRPr="00261917">
              <w:rPr>
                <w:rFonts w:eastAsia="Arial"/>
                <w:position w:val="-1"/>
              </w:rPr>
              <w:t xml:space="preserve">d  </w:t>
            </w:r>
            <w:r w:rsidRPr="00261917">
              <w:rPr>
                <w:rFonts w:eastAsia="Arial"/>
                <w:spacing w:val="36"/>
                <w:position w:val="-1"/>
              </w:rPr>
              <w:t xml:space="preserve"> </w:t>
            </w:r>
            <w:r w:rsidRPr="00261917">
              <w:rPr>
                <w:rFonts w:eastAsia="Arial"/>
                <w:spacing w:val="-4"/>
                <w:position w:val="-1"/>
              </w:rPr>
              <w:t>d</w:t>
            </w:r>
            <w:r w:rsidRPr="00261917">
              <w:rPr>
                <w:rFonts w:eastAsia="Arial"/>
                <w:spacing w:val="1"/>
                <w:position w:val="-1"/>
              </w:rPr>
              <w:t>o</w:t>
            </w:r>
            <w:r w:rsidRPr="00261917">
              <w:rPr>
                <w:rFonts w:eastAsia="Arial"/>
                <w:position w:val="-1"/>
              </w:rPr>
              <w:t xml:space="preserve">sing  </w:t>
            </w:r>
            <w:r w:rsidRPr="00261917">
              <w:rPr>
                <w:rFonts w:eastAsia="Arial"/>
                <w:spacing w:val="36"/>
                <w:position w:val="-1"/>
              </w:rPr>
              <w:t xml:space="preserve"> </w:t>
            </w:r>
            <w:r w:rsidRPr="00261917">
              <w:rPr>
                <w:rFonts w:eastAsia="Arial"/>
                <w:position w:val="-1"/>
              </w:rPr>
              <w:t>in</w:t>
            </w:r>
            <w:r w:rsidRPr="00261917">
              <w:rPr>
                <w:rFonts w:eastAsia="Arial"/>
                <w:spacing w:val="1"/>
                <w:position w:val="-1"/>
              </w:rPr>
              <w:t>for</w:t>
            </w:r>
            <w:r w:rsidRPr="00261917">
              <w:rPr>
                <w:rFonts w:eastAsia="Arial"/>
                <w:spacing w:val="-8"/>
                <w:position w:val="-1"/>
              </w:rPr>
              <w:t>m</w:t>
            </w:r>
            <w:r w:rsidRPr="00261917">
              <w:rPr>
                <w:rFonts w:eastAsia="Arial"/>
                <w:spacing w:val="1"/>
                <w:position w:val="-1"/>
              </w:rPr>
              <w:t>a</w:t>
            </w:r>
            <w:r w:rsidRPr="00261917">
              <w:rPr>
                <w:rFonts w:eastAsia="Arial"/>
                <w:position w:val="-1"/>
              </w:rPr>
              <w:t>t</w:t>
            </w:r>
            <w:r w:rsidRPr="00261917">
              <w:rPr>
                <w:rFonts w:eastAsia="Arial"/>
                <w:spacing w:val="5"/>
                <w:position w:val="-1"/>
              </w:rPr>
              <w:t>i</w:t>
            </w:r>
            <w:r w:rsidRPr="00261917">
              <w:rPr>
                <w:rFonts w:eastAsia="Arial"/>
                <w:spacing w:val="1"/>
                <w:position w:val="-1"/>
              </w:rPr>
              <w:t>o</w:t>
            </w:r>
            <w:r w:rsidRPr="00261917">
              <w:rPr>
                <w:rFonts w:eastAsia="Arial"/>
                <w:position w:val="-1"/>
              </w:rPr>
              <w:t xml:space="preserve">n  </w:t>
            </w:r>
            <w:r w:rsidRPr="00261917">
              <w:rPr>
                <w:rFonts w:eastAsia="Arial"/>
                <w:spacing w:val="31"/>
                <w:position w:val="-1"/>
              </w:rPr>
              <w:t xml:space="preserve"> </w:t>
            </w:r>
            <w:r w:rsidRPr="00261917">
              <w:rPr>
                <w:rFonts w:eastAsia="Arial"/>
                <w:spacing w:val="4"/>
                <w:position w:val="-1"/>
              </w:rPr>
              <w:t>i</w:t>
            </w:r>
            <w:r w:rsidRPr="00261917">
              <w:rPr>
                <w:rFonts w:eastAsia="Arial"/>
                <w:spacing w:val="1"/>
                <w:position w:val="-1"/>
              </w:rPr>
              <w:t>n</w:t>
            </w:r>
            <w:r w:rsidRPr="00261917">
              <w:rPr>
                <w:rFonts w:eastAsia="Arial"/>
                <w:spacing w:val="-5"/>
                <w:position w:val="-1"/>
              </w:rPr>
              <w:t>c</w:t>
            </w:r>
            <w:r w:rsidRPr="00261917">
              <w:rPr>
                <w:rFonts w:eastAsia="Arial"/>
                <w:spacing w:val="4"/>
                <w:position w:val="-1"/>
              </w:rPr>
              <w:t>l</w:t>
            </w:r>
            <w:r w:rsidRPr="00261917">
              <w:rPr>
                <w:rFonts w:eastAsia="Arial"/>
                <w:spacing w:val="-4"/>
                <w:position w:val="-1"/>
              </w:rPr>
              <w:t>u</w:t>
            </w:r>
            <w:r w:rsidRPr="00261917">
              <w:rPr>
                <w:rFonts w:eastAsia="Arial"/>
                <w:spacing w:val="1"/>
                <w:position w:val="-1"/>
              </w:rPr>
              <w:t>d</w:t>
            </w:r>
            <w:r w:rsidRPr="00261917">
              <w:rPr>
                <w:rFonts w:eastAsia="Arial"/>
                <w:spacing w:val="4"/>
                <w:position w:val="-1"/>
              </w:rPr>
              <w:t>i</w:t>
            </w:r>
            <w:r w:rsidRPr="00261917">
              <w:rPr>
                <w:rFonts w:eastAsia="Arial"/>
                <w:spacing w:val="1"/>
                <w:position w:val="-1"/>
              </w:rPr>
              <w:t>n</w:t>
            </w:r>
            <w:r w:rsidRPr="00261917">
              <w:rPr>
                <w:rFonts w:eastAsia="Arial"/>
                <w:position w:val="-1"/>
              </w:rPr>
              <w:t>g</w:t>
            </w:r>
            <w:r w:rsidRPr="00261917">
              <w:rPr>
                <w:rFonts w:eastAsia="Arial"/>
                <w:spacing w:val="29"/>
              </w:rPr>
              <w:t xml:space="preserve"> </w:t>
            </w:r>
            <w:r>
              <w:rPr>
                <w:rFonts w:eastAsia="Arial"/>
                <w:spacing w:val="1"/>
              </w:rPr>
              <w:t>manufacturers’ product information</w:t>
            </w:r>
            <w:r w:rsidRPr="00261917">
              <w:rPr>
                <w:rFonts w:eastAsia="Arial"/>
                <w:spacing w:val="30"/>
              </w:rPr>
              <w:t xml:space="preserve"> </w:t>
            </w:r>
            <w:r w:rsidRPr="00261917">
              <w:rPr>
                <w:rFonts w:eastAsia="Arial"/>
              </w:rPr>
              <w:t>le</w:t>
            </w:r>
            <w:r w:rsidRPr="00261917">
              <w:rPr>
                <w:rFonts w:eastAsia="Arial"/>
                <w:spacing w:val="1"/>
              </w:rPr>
              <w:t>a</w:t>
            </w:r>
            <w:r w:rsidRPr="00261917">
              <w:rPr>
                <w:rFonts w:eastAsia="Arial"/>
                <w:spacing w:val="-4"/>
              </w:rPr>
              <w:t>f</w:t>
            </w:r>
            <w:r w:rsidRPr="00261917">
              <w:rPr>
                <w:rFonts w:eastAsia="Arial"/>
                <w:spacing w:val="4"/>
              </w:rPr>
              <w:t>l</w:t>
            </w:r>
            <w:r w:rsidRPr="00261917">
              <w:rPr>
                <w:rFonts w:eastAsia="Arial"/>
                <w:spacing w:val="1"/>
              </w:rPr>
              <w:t>e</w:t>
            </w:r>
            <w:r w:rsidRPr="00261917">
              <w:rPr>
                <w:rFonts w:eastAsia="Arial"/>
              </w:rPr>
              <w:t>t</w:t>
            </w:r>
            <w:r w:rsidRPr="00261917">
              <w:rPr>
                <w:rFonts w:eastAsia="Arial"/>
                <w:spacing w:val="30"/>
              </w:rPr>
              <w:t xml:space="preserve"> </w:t>
            </w:r>
            <w:r w:rsidRPr="00261917">
              <w:rPr>
                <w:rFonts w:eastAsia="Arial"/>
                <w:spacing w:val="1"/>
              </w:rPr>
              <w:t>o</w:t>
            </w:r>
            <w:r w:rsidRPr="00261917">
              <w:rPr>
                <w:rFonts w:eastAsia="Arial"/>
              </w:rPr>
              <w:t>r</w:t>
            </w:r>
            <w:r w:rsidRPr="00261917">
              <w:rPr>
                <w:rFonts w:eastAsia="Arial"/>
                <w:spacing w:val="41"/>
              </w:rPr>
              <w:t xml:space="preserve"> </w:t>
            </w:r>
            <w:r w:rsidRPr="00261917">
              <w:rPr>
                <w:rFonts w:eastAsia="Arial"/>
              </w:rPr>
              <w:t>locally agreed alternative</w:t>
            </w:r>
            <w:r w:rsidRPr="00261917">
              <w:rPr>
                <w:rFonts w:eastAsia="Arial"/>
                <w:spacing w:val="34"/>
              </w:rPr>
              <w:t xml:space="preserve"> </w:t>
            </w:r>
            <w:r w:rsidRPr="00261917">
              <w:rPr>
                <w:rFonts w:eastAsia="Arial"/>
              </w:rPr>
              <w:t>to</w:t>
            </w:r>
            <w:r w:rsidRPr="00261917">
              <w:rPr>
                <w:rFonts w:eastAsia="Arial"/>
                <w:spacing w:val="26"/>
              </w:rPr>
              <w:t xml:space="preserve"> </w:t>
            </w:r>
            <w:r w:rsidRPr="00261917">
              <w:rPr>
                <w:rFonts w:eastAsia="Arial"/>
              </w:rPr>
              <w:t>s</w:t>
            </w:r>
            <w:r w:rsidRPr="00261917">
              <w:rPr>
                <w:rFonts w:eastAsia="Arial"/>
                <w:spacing w:val="1"/>
              </w:rPr>
              <w:t>uppor</w:t>
            </w:r>
            <w:r w:rsidRPr="00261917">
              <w:rPr>
                <w:rFonts w:eastAsia="Arial"/>
              </w:rPr>
              <w:t>t</w:t>
            </w:r>
            <w:r w:rsidRPr="00261917">
              <w:rPr>
                <w:rFonts w:eastAsia="Arial"/>
                <w:spacing w:val="30"/>
              </w:rPr>
              <w:t xml:space="preserve"> </w:t>
            </w:r>
            <w:r w:rsidRPr="00261917">
              <w:rPr>
                <w:rFonts w:eastAsia="Arial"/>
                <w:spacing w:val="1"/>
              </w:rPr>
              <w:t>u</w:t>
            </w:r>
            <w:r w:rsidRPr="00261917">
              <w:rPr>
                <w:rFonts w:eastAsia="Arial"/>
              </w:rPr>
              <w:t>se</w:t>
            </w:r>
            <w:r w:rsidRPr="00261917">
              <w:rPr>
                <w:rFonts w:eastAsia="Arial"/>
                <w:spacing w:val="34"/>
              </w:rPr>
              <w:t xml:space="preserve"> </w:t>
            </w:r>
            <w:r w:rsidRPr="00261917">
              <w:rPr>
                <w:rFonts w:eastAsia="Arial"/>
                <w:spacing w:val="1"/>
              </w:rPr>
              <w:t>a</w:t>
            </w:r>
            <w:r w:rsidRPr="00261917">
              <w:rPr>
                <w:rFonts w:eastAsia="Arial"/>
                <w:spacing w:val="-4"/>
              </w:rPr>
              <w:t>n</w:t>
            </w:r>
            <w:r w:rsidRPr="00261917">
              <w:rPr>
                <w:rFonts w:eastAsia="Arial"/>
              </w:rPr>
              <w:t xml:space="preserve">d </w:t>
            </w:r>
            <w:r w:rsidRPr="00261917">
              <w:rPr>
                <w:rFonts w:eastAsia="Arial"/>
                <w:spacing w:val="1"/>
              </w:rPr>
              <w:t>under</w:t>
            </w:r>
            <w:r w:rsidRPr="00261917">
              <w:rPr>
                <w:rFonts w:eastAsia="Arial"/>
              </w:rPr>
              <w:t>st</w:t>
            </w:r>
            <w:r w:rsidRPr="00261917">
              <w:rPr>
                <w:rFonts w:eastAsia="Arial"/>
                <w:spacing w:val="-3"/>
              </w:rPr>
              <w:t>a</w:t>
            </w:r>
            <w:r w:rsidRPr="00261917">
              <w:rPr>
                <w:rFonts w:eastAsia="Arial"/>
                <w:spacing w:val="1"/>
              </w:rPr>
              <w:t>n</w:t>
            </w:r>
            <w:r w:rsidRPr="00261917">
              <w:rPr>
                <w:rFonts w:eastAsia="Arial"/>
                <w:spacing w:val="-4"/>
              </w:rPr>
              <w:t>d</w:t>
            </w:r>
            <w:r w:rsidRPr="00261917">
              <w:rPr>
                <w:rFonts w:eastAsia="Arial"/>
                <w:spacing w:val="4"/>
              </w:rPr>
              <w:t>i</w:t>
            </w:r>
            <w:r w:rsidRPr="00261917">
              <w:rPr>
                <w:rFonts w:eastAsia="Arial"/>
                <w:spacing w:val="1"/>
              </w:rPr>
              <w:t>n</w:t>
            </w:r>
            <w:r w:rsidRPr="00261917">
              <w:rPr>
                <w:rFonts w:eastAsia="Arial"/>
              </w:rPr>
              <w:t>g</w:t>
            </w:r>
            <w:r w:rsidRPr="00261917">
              <w:rPr>
                <w:rFonts w:eastAsia="Arial"/>
                <w:spacing w:val="1"/>
              </w:rPr>
              <w:t xml:space="preserve"> </w:t>
            </w:r>
            <w:r w:rsidRPr="00261917">
              <w:rPr>
                <w:rFonts w:eastAsia="Arial"/>
                <w:spacing w:val="-3"/>
              </w:rPr>
              <w:t>o</w:t>
            </w:r>
            <w:r w:rsidRPr="00261917">
              <w:rPr>
                <w:rFonts w:eastAsia="Arial"/>
              </w:rPr>
              <w:t>f</w:t>
            </w:r>
            <w:r w:rsidRPr="00261917">
              <w:rPr>
                <w:rFonts w:eastAsia="Arial"/>
                <w:spacing w:val="1"/>
              </w:rPr>
              <w:t xml:space="preserve"> u</w:t>
            </w:r>
            <w:r w:rsidRPr="00261917">
              <w:rPr>
                <w:rFonts w:eastAsia="Arial"/>
              </w:rPr>
              <w:t>se.  Information is available through:</w:t>
            </w:r>
          </w:p>
          <w:p w14:paraId="0AF51DBD"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2" w:history="1">
              <w:proofErr w:type="spellStart"/>
              <w:r w:rsidRPr="00C06F39">
                <w:rPr>
                  <w:rStyle w:val="Hyperlink"/>
                  <w:rFonts w:ascii="Arial" w:eastAsia="Times New Roman" w:hAnsi="Arial"/>
                  <w:kern w:val="0"/>
                  <w:sz w:val="22"/>
                  <w14:ligatures w14:val="none"/>
                </w:rPr>
                <w:t>IWantPrEPNow</w:t>
              </w:r>
              <w:proofErr w:type="spellEnd"/>
            </w:hyperlink>
            <w:r w:rsidRPr="00C06F39">
              <w:rPr>
                <w:rStyle w:val="Hyperlink"/>
                <w:rFonts w:ascii="Arial" w:eastAsia="Times New Roman" w:hAnsi="Arial"/>
                <w:kern w:val="0"/>
                <w:sz w:val="22"/>
                <w14:ligatures w14:val="none"/>
              </w:rPr>
              <w:t xml:space="preserve"> </w:t>
            </w:r>
          </w:p>
          <w:p w14:paraId="7882A529"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3" w:history="1">
              <w:r w:rsidRPr="00C06F39">
                <w:rPr>
                  <w:rStyle w:val="Hyperlink"/>
                  <w:rFonts w:ascii="Arial" w:eastAsia="Times New Roman" w:hAnsi="Arial"/>
                  <w:kern w:val="0"/>
                  <w:sz w:val="22"/>
                  <w14:ligatures w14:val="none"/>
                </w:rPr>
                <w:t>Terrence Higgins Trust</w:t>
              </w:r>
            </w:hyperlink>
            <w:r w:rsidRPr="00C06F39">
              <w:rPr>
                <w:rStyle w:val="Hyperlink"/>
                <w:rFonts w:ascii="Arial" w:eastAsia="Times New Roman" w:hAnsi="Arial"/>
                <w:kern w:val="0"/>
                <w:sz w:val="22"/>
                <w14:ligatures w14:val="none"/>
              </w:rPr>
              <w:t xml:space="preserve"> </w:t>
            </w:r>
          </w:p>
          <w:p w14:paraId="47071D5D"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4" w:history="1">
              <w:proofErr w:type="spellStart"/>
              <w:r w:rsidRPr="00C06F39">
                <w:rPr>
                  <w:rStyle w:val="Hyperlink"/>
                  <w:rFonts w:ascii="Arial" w:eastAsia="Times New Roman" w:hAnsi="Arial"/>
                  <w:kern w:val="0"/>
                  <w:sz w:val="22"/>
                  <w14:ligatures w14:val="none"/>
                </w:rPr>
                <w:t>PrEPster</w:t>
              </w:r>
              <w:proofErr w:type="spellEnd"/>
            </w:hyperlink>
          </w:p>
          <w:p w14:paraId="76FE6235" w14:textId="77777777" w:rsidR="00DD05C5" w:rsidRPr="00C06F39" w:rsidRDefault="00DD05C5" w:rsidP="00DD05C5">
            <w:pPr>
              <w:numPr>
                <w:ilvl w:val="1"/>
                <w:numId w:val="15"/>
              </w:numPr>
              <w:overflowPunct w:val="0"/>
              <w:autoSpaceDE w:val="0"/>
              <w:autoSpaceDN w:val="0"/>
              <w:adjustRightInd w:val="0"/>
              <w:contextualSpacing/>
              <w:textAlignment w:val="baseline"/>
              <w:rPr>
                <w:rFonts w:ascii="Arial" w:eastAsia="Arial" w:hAnsi="Arial" w:cs="Arial"/>
                <w:sz w:val="22"/>
                <w:szCs w:val="22"/>
              </w:rPr>
            </w:pPr>
            <w:hyperlink r:id="rId45" w:history="1">
              <w:proofErr w:type="spellStart"/>
              <w:r w:rsidRPr="00C06F39">
                <w:rPr>
                  <w:rStyle w:val="Hyperlink"/>
                  <w:rFonts w:ascii="Arial" w:eastAsia="Times New Roman" w:hAnsi="Arial"/>
                  <w:kern w:val="0"/>
                  <w:sz w:val="22"/>
                  <w14:ligatures w14:val="none"/>
                </w:rPr>
                <w:t>i</w:t>
              </w:r>
              <w:proofErr w:type="spellEnd"/>
              <w:r w:rsidRPr="00C06F39">
                <w:rPr>
                  <w:rStyle w:val="Hyperlink"/>
                  <w:rFonts w:ascii="Arial" w:eastAsia="Times New Roman" w:hAnsi="Arial"/>
                  <w:kern w:val="0"/>
                  <w:sz w:val="22"/>
                  <w14:ligatures w14:val="none"/>
                </w:rPr>
                <w:t>-base information</w:t>
              </w:r>
            </w:hyperlink>
            <w:r w:rsidRPr="0090474B">
              <w:rPr>
                <w:rFonts w:ascii="Arial" w:eastAsia="Arial" w:hAnsi="Arial" w:cs="Arial"/>
                <w:sz w:val="22"/>
                <w:szCs w:val="22"/>
              </w:rPr>
              <w:t xml:space="preserve"> </w:t>
            </w:r>
            <w:r w:rsidRPr="0090474B">
              <w:rPr>
                <w:rFonts w:ascii="Arial" w:hAnsi="Arial" w:cs="Arial"/>
                <w:color w:val="000000"/>
                <w:sz w:val="22"/>
                <w:szCs w:val="22"/>
              </w:rPr>
              <w:t>and</w:t>
            </w:r>
            <w:r>
              <w:rPr>
                <w:rFonts w:ascii="Arial" w:hAnsi="Arial" w:cs="Arial"/>
                <w:color w:val="0000FF"/>
                <w:sz w:val="22"/>
                <w:szCs w:val="22"/>
                <w:u w:val="single"/>
              </w:rPr>
              <w:t xml:space="preserve"> </w:t>
            </w:r>
          </w:p>
          <w:p w14:paraId="180A7AE6"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eastAsia="Times New Roman"/>
                <w:kern w:val="0"/>
                <w14:ligatures w14:val="none"/>
              </w:rPr>
            </w:pPr>
            <w:hyperlink r:id="rId46" w:history="1">
              <w:proofErr w:type="spellStart"/>
              <w:r w:rsidRPr="00C06F39">
                <w:rPr>
                  <w:rStyle w:val="Hyperlink"/>
                  <w:rFonts w:ascii="Arial" w:eastAsia="Times New Roman" w:hAnsi="Arial"/>
                  <w:kern w:val="0"/>
                  <w:sz w:val="22"/>
                  <w14:ligatures w14:val="none"/>
                </w:rPr>
                <w:t>i</w:t>
              </w:r>
              <w:proofErr w:type="spellEnd"/>
              <w:r w:rsidRPr="00C06F39">
                <w:rPr>
                  <w:rStyle w:val="Hyperlink"/>
                  <w:rFonts w:ascii="Arial" w:eastAsia="Times New Roman" w:hAnsi="Arial"/>
                  <w:kern w:val="0"/>
                  <w:sz w:val="22"/>
                  <w14:ligatures w14:val="none"/>
                </w:rPr>
                <w:t>-base guides</w:t>
              </w:r>
            </w:hyperlink>
          </w:p>
          <w:p w14:paraId="651995C1" w14:textId="77777777" w:rsidR="00DD05C5" w:rsidRDefault="00DD05C5" w:rsidP="00DD05C5">
            <w:pPr>
              <w:pStyle w:val="Bulletindent1"/>
              <w:rPr>
                <w:rFonts w:eastAsia="Arial"/>
              </w:rPr>
            </w:pPr>
            <w:r w:rsidRPr="000204DC">
              <w:rPr>
                <w:rFonts w:eastAsia="Arial"/>
              </w:rPr>
              <w:t xml:space="preserve">Advise on </w:t>
            </w:r>
            <w:r>
              <w:rPr>
                <w:rFonts w:eastAsia="Arial"/>
                <w:spacing w:val="1"/>
              </w:rPr>
              <w:t>sa</w:t>
            </w:r>
            <w:r w:rsidRPr="000204DC">
              <w:rPr>
                <w:rFonts w:eastAsia="Arial"/>
              </w:rPr>
              <w:t>f</w:t>
            </w:r>
            <w:r w:rsidRPr="000204DC">
              <w:rPr>
                <w:rFonts w:eastAsia="Arial"/>
                <w:spacing w:val="1"/>
              </w:rPr>
              <w:t>e</w:t>
            </w:r>
            <w:r w:rsidRPr="000204DC">
              <w:rPr>
                <w:rFonts w:eastAsia="Arial"/>
              </w:rPr>
              <w:t>r</w:t>
            </w:r>
            <w:r w:rsidRPr="000204DC">
              <w:rPr>
                <w:rFonts w:eastAsia="Arial"/>
                <w:spacing w:val="2"/>
              </w:rPr>
              <w:t xml:space="preserve"> </w:t>
            </w:r>
            <w:r w:rsidRPr="000204DC">
              <w:rPr>
                <w:rFonts w:eastAsia="Arial"/>
              </w:rPr>
              <w:t>s</w:t>
            </w:r>
            <w:r w:rsidRPr="000204DC">
              <w:rPr>
                <w:rFonts w:eastAsia="Arial"/>
                <w:spacing w:val="1"/>
              </w:rPr>
              <w:t>e</w:t>
            </w:r>
            <w:r w:rsidRPr="000204DC">
              <w:rPr>
                <w:rFonts w:eastAsia="Arial"/>
              </w:rPr>
              <w:t>x</w:t>
            </w:r>
            <w:r w:rsidRPr="000204DC">
              <w:rPr>
                <w:rFonts w:eastAsia="Arial"/>
                <w:spacing w:val="-5"/>
              </w:rPr>
              <w:t xml:space="preserve"> </w:t>
            </w:r>
            <w:r w:rsidRPr="000204DC">
              <w:rPr>
                <w:rFonts w:eastAsia="Arial"/>
                <w:spacing w:val="1"/>
              </w:rPr>
              <w:t>an</w:t>
            </w:r>
            <w:r w:rsidRPr="000204DC">
              <w:rPr>
                <w:rFonts w:eastAsia="Arial"/>
              </w:rPr>
              <w:t>d</w:t>
            </w:r>
            <w:r w:rsidRPr="000204DC">
              <w:rPr>
                <w:rFonts w:eastAsia="Arial"/>
                <w:spacing w:val="1"/>
              </w:rPr>
              <w:t xml:space="preserve"> </w:t>
            </w:r>
            <w:r w:rsidRPr="000204DC">
              <w:rPr>
                <w:rFonts w:eastAsia="Arial"/>
              </w:rPr>
              <w:t>c</w:t>
            </w:r>
            <w:r w:rsidRPr="000204DC">
              <w:rPr>
                <w:rFonts w:eastAsia="Arial"/>
                <w:spacing w:val="1"/>
              </w:rPr>
              <w:t>ondo</w:t>
            </w:r>
            <w:r w:rsidRPr="000204DC">
              <w:rPr>
                <w:rFonts w:eastAsia="Arial"/>
              </w:rPr>
              <w:t>m</w:t>
            </w:r>
            <w:r w:rsidRPr="000204DC">
              <w:rPr>
                <w:rFonts w:eastAsia="Arial"/>
                <w:spacing w:val="-8"/>
              </w:rPr>
              <w:t xml:space="preserve"> </w:t>
            </w:r>
            <w:r w:rsidRPr="000204DC">
              <w:rPr>
                <w:rFonts w:eastAsia="Arial"/>
                <w:spacing w:val="1"/>
              </w:rPr>
              <w:t>u</w:t>
            </w:r>
            <w:r w:rsidRPr="000204DC">
              <w:rPr>
                <w:rFonts w:eastAsia="Arial"/>
              </w:rPr>
              <w:t>s</w:t>
            </w:r>
            <w:r w:rsidRPr="000204DC">
              <w:rPr>
                <w:rFonts w:eastAsia="Arial"/>
                <w:spacing w:val="1"/>
              </w:rPr>
              <w:t>e</w:t>
            </w:r>
            <w:r>
              <w:rPr>
                <w:rFonts w:eastAsia="Arial"/>
              </w:rPr>
              <w:t xml:space="preserve"> and</w:t>
            </w:r>
            <w:r w:rsidRPr="000204DC">
              <w:rPr>
                <w:rFonts w:eastAsia="Arial"/>
                <w:spacing w:val="1"/>
              </w:rPr>
              <w:t xml:space="preserve"> </w:t>
            </w:r>
            <w:r w:rsidRPr="000204DC">
              <w:rPr>
                <w:rFonts w:eastAsia="Arial"/>
                <w:spacing w:val="-3"/>
              </w:rPr>
              <w:t>r</w:t>
            </w:r>
            <w:r w:rsidRPr="000204DC">
              <w:rPr>
                <w:rFonts w:eastAsia="Arial"/>
                <w:spacing w:val="4"/>
              </w:rPr>
              <w:t>i</w:t>
            </w:r>
            <w:r w:rsidRPr="000204DC">
              <w:rPr>
                <w:rFonts w:eastAsia="Arial"/>
              </w:rPr>
              <w:t xml:space="preserve">sk </w:t>
            </w:r>
            <w:r w:rsidRPr="000204DC">
              <w:rPr>
                <w:rFonts w:eastAsia="Arial"/>
                <w:spacing w:val="1"/>
              </w:rPr>
              <w:t>o</w:t>
            </w:r>
            <w:r w:rsidRPr="000204DC">
              <w:rPr>
                <w:rFonts w:eastAsia="Arial"/>
              </w:rPr>
              <w:t>f</w:t>
            </w:r>
            <w:r w:rsidRPr="000204DC">
              <w:rPr>
                <w:rFonts w:eastAsia="Arial"/>
                <w:spacing w:val="1"/>
              </w:rPr>
              <w:t xml:space="preserve"> </w:t>
            </w:r>
            <w:r w:rsidRPr="000204DC">
              <w:rPr>
                <w:rFonts w:eastAsia="Arial"/>
                <w:spacing w:val="-4"/>
              </w:rPr>
              <w:t>o</w:t>
            </w:r>
            <w:r w:rsidRPr="000204DC">
              <w:rPr>
                <w:rFonts w:eastAsia="Arial"/>
              </w:rPr>
              <w:t>t</w:t>
            </w:r>
            <w:r w:rsidRPr="000204DC">
              <w:rPr>
                <w:rFonts w:eastAsia="Arial"/>
                <w:spacing w:val="1"/>
              </w:rPr>
              <w:t>he</w:t>
            </w:r>
            <w:r w:rsidRPr="000204DC">
              <w:rPr>
                <w:rFonts w:eastAsia="Arial"/>
              </w:rPr>
              <w:t>r</w:t>
            </w:r>
            <w:r w:rsidRPr="000204DC">
              <w:rPr>
                <w:rFonts w:eastAsia="Arial"/>
                <w:spacing w:val="2"/>
              </w:rPr>
              <w:t xml:space="preserve"> ST</w:t>
            </w:r>
            <w:r w:rsidRPr="000204DC">
              <w:rPr>
                <w:rFonts w:eastAsia="Arial"/>
              </w:rPr>
              <w:t>Is</w:t>
            </w:r>
            <w:r>
              <w:rPr>
                <w:rFonts w:eastAsia="Arial"/>
              </w:rPr>
              <w:t xml:space="preserve">. </w:t>
            </w:r>
            <w:proofErr w:type="spellStart"/>
            <w:r w:rsidRPr="00D123E8">
              <w:rPr>
                <w:rFonts w:eastAsia="Arial"/>
              </w:rPr>
              <w:t>PrEP</w:t>
            </w:r>
            <w:proofErr w:type="spellEnd"/>
            <w:r w:rsidRPr="00D123E8">
              <w:rPr>
                <w:rFonts w:eastAsia="Arial"/>
              </w:rPr>
              <w:t xml:space="preserve"> provision should include condom provision and behavioural support</w:t>
            </w:r>
          </w:p>
          <w:p w14:paraId="219302E7" w14:textId="77777777" w:rsidR="00DD05C5" w:rsidRPr="00D123E8" w:rsidRDefault="00DD05C5" w:rsidP="00DD05C5">
            <w:pPr>
              <w:pStyle w:val="Bulletindent1"/>
              <w:rPr>
                <w:rFonts w:eastAsia="Arial"/>
              </w:rPr>
            </w:pPr>
            <w:r>
              <w:rPr>
                <w:rFonts w:eastAsia="Arial"/>
              </w:rPr>
              <w:t xml:space="preserve">Advise that </w:t>
            </w:r>
            <w:proofErr w:type="spellStart"/>
            <w:r>
              <w:rPr>
                <w:rFonts w:eastAsia="Arial"/>
              </w:rPr>
              <w:t>PrEP</w:t>
            </w:r>
            <w:proofErr w:type="spellEnd"/>
            <w:r>
              <w:rPr>
                <w:rFonts w:eastAsia="Arial"/>
              </w:rPr>
              <w:t xml:space="preserve"> is not a contraceptive</w:t>
            </w:r>
          </w:p>
          <w:p w14:paraId="1FE32014" w14:textId="77777777" w:rsidR="00DD05C5" w:rsidRPr="005531A1" w:rsidRDefault="00DD05C5" w:rsidP="00DD05C5">
            <w:pPr>
              <w:pStyle w:val="Bulletindent1"/>
              <w:rPr>
                <w:rFonts w:eastAsia="Calibri-Bold"/>
                <w:bCs/>
              </w:rPr>
            </w:pPr>
            <w:r w:rsidRPr="00E95CED">
              <w:rPr>
                <w:rFonts w:eastAsia="Arial"/>
              </w:rPr>
              <w:t xml:space="preserve">Advise on the importance of regular 3-6 monthly HIV testing and </w:t>
            </w:r>
            <w:r w:rsidRPr="006D5AB3">
              <w:rPr>
                <w:rFonts w:eastAsia="Arial"/>
              </w:rPr>
              <w:t>3</w:t>
            </w:r>
            <w:r>
              <w:rPr>
                <w:rFonts w:eastAsia="Arial"/>
              </w:rPr>
              <w:t>-6</w:t>
            </w:r>
            <w:r w:rsidRPr="006D5AB3">
              <w:rPr>
                <w:rFonts w:eastAsia="Arial"/>
              </w:rPr>
              <w:t xml:space="preserve"> monthly STI</w:t>
            </w:r>
            <w:r w:rsidRPr="00E77BA3">
              <w:rPr>
                <w:rFonts w:eastAsia="Calibri"/>
                <w:vertAlign w:val="superscript"/>
              </w:rPr>
              <w:t>†</w:t>
            </w:r>
            <w:r w:rsidRPr="006D5AB3">
              <w:rPr>
                <w:rFonts w:eastAsia="Arial"/>
              </w:rPr>
              <w:t xml:space="preserve"> </w:t>
            </w:r>
            <w:r w:rsidRPr="00A5146E">
              <w:rPr>
                <w:rFonts w:eastAsia="Arial"/>
              </w:rPr>
              <w:t>testing if new or multiple sexual partners</w:t>
            </w:r>
            <w:r w:rsidRPr="00E95CED">
              <w:rPr>
                <w:rFonts w:eastAsia="Arial"/>
              </w:rPr>
              <w:t xml:space="preserve"> </w:t>
            </w:r>
            <w:r w:rsidRPr="00E95CED">
              <w:rPr>
                <w:color w:val="000000"/>
              </w:rPr>
              <w:t>(either face-to-face or online).</w:t>
            </w:r>
            <w:r>
              <w:rPr>
                <w:color w:val="000000"/>
              </w:rPr>
              <w:t xml:space="preserve"> </w:t>
            </w:r>
          </w:p>
          <w:p w14:paraId="3DCE5035" w14:textId="77777777" w:rsidR="00DD05C5" w:rsidRPr="006D5AB3" w:rsidRDefault="00DD05C5" w:rsidP="00DD05C5">
            <w:pPr>
              <w:pStyle w:val="Bulletindent1"/>
              <w:rPr>
                <w:rFonts w:eastAsia="Calibri-Bold"/>
              </w:rPr>
            </w:pPr>
            <w:r w:rsidRPr="00E95CED">
              <w:rPr>
                <w:rFonts w:eastAsia="Calibri-Bold"/>
              </w:rPr>
              <w:t>Information should be provided to all individuals</w:t>
            </w:r>
            <w:r w:rsidRPr="006D5AB3">
              <w:rPr>
                <w:rFonts w:eastAsia="Calibri-Bold"/>
              </w:rPr>
              <w:t xml:space="preserve"> on:</w:t>
            </w:r>
          </w:p>
          <w:p w14:paraId="2EE7CBF6" w14:textId="77777777" w:rsidR="00DD05C5" w:rsidRDefault="00DD05C5" w:rsidP="00DD05C5">
            <w:pPr>
              <w:numPr>
                <w:ilvl w:val="1"/>
                <w:numId w:val="15"/>
              </w:numPr>
              <w:rPr>
                <w:rFonts w:ascii="Arial" w:eastAsia="Calibri-Bold" w:hAnsi="Arial" w:cs="Arial"/>
                <w:bCs/>
                <w:sz w:val="22"/>
                <w:szCs w:val="22"/>
              </w:rPr>
            </w:pPr>
            <w:proofErr w:type="spellStart"/>
            <w:r w:rsidRPr="00383B22">
              <w:rPr>
                <w:rFonts w:ascii="Arial" w:eastAsia="Calibri-Bold" w:hAnsi="Arial" w:cs="Arial"/>
                <w:bCs/>
                <w:sz w:val="22"/>
                <w:szCs w:val="22"/>
              </w:rPr>
              <w:t>PrEP</w:t>
            </w:r>
            <w:proofErr w:type="spellEnd"/>
            <w:r w:rsidRPr="00383B22">
              <w:rPr>
                <w:rFonts w:ascii="Arial" w:eastAsia="Calibri-Bold" w:hAnsi="Arial" w:cs="Arial"/>
                <w:bCs/>
                <w:sz w:val="22"/>
                <w:szCs w:val="22"/>
              </w:rPr>
              <w:t xml:space="preserve"> medication dose and schedule</w:t>
            </w:r>
          </w:p>
          <w:p w14:paraId="0D886A85" w14:textId="77777777" w:rsidR="00DD05C5" w:rsidRDefault="00DD05C5" w:rsidP="00DD05C5">
            <w:pPr>
              <w:numPr>
                <w:ilvl w:val="1"/>
                <w:numId w:val="15"/>
              </w:numPr>
              <w:rPr>
                <w:rFonts w:ascii="Arial" w:eastAsia="Calibri-Bold" w:hAnsi="Arial" w:cs="Arial"/>
                <w:bCs/>
                <w:sz w:val="22"/>
                <w:szCs w:val="22"/>
              </w:rPr>
            </w:pPr>
            <w:r w:rsidRPr="005531A1">
              <w:rPr>
                <w:rFonts w:ascii="Arial" w:eastAsia="Calibri-Bold" w:hAnsi="Arial" w:cs="Arial"/>
                <w:bCs/>
                <w:sz w:val="22"/>
                <w:szCs w:val="22"/>
              </w:rPr>
              <w:t>When HIV post-exposure prophylaxis</w:t>
            </w:r>
            <w:r>
              <w:rPr>
                <w:rFonts w:ascii="Arial" w:eastAsia="Calibri-Bold" w:hAnsi="Arial" w:cs="Arial"/>
                <w:bCs/>
                <w:sz w:val="22"/>
                <w:szCs w:val="22"/>
              </w:rPr>
              <w:t xml:space="preserve"> </w:t>
            </w:r>
            <w:r w:rsidRPr="005531A1">
              <w:rPr>
                <w:rFonts w:ascii="Arial" w:eastAsia="Calibri-Bold" w:hAnsi="Arial" w:cs="Arial"/>
                <w:bCs/>
                <w:sz w:val="22"/>
                <w:szCs w:val="22"/>
              </w:rPr>
              <w:t xml:space="preserve">(PEP) is needed following missed </w:t>
            </w:r>
            <w:proofErr w:type="spellStart"/>
            <w:r w:rsidRPr="005531A1">
              <w:rPr>
                <w:rFonts w:ascii="Arial" w:eastAsia="Calibri-Bold" w:hAnsi="Arial" w:cs="Arial"/>
                <w:bCs/>
                <w:sz w:val="22"/>
                <w:szCs w:val="22"/>
              </w:rPr>
              <w:t>PrEP</w:t>
            </w:r>
            <w:proofErr w:type="spellEnd"/>
            <w:r w:rsidRPr="005531A1">
              <w:rPr>
                <w:rFonts w:ascii="Arial" w:eastAsia="Calibri-Bold" w:hAnsi="Arial" w:cs="Arial"/>
                <w:bCs/>
                <w:sz w:val="22"/>
                <w:szCs w:val="22"/>
              </w:rPr>
              <w:t xml:space="preserve"> doses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how to access PEP</w:t>
            </w:r>
          </w:p>
          <w:p w14:paraId="456B351A" w14:textId="77777777" w:rsidR="00DD05C5" w:rsidRPr="005531A1" w:rsidRDefault="00DD05C5" w:rsidP="00DD05C5">
            <w:pPr>
              <w:numPr>
                <w:ilvl w:val="1"/>
                <w:numId w:val="15"/>
              </w:numPr>
              <w:rPr>
                <w:rFonts w:ascii="Arial" w:eastAsia="Calibri-Bold" w:hAnsi="Arial" w:cs="Arial"/>
                <w:bCs/>
                <w:sz w:val="22"/>
                <w:szCs w:val="22"/>
              </w:rPr>
            </w:pPr>
            <w:r w:rsidRPr="005531A1">
              <w:rPr>
                <w:rFonts w:ascii="Arial" w:eastAsia="Calibri-Bold" w:hAnsi="Arial" w:cs="Arial"/>
                <w:bCs/>
                <w:sz w:val="22"/>
                <w:szCs w:val="22"/>
              </w:rPr>
              <w:t xml:space="preserve">Lead-in time to protection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duration it needs to be taken for after last risk exposure to ensure protection </w:t>
            </w:r>
          </w:p>
          <w:p w14:paraId="3CE0F68B" w14:textId="77777777" w:rsidR="00DD05C5" w:rsidRPr="00383B22" w:rsidRDefault="00DD05C5" w:rsidP="00DD05C5">
            <w:pPr>
              <w:numPr>
                <w:ilvl w:val="1"/>
                <w:numId w:val="15"/>
              </w:numPr>
              <w:rPr>
                <w:rFonts w:ascii="Arial" w:eastAsia="Calibri-Bold" w:hAnsi="Arial" w:cs="Arial"/>
                <w:bCs/>
                <w:sz w:val="22"/>
                <w:szCs w:val="22"/>
              </w:rPr>
            </w:pPr>
            <w:r w:rsidRPr="002E3514">
              <w:rPr>
                <w:rFonts w:ascii="Arial" w:eastAsia="Calibri-Bold" w:hAnsi="Arial" w:cs="Arial"/>
                <w:bCs/>
                <w:sz w:val="22"/>
                <w:szCs w:val="22"/>
              </w:rPr>
              <w:t xml:space="preserve">Relationship of adherence to </w:t>
            </w:r>
            <w:proofErr w:type="spellStart"/>
            <w:r w:rsidRPr="002E3514">
              <w:rPr>
                <w:rFonts w:ascii="Arial" w:eastAsia="Calibri-Bold" w:hAnsi="Arial" w:cs="Arial"/>
                <w:bCs/>
                <w:sz w:val="22"/>
                <w:szCs w:val="22"/>
              </w:rPr>
              <w:t>PrEP</w:t>
            </w:r>
            <w:proofErr w:type="spellEnd"/>
            <w:r w:rsidRPr="002E3514">
              <w:rPr>
                <w:rFonts w:ascii="Arial" w:eastAsia="Calibri-Bold" w:hAnsi="Arial" w:cs="Arial"/>
                <w:bCs/>
                <w:sz w:val="22"/>
                <w:szCs w:val="22"/>
              </w:rPr>
              <w:t xml:space="preserve"> efficacy</w:t>
            </w:r>
          </w:p>
          <w:p w14:paraId="1D5F1302" w14:textId="77777777" w:rsidR="00DD05C5" w:rsidRDefault="00DD05C5" w:rsidP="00DD05C5">
            <w:pPr>
              <w:numPr>
                <w:ilvl w:val="1"/>
                <w:numId w:val="15"/>
              </w:numPr>
              <w:rPr>
                <w:rFonts w:ascii="Arial" w:eastAsia="Calibri-Bold" w:hAnsi="Arial" w:cs="Arial"/>
                <w:bCs/>
                <w:sz w:val="22"/>
                <w:szCs w:val="22"/>
              </w:rPr>
            </w:pPr>
            <w:r w:rsidRPr="002E3514">
              <w:rPr>
                <w:rFonts w:ascii="Arial" w:eastAsia="Calibri-Bold" w:hAnsi="Arial" w:cs="Arial"/>
                <w:bCs/>
                <w:sz w:val="22"/>
                <w:szCs w:val="22"/>
              </w:rPr>
              <w:t>Risks of HIV infection and antiretroviral resistance from suboptimal adherence</w:t>
            </w:r>
          </w:p>
          <w:p w14:paraId="1B0CE090" w14:textId="1456A304" w:rsidR="00DD05C5" w:rsidRPr="00383B22" w:rsidRDefault="00DD05C5" w:rsidP="00DD05C5">
            <w:pPr>
              <w:numPr>
                <w:ilvl w:val="1"/>
                <w:numId w:val="15"/>
              </w:numPr>
              <w:rPr>
                <w:rFonts w:ascii="Arial" w:eastAsia="Calibri-Bold" w:hAnsi="Arial" w:cs="Arial"/>
                <w:bCs/>
                <w:sz w:val="22"/>
                <w:szCs w:val="22"/>
              </w:rPr>
            </w:pPr>
            <w:r w:rsidRPr="002E3514">
              <w:rPr>
                <w:rFonts w:eastAsia="Calibri-Bold"/>
              </w:rPr>
              <w:lastRenderedPageBreak/>
              <w:t>Symptoms of HIV seroconversion that require assessment</w:t>
            </w:r>
          </w:p>
          <w:p w14:paraId="3BAC5B03" w14:textId="4A7F651B" w:rsidR="00DD05C5" w:rsidRPr="00DD05C5" w:rsidRDefault="00DD05C5" w:rsidP="00DD05C5">
            <w:pPr>
              <w:pStyle w:val="Bulletindent1"/>
              <w:numPr>
                <w:ilvl w:val="0"/>
                <w:numId w:val="0"/>
              </w:numPr>
              <w:rPr>
                <w:rFonts w:eastAsia="Arial"/>
              </w:rPr>
            </w:pPr>
          </w:p>
        </w:tc>
      </w:tr>
      <w:tr w:rsidR="00DD05C5" w14:paraId="54DE4391" w14:textId="77777777" w:rsidTr="00DD05C5">
        <w:tc>
          <w:tcPr>
            <w:tcW w:w="3566" w:type="dxa"/>
          </w:tcPr>
          <w:p w14:paraId="2D5F3823" w14:textId="6AFC15F7" w:rsidR="00DD05C5" w:rsidRPr="00544444" w:rsidRDefault="00DD05C5" w:rsidP="00DD05C5">
            <w:pPr>
              <w:rPr>
                <w:rStyle w:val="TableHeaderColumn"/>
                <w:sz w:val="22"/>
              </w:rPr>
            </w:pPr>
            <w:r>
              <w:rPr>
                <w:rStyle w:val="TableHeaderColumn"/>
                <w:sz w:val="22"/>
              </w:rPr>
              <w:lastRenderedPageBreak/>
              <w:t>F</w:t>
            </w:r>
            <w:r w:rsidRPr="00544444">
              <w:rPr>
                <w:rStyle w:val="TableHeaderColumn"/>
                <w:sz w:val="22"/>
              </w:rPr>
              <w:t>ollow up treatment</w:t>
            </w:r>
          </w:p>
        </w:tc>
        <w:tc>
          <w:tcPr>
            <w:tcW w:w="4934" w:type="dxa"/>
          </w:tcPr>
          <w:p w14:paraId="38F973DA" w14:textId="63E38456" w:rsidR="00DD05C5" w:rsidRPr="00C06F39" w:rsidRDefault="00DD05C5" w:rsidP="00DD05C5">
            <w:pPr>
              <w:pStyle w:val="Tabletext"/>
              <w:rPr>
                <w:b/>
                <w:bCs/>
              </w:rPr>
            </w:pPr>
            <w:r>
              <w:rPr>
                <w:highlight w:val="cyan"/>
              </w:rPr>
              <w:t>[</w:t>
            </w:r>
            <w:r w:rsidRPr="00B514C7">
              <w:rPr>
                <w:highlight w:val="cyan"/>
              </w:rPr>
              <w:t>Follow up with the individual should be arranged in line with local processes</w:t>
            </w:r>
            <w:r>
              <w:t>]</w:t>
            </w:r>
            <w:r w:rsidRPr="00B514C7">
              <w:t xml:space="preserve"> </w:t>
            </w:r>
          </w:p>
        </w:tc>
      </w:tr>
      <w:tr w:rsidR="00DD05C5" w14:paraId="30F96CE9" w14:textId="77777777" w:rsidTr="00DD05C5">
        <w:tc>
          <w:tcPr>
            <w:tcW w:w="3566" w:type="dxa"/>
          </w:tcPr>
          <w:p w14:paraId="4CA758DD" w14:textId="1F3182D0" w:rsidR="00DD05C5" w:rsidRPr="00544444" w:rsidRDefault="00DD05C5" w:rsidP="00DD05C5">
            <w:pPr>
              <w:rPr>
                <w:rStyle w:val="TableHeaderColumn"/>
                <w:sz w:val="22"/>
              </w:rPr>
            </w:pPr>
            <w:r>
              <w:rPr>
                <w:rFonts w:cs="Arial"/>
                <w:b/>
                <w:sz w:val="22"/>
                <w:szCs w:val="22"/>
              </w:rPr>
              <w:t xml:space="preserve">Other arrangements </w:t>
            </w:r>
          </w:p>
        </w:tc>
        <w:tc>
          <w:tcPr>
            <w:tcW w:w="4934" w:type="dxa"/>
          </w:tcPr>
          <w:p w14:paraId="497438CF" w14:textId="2EEF91E2" w:rsidR="00DD05C5" w:rsidRPr="00DD05C5" w:rsidRDefault="00DD05C5" w:rsidP="00DD05C5">
            <w:pPr>
              <w:pStyle w:val="TableParagraph"/>
              <w:numPr>
                <w:ilvl w:val="0"/>
                <w:numId w:val="51"/>
              </w:numPr>
              <w:spacing w:after="0" w:line="240" w:lineRule="auto"/>
              <w:rPr>
                <w:rFonts w:ascii="Arial" w:hAnsi="Arial" w:cs="Arial"/>
                <w:iCs/>
                <w:sz w:val="22"/>
                <w:szCs w:val="22"/>
                <w:highlight w:val="cyan"/>
                <w:lang w:val="en-GB"/>
              </w:rPr>
            </w:pPr>
            <w:r w:rsidRPr="00DD05C5">
              <w:rPr>
                <w:rFonts w:ascii="Arial" w:hAnsi="Arial" w:cs="Arial"/>
                <w:iCs/>
                <w:sz w:val="22"/>
                <w:szCs w:val="22"/>
                <w:highlight w:val="cyan"/>
                <w:lang w:val="en-GB"/>
              </w:rPr>
              <w:t xml:space="preserve">Discuss individual at local MDT (as per the </w:t>
            </w:r>
            <w:hyperlink r:id="rId47" w:history="1">
              <w:r w:rsidRPr="00DD05C5">
                <w:rPr>
                  <w:rStyle w:val="Hyperlink"/>
                  <w:rFonts w:ascii="Arial" w:hAnsi="Arial" w:cs="Arial"/>
                  <w:sz w:val="22"/>
                  <w:szCs w:val="22"/>
                  <w:highlight w:val="cyan"/>
                </w:rPr>
                <w:t>NHS England Clinical Commissioning Policy for the use of generic and second line drugs for Pre Exposure Prophylaxis (</w:t>
              </w:r>
              <w:proofErr w:type="spellStart"/>
              <w:r w:rsidRPr="00DD05C5">
                <w:rPr>
                  <w:rStyle w:val="Hyperlink"/>
                  <w:rFonts w:ascii="Arial" w:hAnsi="Arial" w:cs="Arial"/>
                  <w:sz w:val="22"/>
                  <w:szCs w:val="22"/>
                  <w:highlight w:val="cyan"/>
                </w:rPr>
                <w:t>PrEP</w:t>
              </w:r>
              <w:proofErr w:type="spellEnd"/>
              <w:r w:rsidRPr="00DD05C5">
                <w:rPr>
                  <w:rStyle w:val="Hyperlink"/>
                  <w:rFonts w:ascii="Arial" w:hAnsi="Arial" w:cs="Arial"/>
                  <w:sz w:val="22"/>
                  <w:szCs w:val="22"/>
                  <w:highlight w:val="cyan"/>
                </w:rPr>
                <w:t>) for the prevention of HIV</w:t>
              </w:r>
            </w:hyperlink>
            <w:r w:rsidRPr="00DD05C5">
              <w:rPr>
                <w:rFonts w:ascii="Arial" w:hAnsi="Arial" w:cs="Arial"/>
                <w:sz w:val="22"/>
                <w:szCs w:val="22"/>
                <w:highlight w:val="cyan"/>
              </w:rPr>
              <w:t>)</w:t>
            </w:r>
            <w:r w:rsidRPr="00DD05C5">
              <w:rPr>
                <w:rFonts w:ascii="Arial" w:hAnsi="Arial" w:cs="Arial"/>
                <w:iCs/>
                <w:sz w:val="22"/>
                <w:szCs w:val="22"/>
                <w:highlight w:val="cyan"/>
                <w:lang w:val="en-GB"/>
              </w:rPr>
              <w:t xml:space="preserve">) </w:t>
            </w:r>
          </w:p>
          <w:p w14:paraId="4B08F059" w14:textId="0AB42F79" w:rsidR="00DD05C5" w:rsidRPr="00C06F39" w:rsidRDefault="00DD05C5" w:rsidP="00DD05C5">
            <w:pPr>
              <w:pStyle w:val="Tabletext"/>
              <w:numPr>
                <w:ilvl w:val="0"/>
                <w:numId w:val="51"/>
              </w:numPr>
              <w:rPr>
                <w:b/>
                <w:bCs/>
              </w:rPr>
            </w:pPr>
            <w:r>
              <w:rPr>
                <w:rFonts w:cs="Arial"/>
                <w:iCs/>
                <w:highlight w:val="cyan"/>
                <w:lang w:val="en-GB"/>
              </w:rPr>
              <w:t>Complete appropriate prior approval (</w:t>
            </w:r>
            <w:proofErr w:type="spellStart"/>
            <w:r>
              <w:rPr>
                <w:rFonts w:cs="Arial"/>
                <w:iCs/>
                <w:highlight w:val="cyan"/>
                <w:lang w:val="en-GB"/>
              </w:rPr>
              <w:t>Blueteq</w:t>
            </w:r>
            <w:proofErr w:type="spellEnd"/>
            <w:r>
              <w:rPr>
                <w:rFonts w:cs="Arial"/>
                <w:iCs/>
                <w:highlight w:val="cyan"/>
                <w:lang w:val="en-GB"/>
              </w:rPr>
              <w:t>) form</w:t>
            </w:r>
          </w:p>
        </w:tc>
      </w:tr>
      <w:tr w:rsidR="00DD05C5" w14:paraId="192CF80E" w14:textId="77777777" w:rsidTr="00DD05C5">
        <w:tc>
          <w:tcPr>
            <w:tcW w:w="3566" w:type="dxa"/>
          </w:tcPr>
          <w:p w14:paraId="0DEFF6B8" w14:textId="245335E8" w:rsidR="00DD05C5" w:rsidRDefault="00DD05C5" w:rsidP="00DD05C5">
            <w:pPr>
              <w:rPr>
                <w:rFonts w:cs="Arial"/>
                <w:b/>
                <w:sz w:val="22"/>
                <w:szCs w:val="22"/>
              </w:rPr>
            </w:pPr>
            <w:r w:rsidRPr="00544444">
              <w:rPr>
                <w:rStyle w:val="TableHeaderColumn"/>
                <w:sz w:val="22"/>
              </w:rPr>
              <w:t>Records to be kept</w:t>
            </w:r>
          </w:p>
        </w:tc>
        <w:tc>
          <w:tcPr>
            <w:tcW w:w="4934" w:type="dxa"/>
          </w:tcPr>
          <w:p w14:paraId="2B8B34BD" w14:textId="77777777" w:rsidR="00DD05C5" w:rsidRPr="00D720D4" w:rsidRDefault="00DD05C5" w:rsidP="00DD05C5">
            <w:pPr>
              <w:widowControl w:val="0"/>
              <w:overflowPunct w:val="0"/>
              <w:autoSpaceDE w:val="0"/>
              <w:autoSpaceDN w:val="0"/>
              <w:adjustRightInd w:val="0"/>
              <w:textAlignment w:val="baseline"/>
              <w:rPr>
                <w:rFonts w:ascii="Arial" w:hAnsi="Arial" w:cs="Arial"/>
                <w:iCs/>
                <w:sz w:val="22"/>
              </w:rPr>
            </w:pPr>
            <w:r w:rsidRPr="00D720D4">
              <w:rPr>
                <w:rFonts w:ascii="Arial" w:hAnsi="Arial" w:cs="Arial"/>
                <w:iCs/>
                <w:sz w:val="22"/>
              </w:rPr>
              <w:t>Appropriate records must include the following:</w:t>
            </w:r>
          </w:p>
          <w:p w14:paraId="1672F48E" w14:textId="77777777" w:rsidR="00DD05C5" w:rsidRDefault="00DD05C5" w:rsidP="00DD05C5">
            <w:pPr>
              <w:widowControl w:val="0"/>
              <w:overflowPunct w:val="0"/>
              <w:autoSpaceDE w:val="0"/>
              <w:autoSpaceDN w:val="0"/>
              <w:adjustRightInd w:val="0"/>
              <w:ind w:left="360"/>
              <w:contextualSpacing/>
              <w:textAlignment w:val="baseline"/>
              <w:rPr>
                <w:rFonts w:ascii="Arial" w:hAnsi="Arial" w:cs="Arial"/>
                <w:color w:val="000000"/>
                <w:sz w:val="22"/>
              </w:rPr>
            </w:pPr>
          </w:p>
          <w:p w14:paraId="531CA069" w14:textId="77777777" w:rsidR="00DD05C5" w:rsidRDefault="00DD05C5" w:rsidP="00DD05C5">
            <w:pPr>
              <w:widowControl w:val="0"/>
              <w:numPr>
                <w:ilvl w:val="0"/>
                <w:numId w:val="52"/>
              </w:numPr>
              <w:overflowPunct w:val="0"/>
              <w:autoSpaceDE w:val="0"/>
              <w:autoSpaceDN w:val="0"/>
              <w:adjustRightInd w:val="0"/>
              <w:spacing w:after="0" w:line="240" w:lineRule="auto"/>
              <w:contextualSpacing/>
              <w:textAlignment w:val="baseline"/>
              <w:rPr>
                <w:rFonts w:ascii="Arial" w:hAnsi="Arial" w:cs="Arial"/>
                <w:color w:val="000000"/>
                <w:sz w:val="22"/>
              </w:rPr>
            </w:pPr>
            <w:r>
              <w:rPr>
                <w:rFonts w:ascii="Arial" w:hAnsi="Arial" w:cs="Arial"/>
                <w:color w:val="000000"/>
                <w:sz w:val="22"/>
              </w:rPr>
              <w:t>The consent of the individual and</w:t>
            </w:r>
          </w:p>
          <w:p w14:paraId="0C42B829" w14:textId="77777777" w:rsidR="00DD05C5" w:rsidRDefault="00DD05C5" w:rsidP="00DD05C5">
            <w:pPr>
              <w:widowControl w:val="0"/>
              <w:numPr>
                <w:ilvl w:val="1"/>
                <w:numId w:val="52"/>
              </w:numPr>
              <w:overflowPunct w:val="0"/>
              <w:autoSpaceDE w:val="0"/>
              <w:autoSpaceDN w:val="0"/>
              <w:adjustRightInd w:val="0"/>
              <w:spacing w:after="0" w:line="240" w:lineRule="auto"/>
              <w:contextualSpacing/>
              <w:textAlignment w:val="baseline"/>
              <w:rPr>
                <w:rFonts w:ascii="Arial" w:hAnsi="Arial" w:cs="Arial"/>
                <w:color w:val="000000"/>
                <w:sz w:val="22"/>
              </w:rPr>
            </w:pPr>
            <w:r>
              <w:rPr>
                <w:rFonts w:ascii="Arial" w:hAnsi="Arial" w:cs="Arial"/>
                <w:color w:val="000000"/>
                <w:sz w:val="22"/>
              </w:rPr>
              <w:t xml:space="preserve">If individual is under 16 years of age document capacity using Fraser guidelines.  If </w:t>
            </w:r>
            <w:proofErr w:type="gramStart"/>
            <w:r>
              <w:rPr>
                <w:rFonts w:ascii="Arial" w:hAnsi="Arial" w:cs="Arial"/>
                <w:color w:val="000000"/>
                <w:sz w:val="22"/>
              </w:rPr>
              <w:t>not</w:t>
            </w:r>
            <w:proofErr w:type="gramEnd"/>
            <w:r>
              <w:rPr>
                <w:rFonts w:ascii="Arial" w:hAnsi="Arial" w:cs="Arial"/>
                <w:color w:val="000000"/>
                <w:sz w:val="22"/>
              </w:rPr>
              <w:t xml:space="preserve"> competent record action taken.  </w:t>
            </w:r>
          </w:p>
          <w:p w14:paraId="769FB277" w14:textId="77777777" w:rsidR="00DD05C5" w:rsidRDefault="00DD05C5" w:rsidP="00DD05C5">
            <w:pPr>
              <w:widowControl w:val="0"/>
              <w:numPr>
                <w:ilvl w:val="1"/>
                <w:numId w:val="52"/>
              </w:numPr>
              <w:overflowPunct w:val="0"/>
              <w:autoSpaceDE w:val="0"/>
              <w:autoSpaceDN w:val="0"/>
              <w:adjustRightInd w:val="0"/>
              <w:spacing w:after="0" w:line="240" w:lineRule="auto"/>
              <w:contextualSpacing/>
              <w:textAlignment w:val="baseline"/>
              <w:rPr>
                <w:rFonts w:ascii="Arial" w:hAnsi="Arial" w:cs="Arial"/>
                <w:color w:val="000000"/>
                <w:sz w:val="22"/>
              </w:rPr>
            </w:pPr>
            <w:r>
              <w:rPr>
                <w:rFonts w:ascii="Arial" w:hAnsi="Arial" w:cs="Arial"/>
                <w:color w:val="000000"/>
                <w:sz w:val="22"/>
              </w:rPr>
              <w:t>If individual over 16 years of age and not competent, record action taken</w:t>
            </w:r>
          </w:p>
          <w:p w14:paraId="133B1A50" w14:textId="77777777" w:rsidR="00DD05C5" w:rsidRPr="00B514C7" w:rsidRDefault="00DD05C5" w:rsidP="00DD05C5">
            <w:pPr>
              <w:pStyle w:val="Bulletindent1"/>
              <w:numPr>
                <w:ilvl w:val="0"/>
                <w:numId w:val="52"/>
              </w:numPr>
              <w:rPr>
                <w:iCs/>
              </w:rPr>
            </w:pPr>
            <w:r w:rsidRPr="00B514C7">
              <w:rPr>
                <w:iCs/>
              </w:rPr>
              <w:t xml:space="preserve">Name of individual, address, date of birth </w:t>
            </w:r>
          </w:p>
          <w:p w14:paraId="5D6D2C6D" w14:textId="77777777" w:rsidR="00DD05C5" w:rsidRPr="00B514C7" w:rsidRDefault="00DD05C5" w:rsidP="00DD05C5">
            <w:pPr>
              <w:pStyle w:val="Bulletindent1"/>
              <w:numPr>
                <w:ilvl w:val="0"/>
                <w:numId w:val="52"/>
              </w:numPr>
              <w:rPr>
                <w:iCs/>
              </w:rPr>
            </w:pPr>
            <w:r w:rsidRPr="00B514C7">
              <w:rPr>
                <w:iCs/>
              </w:rPr>
              <w:t>GP contact details where appropriate</w:t>
            </w:r>
          </w:p>
          <w:p w14:paraId="404E48BC" w14:textId="77777777" w:rsidR="00DD05C5" w:rsidRPr="00B514C7" w:rsidRDefault="00DD05C5" w:rsidP="00DD05C5">
            <w:pPr>
              <w:pStyle w:val="Bulletindent1"/>
              <w:numPr>
                <w:ilvl w:val="0"/>
                <w:numId w:val="52"/>
              </w:numPr>
              <w:rPr>
                <w:iCs/>
              </w:rPr>
            </w:pPr>
            <w:r w:rsidRPr="00B514C7">
              <w:rPr>
                <w:iCs/>
              </w:rPr>
              <w:t>Relevant past and present medical history</w:t>
            </w:r>
          </w:p>
          <w:p w14:paraId="164926CC" w14:textId="77777777" w:rsidR="00DD05C5" w:rsidRPr="00B514C7" w:rsidRDefault="00DD05C5" w:rsidP="00DD05C5">
            <w:pPr>
              <w:pStyle w:val="Bulletindent1"/>
              <w:numPr>
                <w:ilvl w:val="0"/>
                <w:numId w:val="52"/>
              </w:numPr>
              <w:rPr>
                <w:iCs/>
              </w:rPr>
            </w:pPr>
            <w:r w:rsidRPr="00B514C7">
              <w:rPr>
                <w:iCs/>
              </w:rPr>
              <w:t xml:space="preserve">Relevant medication history (to include over the counter, herbal medications, supplements and recreational drug use).  </w:t>
            </w:r>
          </w:p>
          <w:p w14:paraId="0F621310" w14:textId="77777777" w:rsidR="00DD05C5" w:rsidRPr="00B514C7" w:rsidRDefault="00DD05C5" w:rsidP="00DD05C5">
            <w:pPr>
              <w:pStyle w:val="Bulletindent1"/>
              <w:numPr>
                <w:ilvl w:val="0"/>
                <w:numId w:val="52"/>
              </w:numPr>
              <w:rPr>
                <w:iCs/>
              </w:rPr>
            </w:pPr>
            <w:r w:rsidRPr="00B514C7">
              <w:rPr>
                <w:iCs/>
              </w:rPr>
              <w:t xml:space="preserve">Examination or microbiology finding/s where relevant.  </w:t>
            </w:r>
          </w:p>
          <w:p w14:paraId="40821412" w14:textId="77777777" w:rsidR="00DD05C5" w:rsidRPr="00B514C7" w:rsidRDefault="00DD05C5" w:rsidP="00DD05C5">
            <w:pPr>
              <w:pStyle w:val="Bulletindent1"/>
              <w:numPr>
                <w:ilvl w:val="0"/>
                <w:numId w:val="52"/>
              </w:numPr>
              <w:rPr>
                <w:iCs/>
              </w:rPr>
            </w:pPr>
            <w:r w:rsidRPr="00B514C7">
              <w:rPr>
                <w:iCs/>
              </w:rPr>
              <w:t>Any known allergies</w:t>
            </w:r>
          </w:p>
          <w:p w14:paraId="5948C669" w14:textId="77777777" w:rsidR="00DD05C5" w:rsidRPr="00B514C7" w:rsidRDefault="00DD05C5" w:rsidP="00DD05C5">
            <w:pPr>
              <w:pStyle w:val="Bulletindent1"/>
              <w:numPr>
                <w:ilvl w:val="0"/>
                <w:numId w:val="52"/>
              </w:numPr>
              <w:rPr>
                <w:iCs/>
              </w:rPr>
            </w:pPr>
            <w:r w:rsidRPr="00B514C7">
              <w:rPr>
                <w:iCs/>
              </w:rPr>
              <w:t>Name of registered health professional</w:t>
            </w:r>
          </w:p>
          <w:p w14:paraId="57F09C1C" w14:textId="77777777" w:rsidR="00DD05C5" w:rsidRPr="00B514C7" w:rsidRDefault="00DD05C5" w:rsidP="00DD05C5">
            <w:pPr>
              <w:pStyle w:val="Bulletindent1"/>
              <w:numPr>
                <w:ilvl w:val="0"/>
                <w:numId w:val="52"/>
              </w:numPr>
              <w:rPr>
                <w:iCs/>
              </w:rPr>
            </w:pPr>
            <w:r w:rsidRPr="00B514C7">
              <w:rPr>
                <w:iCs/>
              </w:rPr>
              <w:t xml:space="preserve">Name of medication supplied </w:t>
            </w:r>
          </w:p>
          <w:p w14:paraId="44A1C293" w14:textId="77777777" w:rsidR="00DD05C5" w:rsidRPr="00B514C7" w:rsidRDefault="00DD05C5" w:rsidP="00DD05C5">
            <w:pPr>
              <w:pStyle w:val="Bulletindent1"/>
              <w:numPr>
                <w:ilvl w:val="0"/>
                <w:numId w:val="52"/>
              </w:numPr>
              <w:rPr>
                <w:iCs/>
              </w:rPr>
            </w:pPr>
            <w:r w:rsidRPr="00B514C7">
              <w:rPr>
                <w:iCs/>
              </w:rPr>
              <w:t>Date of supply</w:t>
            </w:r>
          </w:p>
          <w:p w14:paraId="6B3E03A9" w14:textId="77777777" w:rsidR="00DD05C5" w:rsidRPr="00B514C7" w:rsidRDefault="00DD05C5" w:rsidP="00DD05C5">
            <w:pPr>
              <w:pStyle w:val="Bulletindent1"/>
              <w:numPr>
                <w:ilvl w:val="0"/>
                <w:numId w:val="52"/>
              </w:numPr>
              <w:rPr>
                <w:iCs/>
              </w:rPr>
            </w:pPr>
            <w:r w:rsidRPr="00B514C7">
              <w:rPr>
                <w:iCs/>
              </w:rPr>
              <w:t>Dose supplied</w:t>
            </w:r>
          </w:p>
          <w:p w14:paraId="451F5E4F" w14:textId="77777777" w:rsidR="00DD05C5" w:rsidRPr="00B514C7" w:rsidRDefault="00DD05C5" w:rsidP="00DD05C5">
            <w:pPr>
              <w:pStyle w:val="Bulletindent1"/>
              <w:numPr>
                <w:ilvl w:val="0"/>
                <w:numId w:val="52"/>
              </w:numPr>
              <w:rPr>
                <w:iCs/>
              </w:rPr>
            </w:pPr>
            <w:r w:rsidRPr="00B514C7">
              <w:rPr>
                <w:iCs/>
              </w:rPr>
              <w:t>Quantity supplied</w:t>
            </w:r>
          </w:p>
          <w:p w14:paraId="5F71D689" w14:textId="77777777" w:rsidR="00DD05C5" w:rsidRPr="00B514C7" w:rsidRDefault="00DD05C5" w:rsidP="00DD05C5">
            <w:pPr>
              <w:pStyle w:val="Bulletindent1"/>
              <w:numPr>
                <w:ilvl w:val="0"/>
                <w:numId w:val="52"/>
              </w:numPr>
              <w:rPr>
                <w:iCs/>
              </w:rPr>
            </w:pPr>
            <w:r w:rsidRPr="00B514C7">
              <w:rPr>
                <w:iCs/>
              </w:rPr>
              <w:t>Advice given, including advice given if excluded or declines treatment</w:t>
            </w:r>
          </w:p>
          <w:p w14:paraId="2D403DCE" w14:textId="77777777" w:rsidR="00DD05C5" w:rsidRPr="00B514C7" w:rsidRDefault="00DD05C5" w:rsidP="00DD05C5">
            <w:pPr>
              <w:pStyle w:val="Bulletindent1"/>
              <w:numPr>
                <w:ilvl w:val="0"/>
                <w:numId w:val="52"/>
              </w:numPr>
              <w:rPr>
                <w:iCs/>
              </w:rPr>
            </w:pPr>
            <w:r w:rsidRPr="00B514C7">
              <w:rPr>
                <w:iCs/>
              </w:rPr>
              <w:lastRenderedPageBreak/>
              <w:t>Details of any adverse drug reactions and actions taken</w:t>
            </w:r>
          </w:p>
          <w:p w14:paraId="148FE13A" w14:textId="77777777" w:rsidR="00DD05C5" w:rsidRPr="00B514C7" w:rsidRDefault="00DD05C5" w:rsidP="00DD05C5">
            <w:pPr>
              <w:pStyle w:val="Bulletindent1"/>
              <w:numPr>
                <w:ilvl w:val="0"/>
                <w:numId w:val="52"/>
              </w:numPr>
              <w:rPr>
                <w:iCs/>
              </w:rPr>
            </w:pPr>
            <w:r w:rsidRPr="00B514C7">
              <w:rPr>
                <w:iCs/>
              </w:rPr>
              <w:t xml:space="preserve">Advice given about the medication including, dosing regimen, side effects, benefits, and when and what to do if any concerns </w:t>
            </w:r>
          </w:p>
          <w:p w14:paraId="6EC03C4B" w14:textId="77777777" w:rsidR="00DD05C5" w:rsidRPr="00B514C7" w:rsidRDefault="00DD05C5" w:rsidP="00DD05C5">
            <w:pPr>
              <w:pStyle w:val="Bulletindent1"/>
              <w:numPr>
                <w:ilvl w:val="0"/>
                <w:numId w:val="52"/>
              </w:numPr>
              <w:rPr>
                <w:iCs/>
              </w:rPr>
            </w:pPr>
            <w:r w:rsidRPr="00B514C7">
              <w:rPr>
                <w:iCs/>
              </w:rPr>
              <w:t>Any referral arrangements made</w:t>
            </w:r>
          </w:p>
          <w:p w14:paraId="5FD5FB5C" w14:textId="77777777" w:rsidR="00DD05C5" w:rsidRPr="00B514C7" w:rsidRDefault="00DD05C5" w:rsidP="00DD05C5">
            <w:pPr>
              <w:pStyle w:val="Bulletindent1"/>
              <w:numPr>
                <w:ilvl w:val="0"/>
                <w:numId w:val="52"/>
              </w:numPr>
              <w:rPr>
                <w:iCs/>
              </w:rPr>
            </w:pPr>
            <w:r w:rsidRPr="00B514C7">
              <w:rPr>
                <w:iCs/>
              </w:rPr>
              <w:t>Any supply outside the terms of the product marketing authorisation</w:t>
            </w:r>
          </w:p>
          <w:p w14:paraId="2F18EAD7" w14:textId="77777777" w:rsidR="00DD05C5" w:rsidRPr="00B514C7" w:rsidRDefault="00DD05C5" w:rsidP="00DD05C5">
            <w:pPr>
              <w:pStyle w:val="Bulletindent1"/>
              <w:numPr>
                <w:ilvl w:val="0"/>
                <w:numId w:val="52"/>
              </w:numPr>
              <w:rPr>
                <w:iCs/>
              </w:rPr>
            </w:pPr>
            <w:r w:rsidRPr="00B514C7">
              <w:rPr>
                <w:iCs/>
              </w:rPr>
              <w:t>Recorded that supplied via Patient Group Direction (PGD)</w:t>
            </w:r>
          </w:p>
          <w:p w14:paraId="69F5FB97" w14:textId="77777777" w:rsidR="00DD05C5" w:rsidRPr="00B514C7" w:rsidRDefault="00DD05C5" w:rsidP="00DD05C5">
            <w:pPr>
              <w:pStyle w:val="Bulletindent1"/>
              <w:numPr>
                <w:ilvl w:val="0"/>
                <w:numId w:val="52"/>
              </w:numPr>
              <w:rPr>
                <w:iCs/>
                <w:highlight w:val="yellow"/>
              </w:rPr>
            </w:pPr>
            <w:r>
              <w:rPr>
                <w:iCs/>
                <w:highlight w:val="yellow"/>
              </w:rPr>
              <w:t>[[</w:t>
            </w:r>
            <w:r w:rsidRPr="00B514C7">
              <w:rPr>
                <w:iCs/>
                <w:highlight w:val="yellow"/>
              </w:rPr>
              <w:t>Any additional requirements in accordance with the local service specification</w:t>
            </w:r>
            <w:r>
              <w:rPr>
                <w:iCs/>
                <w:highlight w:val="yellow"/>
              </w:rPr>
              <w:t>]]</w:t>
            </w:r>
          </w:p>
          <w:p w14:paraId="1CC1C69F" w14:textId="77777777" w:rsidR="00DD05C5" w:rsidRPr="00B514C7" w:rsidRDefault="00DD05C5" w:rsidP="00DD05C5">
            <w:pPr>
              <w:pStyle w:val="Tabletext"/>
              <w:rPr>
                <w:b/>
                <w:bCs/>
                <w:lang w:val="en-GB"/>
              </w:rPr>
            </w:pPr>
            <w:r w:rsidRPr="00B514C7">
              <w:rPr>
                <w:b/>
                <w:bCs/>
              </w:rPr>
              <w:t xml:space="preserve">Records must be signed and dated (or documented in a </w:t>
            </w:r>
            <w:proofErr w:type="gramStart"/>
            <w:r w:rsidRPr="00B514C7">
              <w:rPr>
                <w:b/>
                <w:bCs/>
              </w:rPr>
              <w:t>password controlled</w:t>
            </w:r>
            <w:proofErr w:type="gramEnd"/>
            <w:r w:rsidRPr="00B514C7">
              <w:rPr>
                <w:b/>
                <w:bCs/>
              </w:rPr>
              <w:t xml:space="preserve"> e-record) </w:t>
            </w:r>
            <w:r w:rsidRPr="00B514C7">
              <w:rPr>
                <w:b/>
                <w:bCs/>
                <w:lang w:val="en-GB"/>
              </w:rPr>
              <w:t xml:space="preserve">and securely kept for a defined period in line with local policy. </w:t>
            </w:r>
          </w:p>
          <w:p w14:paraId="50ED716A" w14:textId="77777777" w:rsidR="00DD05C5" w:rsidRPr="00B514C7" w:rsidRDefault="00DD05C5" w:rsidP="00DD05C5">
            <w:pPr>
              <w:pStyle w:val="Tabletext"/>
              <w:rPr>
                <w:b/>
                <w:bCs/>
              </w:rPr>
            </w:pPr>
          </w:p>
          <w:p w14:paraId="4024DD6E" w14:textId="77777777" w:rsidR="00DD05C5" w:rsidRPr="00B514C7" w:rsidRDefault="00DD05C5" w:rsidP="00DD05C5">
            <w:pPr>
              <w:pStyle w:val="Tabletext"/>
              <w:rPr>
                <w:b/>
                <w:bCs/>
              </w:rPr>
            </w:pPr>
            <w:r w:rsidRPr="00B514C7">
              <w:rPr>
                <w:b/>
                <w:bCs/>
              </w:rPr>
              <w:t>All records must be clear, legible and contemporaneous.</w:t>
            </w:r>
          </w:p>
          <w:p w14:paraId="614F8A58" w14:textId="77777777" w:rsidR="00DD05C5" w:rsidRPr="00B514C7" w:rsidRDefault="00DD05C5" w:rsidP="00DD05C5">
            <w:pPr>
              <w:pStyle w:val="Tabletext"/>
              <w:rPr>
                <w:b/>
                <w:bCs/>
              </w:rPr>
            </w:pPr>
          </w:p>
          <w:p w14:paraId="437B3373" w14:textId="77777777" w:rsidR="00DD05C5" w:rsidRPr="00B514C7" w:rsidRDefault="00DD05C5" w:rsidP="00DD05C5">
            <w:pPr>
              <w:pStyle w:val="Tabletext"/>
              <w:rPr>
                <w:b/>
                <w:bCs/>
              </w:rPr>
            </w:pPr>
            <w:r w:rsidRPr="00B514C7">
              <w:rPr>
                <w:b/>
                <w:bCs/>
              </w:rPr>
              <w:t xml:space="preserve">A record of all individuals receiving treatment under this PGD should also be kept for audit purposes in accordance with local policy. </w:t>
            </w:r>
          </w:p>
          <w:p w14:paraId="49D8B1E2" w14:textId="77777777" w:rsidR="00DD05C5" w:rsidRPr="00DD05C5" w:rsidRDefault="00DD05C5" w:rsidP="00DD05C5">
            <w:pPr>
              <w:pStyle w:val="TableParagraph"/>
              <w:spacing w:after="0" w:line="240" w:lineRule="auto"/>
              <w:rPr>
                <w:rFonts w:ascii="Arial" w:hAnsi="Arial" w:cs="Arial"/>
                <w:iCs/>
                <w:sz w:val="22"/>
                <w:szCs w:val="22"/>
                <w:highlight w:val="cyan"/>
                <w:lang w:val="en-GB"/>
              </w:rPr>
            </w:pPr>
          </w:p>
        </w:tc>
      </w:tr>
    </w:tbl>
    <w:p w14:paraId="53B0192F" w14:textId="77777777" w:rsidR="00BB2599" w:rsidRPr="00BB2599" w:rsidRDefault="00BB2599" w:rsidP="005A6168">
      <w:pPr>
        <w:pStyle w:val="PGDNormal"/>
      </w:pPr>
    </w:p>
    <w:p w14:paraId="74DEDA30" w14:textId="753D9CBF" w:rsidR="00725927" w:rsidRDefault="00725927" w:rsidP="00BB2C75">
      <w:pPr>
        <w:pStyle w:val="Heading1"/>
      </w:pPr>
      <w:r w:rsidRPr="00832CD7">
        <w:t>Key references</w:t>
      </w:r>
      <w:r w:rsidRPr="00DF77C7">
        <w:t xml:space="preserve"> </w:t>
      </w:r>
      <w:r w:rsidR="00510425" w:rsidRPr="00DF77C7">
        <w:t>(</w:t>
      </w:r>
      <w:r w:rsidR="00393D73">
        <w:t xml:space="preserve">last </w:t>
      </w:r>
      <w:r w:rsidR="00510425" w:rsidRPr="00DF77C7">
        <w:t>accessed</w:t>
      </w:r>
      <w:r w:rsidR="00D0044C" w:rsidRPr="00DF77C7">
        <w:t xml:space="preserve"> </w:t>
      </w:r>
      <w:r w:rsidR="00AD19F7">
        <w:t>August</w:t>
      </w:r>
      <w:r w:rsidR="00393D73">
        <w:t xml:space="preserve"> 2025</w:t>
      </w:r>
      <w:r w:rsidR="00510425" w:rsidRPr="00DF77C7">
        <w:t>)</w:t>
      </w:r>
    </w:p>
    <w:p w14:paraId="6C602359" w14:textId="7F8B2C25" w:rsidR="00393D73" w:rsidRPr="00393D73" w:rsidRDefault="00393D73" w:rsidP="00393D73">
      <w:pPr>
        <w:pStyle w:val="Bulletindent1"/>
        <w:rPr>
          <w:szCs w:val="22"/>
          <w:lang w:eastAsia="en-GB"/>
        </w:rPr>
      </w:pPr>
      <w:hyperlink r:id="rId48" w:history="1">
        <w:r w:rsidRPr="00487448">
          <w:rPr>
            <w:rStyle w:val="Hyperlink"/>
            <w:szCs w:val="22"/>
            <w:lang w:eastAsia="en-GB"/>
          </w:rPr>
          <w:t>Electronic Medicines Compendium</w:t>
        </w:r>
      </w:hyperlink>
    </w:p>
    <w:p w14:paraId="3F390465" w14:textId="4F2738A6" w:rsidR="00393D73" w:rsidRPr="007A0B43" w:rsidRDefault="00393D73" w:rsidP="00393D73">
      <w:pPr>
        <w:pStyle w:val="Bulletindent1"/>
        <w:rPr>
          <w:rStyle w:val="Hyperlink"/>
        </w:rPr>
      </w:pPr>
      <w:hyperlink r:id="rId49" w:history="1">
        <w:r w:rsidRPr="00487448">
          <w:rPr>
            <w:rStyle w:val="Hyperlink"/>
            <w:szCs w:val="22"/>
            <w:lang w:eastAsia="en-GB"/>
          </w:rPr>
          <w:t>Electronic BNF</w:t>
        </w:r>
      </w:hyperlink>
    </w:p>
    <w:p w14:paraId="5149BBA6" w14:textId="784E4B83" w:rsidR="00393D73" w:rsidRPr="007A0B43" w:rsidRDefault="00454638" w:rsidP="00393D73">
      <w:pPr>
        <w:pStyle w:val="Bulletindent1"/>
        <w:rPr>
          <w:rStyle w:val="Hyperlink"/>
          <w:lang w:eastAsia="en-GB"/>
        </w:rPr>
      </w:pPr>
      <w:hyperlink r:id="rId50" w:history="1">
        <w:r>
          <w:rPr>
            <w:rStyle w:val="Hyperlink"/>
            <w:szCs w:val="22"/>
            <w:lang w:eastAsia="en-GB"/>
          </w:rPr>
          <w:t>NICE Medicines practice guideline MPG2 - Patient Group Directions - Last Updated 27 March 2017</w:t>
        </w:r>
      </w:hyperlink>
    </w:p>
    <w:p w14:paraId="4133AAFF" w14:textId="7464BA1E" w:rsidR="007A0B43" w:rsidRPr="007A0B43" w:rsidRDefault="007A0B43" w:rsidP="00393D73">
      <w:pPr>
        <w:pStyle w:val="Bulletindent1"/>
        <w:rPr>
          <w:rStyle w:val="Hyperlink"/>
          <w:lang w:eastAsia="en-GB"/>
        </w:rPr>
      </w:pPr>
      <w:hyperlink r:id="rId51" w:history="1">
        <w:r w:rsidRPr="007A0B43">
          <w:rPr>
            <w:rStyle w:val="Hyperlink"/>
            <w:szCs w:val="22"/>
            <w:lang w:eastAsia="en-GB"/>
          </w:rPr>
          <w:t>Royal Pharmaceutical Society Safe and Secure Handling of Medicines December 2018</w:t>
        </w:r>
      </w:hyperlink>
    </w:p>
    <w:p w14:paraId="29E7D604" w14:textId="7DE300A8" w:rsidR="007A0B43" w:rsidRPr="007A0B43" w:rsidRDefault="007A0B43" w:rsidP="00393D73">
      <w:pPr>
        <w:pStyle w:val="Bulletindent1"/>
        <w:rPr>
          <w:rStyle w:val="Hyperlink"/>
        </w:rPr>
      </w:pPr>
      <w:hyperlink r:id="rId52" w:history="1">
        <w:r w:rsidRPr="007A0B43">
          <w:rPr>
            <w:rStyle w:val="Hyperlink"/>
            <w:szCs w:val="22"/>
            <w:lang w:eastAsia="en-GB"/>
          </w:rPr>
          <w:t>BASHH/BHIVA guidelines on the use of HIV pre-exposure prophylaxis (</w:t>
        </w:r>
        <w:proofErr w:type="spellStart"/>
        <w:r w:rsidRPr="007A0B43">
          <w:rPr>
            <w:rStyle w:val="Hyperlink"/>
            <w:szCs w:val="22"/>
            <w:lang w:eastAsia="en-GB"/>
          </w:rPr>
          <w:t>PrEP</w:t>
        </w:r>
        <w:proofErr w:type="spellEnd"/>
        <w:r w:rsidRPr="007A0B43">
          <w:rPr>
            <w:rStyle w:val="Hyperlink"/>
            <w:szCs w:val="22"/>
            <w:lang w:eastAsia="en-GB"/>
          </w:rPr>
          <w:t>) (2025)</w:t>
        </w:r>
      </w:hyperlink>
    </w:p>
    <w:p w14:paraId="5F8CF26E" w14:textId="7D52DF75" w:rsidR="007A0B43" w:rsidRPr="007A0B43" w:rsidRDefault="007A0B43" w:rsidP="007A0B43">
      <w:pPr>
        <w:pStyle w:val="Bulletindent1"/>
        <w:rPr>
          <w:rStyle w:val="Hyperlink"/>
          <w:lang w:eastAsia="en-GB"/>
        </w:rPr>
      </w:pPr>
      <w:hyperlink r:id="rId53" w:history="1">
        <w:r w:rsidRPr="007A0B43">
          <w:rPr>
            <w:rStyle w:val="Hyperlink"/>
            <w:szCs w:val="22"/>
            <w:lang w:eastAsia="en-GB"/>
          </w:rPr>
          <w:t xml:space="preserve">NHS England commissioning policy on Reimbursement for the use of generic and second line drugs for </w:t>
        </w:r>
        <w:proofErr w:type="gramStart"/>
        <w:r w:rsidRPr="007A0B43">
          <w:rPr>
            <w:rStyle w:val="Hyperlink"/>
            <w:szCs w:val="22"/>
            <w:lang w:eastAsia="en-GB"/>
          </w:rPr>
          <w:t>pre exposure</w:t>
        </w:r>
        <w:proofErr w:type="gramEnd"/>
        <w:r w:rsidRPr="007A0B43">
          <w:rPr>
            <w:rStyle w:val="Hyperlink"/>
            <w:szCs w:val="22"/>
            <w:lang w:eastAsia="en-GB"/>
          </w:rPr>
          <w:t xml:space="preserve"> prophylaxis (</w:t>
        </w:r>
        <w:proofErr w:type="spellStart"/>
        <w:r w:rsidRPr="007A0B43">
          <w:rPr>
            <w:rStyle w:val="Hyperlink"/>
            <w:szCs w:val="22"/>
            <w:lang w:eastAsia="en-GB"/>
          </w:rPr>
          <w:t>PrEP</w:t>
        </w:r>
        <w:proofErr w:type="spellEnd"/>
        <w:r w:rsidRPr="007A0B43">
          <w:rPr>
            <w:rStyle w:val="Hyperlink"/>
            <w:szCs w:val="22"/>
            <w:lang w:eastAsia="en-GB"/>
          </w:rPr>
          <w:t>) for the prevention of HIV</w:t>
        </w:r>
      </w:hyperlink>
    </w:p>
    <w:p w14:paraId="12479788" w14:textId="26672646" w:rsidR="007A0B43" w:rsidRPr="007A0B43" w:rsidRDefault="007A0B43" w:rsidP="00393D73">
      <w:pPr>
        <w:pStyle w:val="Bulletindent1"/>
        <w:rPr>
          <w:rStyle w:val="Hyperlink"/>
        </w:rPr>
      </w:pPr>
      <w:hyperlink r:id="rId54" w:history="1">
        <w:r w:rsidRPr="007A0B43">
          <w:rPr>
            <w:rStyle w:val="Hyperlink"/>
            <w:szCs w:val="22"/>
            <w:lang w:eastAsia="en-GB"/>
          </w:rPr>
          <w:t>Scottish Medicines Consortium report</w:t>
        </w:r>
      </w:hyperlink>
    </w:p>
    <w:p w14:paraId="0800CCC3" w14:textId="3614D27D" w:rsidR="007A0B43" w:rsidRPr="007A0B43" w:rsidRDefault="007A0B43" w:rsidP="00393D73">
      <w:pPr>
        <w:pStyle w:val="Bulletindent1"/>
        <w:rPr>
          <w:rStyle w:val="Hyperlink"/>
        </w:rPr>
      </w:pPr>
      <w:hyperlink r:id="rId55" w:history="1">
        <w:r w:rsidRPr="007A0B43">
          <w:rPr>
            <w:rStyle w:val="Hyperlink"/>
            <w:szCs w:val="22"/>
            <w:lang w:eastAsia="en-GB"/>
          </w:rPr>
          <w:t>BHIVA/BASHH/BIA Adult HIV Testing guidelines 2020</w:t>
        </w:r>
      </w:hyperlink>
    </w:p>
    <w:p w14:paraId="29BA044B" w14:textId="7A52A571" w:rsidR="007A0B43" w:rsidRPr="00DD05C5" w:rsidRDefault="007A0B43" w:rsidP="00393D73">
      <w:pPr>
        <w:pStyle w:val="Bulletindent1"/>
        <w:rPr>
          <w:szCs w:val="22"/>
          <w:lang w:eastAsia="en-GB"/>
        </w:rPr>
      </w:pPr>
      <w:hyperlink r:id="rId56" w:history="1">
        <w:r w:rsidRPr="007A0B43">
          <w:rPr>
            <w:rStyle w:val="Hyperlink"/>
            <w:szCs w:val="22"/>
            <w:lang w:eastAsia="en-GB"/>
          </w:rPr>
          <w:t>University of Liverpool. Liverpool HIV Drug Interactions checker</w:t>
        </w:r>
      </w:hyperlink>
    </w:p>
    <w:p w14:paraId="2F788C70" w14:textId="2981BF40" w:rsidR="00DD05C5" w:rsidRPr="00DD05C5" w:rsidRDefault="00DD05C5" w:rsidP="00393D73">
      <w:pPr>
        <w:pStyle w:val="Bulletindent1"/>
        <w:rPr>
          <w:szCs w:val="22"/>
          <w:lang w:eastAsia="en-GB"/>
        </w:rPr>
      </w:pPr>
      <w:hyperlink r:id="rId57" w:history="1">
        <w:r w:rsidRPr="00DD05C5">
          <w:rPr>
            <w:rStyle w:val="Hyperlink"/>
            <w:rFonts w:cs="Arial"/>
            <w:szCs w:val="22"/>
          </w:rPr>
          <w:t>Emtricitabine and tenofovir alafenamide vs emtricitabine and tenofovir disoproxil fumarate for HIV pre-exposure prophylaxis (DISCOVER): primary results from a randomised, double-blind, multicentre, active-controlled, phase 3, non-inferiority trial.</w:t>
        </w:r>
      </w:hyperlink>
    </w:p>
    <w:p w14:paraId="3612DA5C" w14:textId="7F52EF0E" w:rsidR="00DD05C5" w:rsidRPr="00DD05C5" w:rsidRDefault="00DD05C5" w:rsidP="00DD05C5">
      <w:pPr>
        <w:pStyle w:val="Bulletindent1"/>
        <w:numPr>
          <w:ilvl w:val="0"/>
          <w:numId w:val="0"/>
        </w:numPr>
        <w:rPr>
          <w:szCs w:val="22"/>
          <w:lang w:eastAsia="en-GB"/>
        </w:rPr>
      </w:pPr>
    </w:p>
    <w:p w14:paraId="068AB94A" w14:textId="7192CE8B" w:rsidR="00533F89" w:rsidRPr="00533F89" w:rsidRDefault="007A1448" w:rsidP="00832CD7">
      <w:pPr>
        <w:pStyle w:val="Heading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has had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6AF7EF77" w:rsidR="00825B58" w:rsidRPr="00825B58" w:rsidRDefault="00825B58" w:rsidP="00825B58">
      <w:pPr>
        <w:pStyle w:val="PGDNormal"/>
        <w:rPr>
          <w:rFonts w:cs="Arial"/>
        </w:rPr>
      </w:pPr>
      <w:r w:rsidRPr="00825B58">
        <w:rPr>
          <w:rFonts w:cs="Arial"/>
        </w:rPr>
        <w:t xml:space="preserve">I confirm that the registered health professionals named above have declared themselves suitably trained and competent to work under this PGD. I give </w:t>
      </w:r>
      <w:proofErr w:type="spellStart"/>
      <w:r w:rsidRPr="00825B58">
        <w:rPr>
          <w:rFonts w:cs="Arial"/>
        </w:rPr>
        <w:t>authorisation</w:t>
      </w:r>
      <w:proofErr w:type="spellEnd"/>
      <w:r w:rsidRPr="00825B58">
        <w:rPr>
          <w:rFonts w:cs="Arial"/>
        </w:rPr>
        <w:t xml:space="preserve"> on behalf of</w:t>
      </w:r>
      <w:r w:rsidR="001A11C9">
        <w:rPr>
          <w:rFonts w:cs="Arial"/>
        </w:rPr>
        <w:t xml:space="preserve"> [</w:t>
      </w:r>
      <w:r w:rsidRPr="00825B58">
        <w:rPr>
          <w:rFonts w:cs="Arial"/>
        </w:rPr>
        <w:t xml:space="preserve"> </w:t>
      </w:r>
      <w:r w:rsidRPr="001A11C9">
        <w:rPr>
          <w:rFonts w:cs="Arial"/>
          <w:highlight w:val="cyan"/>
        </w:rPr>
        <w:t xml:space="preserve">insert name of </w:t>
      </w:r>
      <w:proofErr w:type="spellStart"/>
      <w:proofErr w:type="gramStart"/>
      <w:r w:rsidRPr="001A11C9">
        <w:rPr>
          <w:rFonts w:cs="Arial"/>
          <w:highlight w:val="cyan"/>
        </w:rPr>
        <w:t>organisation</w:t>
      </w:r>
      <w:proofErr w:type="spellEnd"/>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 xml:space="preserve">Score through unused rows in the list of registered health professionals to prevent additions post managerial </w:t>
      </w:r>
      <w:proofErr w:type="spellStart"/>
      <w:r w:rsidRPr="00DF77C7">
        <w:t>authorisation</w:t>
      </w:r>
      <w:proofErr w:type="spellEnd"/>
      <w:r w:rsidRPr="00DF77C7">
        <w:t>.</w:t>
      </w:r>
    </w:p>
    <w:p w14:paraId="29F7C469" w14:textId="77777777" w:rsidR="00510425" w:rsidRPr="00DF77C7" w:rsidRDefault="00510425" w:rsidP="0077187C">
      <w:pPr>
        <w:pStyle w:val="PGDNormal"/>
      </w:pPr>
      <w:r w:rsidRPr="00DF77C7">
        <w:t xml:space="preserve">This </w:t>
      </w:r>
      <w:proofErr w:type="spellStart"/>
      <w:r w:rsidRPr="00DF77C7">
        <w:t>authorisation</w:t>
      </w:r>
      <w:proofErr w:type="spellEnd"/>
      <w:r w:rsidRPr="00DF77C7">
        <w:t xml:space="preserve"> sheet should be retained to serve as a record of those registered health professionals </w:t>
      </w:r>
      <w:proofErr w:type="spellStart"/>
      <w:r w:rsidRPr="00DF77C7">
        <w:t>authorised</w:t>
      </w:r>
      <w:proofErr w:type="spellEnd"/>
      <w:r w:rsidRPr="00DF77C7">
        <w:t xml:space="preserve"> to work under this PGD.</w:t>
      </w:r>
    </w:p>
    <w:p w14:paraId="2136AB7D" w14:textId="7514879E" w:rsidR="00510425" w:rsidRPr="00DF77C7" w:rsidRDefault="00AC0BE9" w:rsidP="0077187C">
      <w:pPr>
        <w:pStyle w:val="PGDNormal"/>
      </w:pPr>
      <w:r w:rsidRPr="00AC0BE9">
        <w:t>[</w:t>
      </w:r>
      <w:r w:rsidR="00510425" w:rsidRPr="00DF77C7">
        <w:rPr>
          <w:highlight w:val="cyan"/>
        </w:rPr>
        <w:t xml:space="preserve">Add details on how this information is to be retained according to </w:t>
      </w:r>
      <w:proofErr w:type="spellStart"/>
      <w:r w:rsidR="00510425" w:rsidRPr="00DF77C7">
        <w:rPr>
          <w:highlight w:val="cyan"/>
        </w:rPr>
        <w:t>organisation</w:t>
      </w:r>
      <w:proofErr w:type="spellEnd"/>
      <w:r w:rsidR="00510425" w:rsidRPr="00DF77C7">
        <w:rPr>
          <w:highlight w:val="cyan"/>
        </w:rPr>
        <w:t xml:space="preserve"> PGD policy.</w:t>
      </w:r>
      <w:r>
        <w:t>]</w:t>
      </w:r>
    </w:p>
    <w:p w14:paraId="495DAEDB" w14:textId="77777777" w:rsidR="00E11FE0" w:rsidRDefault="00E11FE0" w:rsidP="00ED232C">
      <w:pPr>
        <w:pStyle w:val="PGDNormal"/>
      </w:pPr>
    </w:p>
    <w:sectPr w:rsidR="00E11FE0" w:rsidSect="00537E57">
      <w:headerReference w:type="even" r:id="rId58"/>
      <w:headerReference w:type="default" r:id="rId59"/>
      <w:footerReference w:type="default" r:id="rId60"/>
      <w:headerReference w:type="first" r:id="rId6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0A3B" w14:textId="77777777" w:rsidR="006B27DD" w:rsidRPr="00DF77C7" w:rsidRDefault="006B27DD">
      <w:r w:rsidRPr="00DF77C7">
        <w:separator/>
      </w:r>
    </w:p>
  </w:endnote>
  <w:endnote w:type="continuationSeparator" w:id="0">
    <w:p w14:paraId="31C1C90A" w14:textId="77777777" w:rsidR="006B27DD" w:rsidRPr="00DF77C7" w:rsidRDefault="006B27DD">
      <w:r w:rsidRPr="00DF77C7">
        <w:continuationSeparator/>
      </w:r>
    </w:p>
  </w:endnote>
  <w:endnote w:type="continuationNotice" w:id="1">
    <w:p w14:paraId="2AE61052" w14:textId="77777777" w:rsidR="006B27DD" w:rsidRDefault="006B2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D022" w14:textId="77777777" w:rsidR="006B27DD" w:rsidRPr="00DF77C7" w:rsidRDefault="006B27DD">
      <w:r w:rsidRPr="00DF77C7">
        <w:separator/>
      </w:r>
    </w:p>
  </w:footnote>
  <w:footnote w:type="continuationSeparator" w:id="0">
    <w:p w14:paraId="1BECC763" w14:textId="77777777" w:rsidR="006B27DD" w:rsidRPr="00DF77C7" w:rsidRDefault="006B27DD">
      <w:r w:rsidRPr="00DF77C7">
        <w:continuationSeparator/>
      </w:r>
    </w:p>
  </w:footnote>
  <w:footnote w:type="continuationNotice" w:id="1">
    <w:p w14:paraId="40309A3F" w14:textId="77777777" w:rsidR="006B27DD" w:rsidRDefault="006B2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C5B9D">
    <w:pPr>
      <w:pStyle w:val="Header"/>
    </w:pPr>
    <w:r>
      <w:rPr>
        <w:noProof/>
      </w:rPr>
    </w:r>
    <w:r w:rsidR="000C5B9D">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alt="" style="position:absolute;margin-left:0;margin-top:0;width:490.5pt;height:109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C5B9D" w:rsidP="00E27D26">
    <w:pPr>
      <w:pStyle w:val="Header"/>
      <w:rPr>
        <w:sz w:val="16"/>
        <w:szCs w:val="16"/>
      </w:rPr>
    </w:pPr>
    <w:r>
      <w:rPr>
        <w:noProof/>
        <w:sz w:val="22"/>
        <w:szCs w:val="22"/>
      </w:rPr>
    </w:r>
    <w:r w:rsidR="000C5B9D">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alt="" style="position:absolute;margin-left:0;margin-top:0;width:490.5pt;height:109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C5B9D">
    <w:pPr>
      <w:pStyle w:val="Header"/>
    </w:pPr>
    <w:r>
      <w:rPr>
        <w:noProof/>
      </w:rPr>
    </w:r>
    <w:r w:rsidR="000C5B9D">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alt="" style="position:absolute;margin-left:0;margin-top:0;width:490.5pt;height:10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F6C7D"/>
    <w:multiLevelType w:val="hybridMultilevel"/>
    <w:tmpl w:val="B20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36636"/>
    <w:multiLevelType w:val="hybridMultilevel"/>
    <w:tmpl w:val="F6AE21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724147"/>
    <w:multiLevelType w:val="hybridMultilevel"/>
    <w:tmpl w:val="E18C3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647E5"/>
    <w:multiLevelType w:val="hybridMultilevel"/>
    <w:tmpl w:val="B066E02E"/>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F2A2A"/>
    <w:multiLevelType w:val="hybridMultilevel"/>
    <w:tmpl w:val="ECD6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4134DB"/>
    <w:multiLevelType w:val="hybridMultilevel"/>
    <w:tmpl w:val="1364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84751"/>
    <w:multiLevelType w:val="hybridMultilevel"/>
    <w:tmpl w:val="E6F28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ECF038F"/>
    <w:multiLevelType w:val="hybridMultilevel"/>
    <w:tmpl w:val="5DF4E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87947"/>
    <w:multiLevelType w:val="hybridMultilevel"/>
    <w:tmpl w:val="F89AF59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826D5"/>
    <w:multiLevelType w:val="hybridMultilevel"/>
    <w:tmpl w:val="FE2CA476"/>
    <w:lvl w:ilvl="0" w:tplc="08090001">
      <w:start w:val="1"/>
      <w:numFmt w:val="bullet"/>
      <w:lvlText w:val=""/>
      <w:lvlJc w:val="left"/>
      <w:pPr>
        <w:ind w:left="360" w:hanging="360"/>
      </w:pPr>
      <w:rPr>
        <w:rFonts w:ascii="Symbol" w:hAnsi="Symbol" w:hint="default"/>
      </w:rPr>
    </w:lvl>
    <w:lvl w:ilvl="1" w:tplc="BF603952">
      <w:numFmt w:val="bullet"/>
      <w:lvlText w:val="•"/>
      <w:lvlJc w:val="left"/>
      <w:pPr>
        <w:ind w:left="1320" w:hanging="60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B42800"/>
    <w:multiLevelType w:val="hybridMultilevel"/>
    <w:tmpl w:val="E132D4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3649E"/>
    <w:multiLevelType w:val="hybridMultilevel"/>
    <w:tmpl w:val="5E9A8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FE2A08"/>
    <w:multiLevelType w:val="hybridMultilevel"/>
    <w:tmpl w:val="D8C0F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324D16">
      <w:start w:val="1"/>
      <w:numFmt w:val="bullet"/>
      <w:lvlText w:val=""/>
      <w:lvlJc w:val="left"/>
      <w:pPr>
        <w:ind w:left="2520" w:hanging="360"/>
      </w:pPr>
      <w:rPr>
        <w:rFonts w:ascii="Symbol" w:hAnsi="Symbol" w:hint="default"/>
        <w:b/>
        <w:bCs/>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E87D95"/>
    <w:multiLevelType w:val="multilevel"/>
    <w:tmpl w:val="426238C4"/>
    <w:lvl w:ilvl="0">
      <w:start w:val="1"/>
      <w:numFmt w:val="bullet"/>
      <w:pStyle w:val="Bulletindent1"/>
      <w:lvlText w:val=""/>
      <w:lvlJc w:val="left"/>
      <w:pPr>
        <w:ind w:left="720" w:hanging="360"/>
      </w:pPr>
      <w:rPr>
        <w:rFonts w:ascii="Symbol" w:hAnsi="Symbol"/>
        <w:color w:val="000000"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2768C1"/>
    <w:multiLevelType w:val="hybridMultilevel"/>
    <w:tmpl w:val="0F42B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737EA8"/>
    <w:multiLevelType w:val="hybridMultilevel"/>
    <w:tmpl w:val="75A2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915AA"/>
    <w:multiLevelType w:val="hybridMultilevel"/>
    <w:tmpl w:val="3F727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0A4A8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D777A"/>
    <w:multiLevelType w:val="hybridMultilevel"/>
    <w:tmpl w:val="B1E8C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B8C42A6"/>
    <w:multiLevelType w:val="hybridMultilevel"/>
    <w:tmpl w:val="2EC0FA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C4F0F"/>
    <w:multiLevelType w:val="hybridMultilevel"/>
    <w:tmpl w:val="9FF2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6438AA"/>
    <w:multiLevelType w:val="hybridMultilevel"/>
    <w:tmpl w:val="8FD8E5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9" w15:restartNumberingAfterBreak="0">
    <w:nsid w:val="72A6234E"/>
    <w:multiLevelType w:val="hybridMultilevel"/>
    <w:tmpl w:val="03EE1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E27BB0"/>
    <w:multiLevelType w:val="hybridMultilevel"/>
    <w:tmpl w:val="4CDAD484"/>
    <w:lvl w:ilvl="0" w:tplc="582296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843BF4"/>
    <w:multiLevelType w:val="hybridMultilevel"/>
    <w:tmpl w:val="5FB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4" w15:restartNumberingAfterBreak="0">
    <w:nsid w:val="78BE70D9"/>
    <w:multiLevelType w:val="hybridMultilevel"/>
    <w:tmpl w:val="AE76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C04D46"/>
    <w:multiLevelType w:val="hybridMultilevel"/>
    <w:tmpl w:val="548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8" w15:restartNumberingAfterBreak="0">
    <w:nsid w:val="7EC46A70"/>
    <w:multiLevelType w:val="hybridMultilevel"/>
    <w:tmpl w:val="C12A0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4"/>
  </w:num>
  <w:num w:numId="2" w16cid:durableId="460340545">
    <w:abstractNumId w:val="17"/>
  </w:num>
  <w:num w:numId="3" w16cid:durableId="862549155">
    <w:abstractNumId w:val="42"/>
  </w:num>
  <w:num w:numId="4" w16cid:durableId="1902785077">
    <w:abstractNumId w:val="43"/>
  </w:num>
  <w:num w:numId="5" w16cid:durableId="1400252542">
    <w:abstractNumId w:val="31"/>
  </w:num>
  <w:num w:numId="6" w16cid:durableId="585113440">
    <w:abstractNumId w:val="15"/>
  </w:num>
  <w:num w:numId="7" w16cid:durableId="1512915418">
    <w:abstractNumId w:val="38"/>
  </w:num>
  <w:num w:numId="8" w16cid:durableId="759831936">
    <w:abstractNumId w:val="47"/>
  </w:num>
  <w:num w:numId="9" w16cid:durableId="1747412429">
    <w:abstractNumId w:val="6"/>
  </w:num>
  <w:num w:numId="10" w16cid:durableId="1297833641">
    <w:abstractNumId w:val="1"/>
  </w:num>
  <w:num w:numId="11" w16cid:durableId="1684160055">
    <w:abstractNumId w:val="46"/>
  </w:num>
  <w:num w:numId="12" w16cid:durableId="1610894224">
    <w:abstractNumId w:val="49"/>
  </w:num>
  <w:num w:numId="13" w16cid:durableId="1880973297">
    <w:abstractNumId w:val="26"/>
  </w:num>
  <w:num w:numId="14" w16cid:durableId="77676389">
    <w:abstractNumId w:val="10"/>
  </w:num>
  <w:num w:numId="15" w16cid:durableId="1496384920">
    <w:abstractNumId w:val="23"/>
  </w:num>
  <w:num w:numId="16" w16cid:durableId="441388192">
    <w:abstractNumId w:val="35"/>
    <w:lvlOverride w:ilvl="0">
      <w:startOverride w:val="1"/>
    </w:lvlOverride>
  </w:num>
  <w:num w:numId="17" w16cid:durableId="73867840">
    <w:abstractNumId w:val="11"/>
    <w:lvlOverride w:ilvl="0">
      <w:startOverride w:val="1"/>
    </w:lvlOverride>
  </w:num>
  <w:num w:numId="18" w16cid:durableId="373623662">
    <w:abstractNumId w:val="0"/>
  </w:num>
  <w:num w:numId="19" w16cid:durableId="1055201983">
    <w:abstractNumId w:val="29"/>
  </w:num>
  <w:num w:numId="20" w16cid:durableId="207575239">
    <w:abstractNumId w:val="36"/>
  </w:num>
  <w:num w:numId="21" w16cid:durableId="936132325">
    <w:abstractNumId w:val="18"/>
  </w:num>
  <w:num w:numId="22" w16cid:durableId="803158628">
    <w:abstractNumId w:val="21"/>
  </w:num>
  <w:num w:numId="23" w16cid:durableId="932860">
    <w:abstractNumId w:val="3"/>
  </w:num>
  <w:num w:numId="24" w16cid:durableId="1479684388">
    <w:abstractNumId w:val="39"/>
  </w:num>
  <w:num w:numId="25" w16cid:durableId="1227032495">
    <w:abstractNumId w:val="19"/>
  </w:num>
  <w:num w:numId="26" w16cid:durableId="2041739214">
    <w:abstractNumId w:val="28"/>
  </w:num>
  <w:num w:numId="27" w16cid:durableId="1614052336">
    <w:abstractNumId w:val="20"/>
  </w:num>
  <w:num w:numId="28" w16cid:durableId="1596134487">
    <w:abstractNumId w:val="8"/>
  </w:num>
  <w:num w:numId="29" w16cid:durableId="75440843">
    <w:abstractNumId w:val="44"/>
  </w:num>
  <w:num w:numId="30" w16cid:durableId="605356053">
    <w:abstractNumId w:val="25"/>
  </w:num>
  <w:num w:numId="31" w16cid:durableId="354959738">
    <w:abstractNumId w:val="33"/>
  </w:num>
  <w:num w:numId="32" w16cid:durableId="603802223">
    <w:abstractNumId w:val="9"/>
  </w:num>
  <w:num w:numId="33" w16cid:durableId="903835469">
    <w:abstractNumId w:val="48"/>
  </w:num>
  <w:num w:numId="34" w16cid:durableId="344678014">
    <w:abstractNumId w:val="30"/>
  </w:num>
  <w:num w:numId="35" w16cid:durableId="730465289">
    <w:abstractNumId w:val="14"/>
  </w:num>
  <w:num w:numId="36" w16cid:durableId="44528466">
    <w:abstractNumId w:val="23"/>
  </w:num>
  <w:num w:numId="37" w16cid:durableId="1276903700">
    <w:abstractNumId w:val="23"/>
  </w:num>
  <w:num w:numId="38" w16cid:durableId="2019573239">
    <w:abstractNumId w:val="2"/>
  </w:num>
  <w:num w:numId="39" w16cid:durableId="1909342516">
    <w:abstractNumId w:val="40"/>
  </w:num>
  <w:num w:numId="40" w16cid:durableId="1712152171">
    <w:abstractNumId w:val="45"/>
  </w:num>
  <w:num w:numId="41" w16cid:durableId="484398686">
    <w:abstractNumId w:val="24"/>
  </w:num>
  <w:num w:numId="42" w16cid:durableId="1856504156">
    <w:abstractNumId w:val="27"/>
  </w:num>
  <w:num w:numId="43" w16cid:durableId="647631924">
    <w:abstractNumId w:val="23"/>
  </w:num>
  <w:num w:numId="44" w16cid:durableId="884413189">
    <w:abstractNumId w:val="12"/>
  </w:num>
  <w:num w:numId="45" w16cid:durableId="1250581247">
    <w:abstractNumId w:val="22"/>
  </w:num>
  <w:num w:numId="46" w16cid:durableId="1806311401">
    <w:abstractNumId w:val="37"/>
  </w:num>
  <w:num w:numId="47" w16cid:durableId="626621292">
    <w:abstractNumId w:val="5"/>
  </w:num>
  <w:num w:numId="48" w16cid:durableId="1554846994">
    <w:abstractNumId w:val="4"/>
  </w:num>
  <w:num w:numId="49" w16cid:durableId="1704866909">
    <w:abstractNumId w:val="16"/>
  </w:num>
  <w:num w:numId="50" w16cid:durableId="863252368">
    <w:abstractNumId w:val="41"/>
  </w:num>
  <w:num w:numId="51" w16cid:durableId="495610591">
    <w:abstractNumId w:val="7"/>
  </w:num>
  <w:num w:numId="52" w16cid:durableId="201098450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3B5"/>
    <w:rsid w:val="000065D4"/>
    <w:rsid w:val="0001063D"/>
    <w:rsid w:val="00017F41"/>
    <w:rsid w:val="00020F4D"/>
    <w:rsid w:val="00022601"/>
    <w:rsid w:val="0002298F"/>
    <w:rsid w:val="00022E97"/>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C5B9D"/>
    <w:rsid w:val="000D7704"/>
    <w:rsid w:val="000E2765"/>
    <w:rsid w:val="000E2E30"/>
    <w:rsid w:val="000E2E96"/>
    <w:rsid w:val="000E4DDA"/>
    <w:rsid w:val="000E6EC0"/>
    <w:rsid w:val="000E71C7"/>
    <w:rsid w:val="000F1CAB"/>
    <w:rsid w:val="000F2350"/>
    <w:rsid w:val="000F2D3B"/>
    <w:rsid w:val="000F2DC4"/>
    <w:rsid w:val="000F39F6"/>
    <w:rsid w:val="000F4B18"/>
    <w:rsid w:val="000F4FC5"/>
    <w:rsid w:val="000F52B4"/>
    <w:rsid w:val="000F6DF5"/>
    <w:rsid w:val="001016BC"/>
    <w:rsid w:val="00105D58"/>
    <w:rsid w:val="00110308"/>
    <w:rsid w:val="00110E70"/>
    <w:rsid w:val="00112BE0"/>
    <w:rsid w:val="00113701"/>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679"/>
    <w:rsid w:val="00157C5B"/>
    <w:rsid w:val="00160B58"/>
    <w:rsid w:val="001618F9"/>
    <w:rsid w:val="00161BBD"/>
    <w:rsid w:val="001629CB"/>
    <w:rsid w:val="0016302D"/>
    <w:rsid w:val="00163BBB"/>
    <w:rsid w:val="00163CE8"/>
    <w:rsid w:val="00165DD9"/>
    <w:rsid w:val="00170722"/>
    <w:rsid w:val="00170A19"/>
    <w:rsid w:val="00171245"/>
    <w:rsid w:val="0017281B"/>
    <w:rsid w:val="00173124"/>
    <w:rsid w:val="0017669F"/>
    <w:rsid w:val="001767BB"/>
    <w:rsid w:val="001774D2"/>
    <w:rsid w:val="00184E40"/>
    <w:rsid w:val="0018512B"/>
    <w:rsid w:val="0018568F"/>
    <w:rsid w:val="00185D9C"/>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4F48"/>
    <w:rsid w:val="001B5C09"/>
    <w:rsid w:val="001B63A5"/>
    <w:rsid w:val="001B7FDB"/>
    <w:rsid w:val="001C02E3"/>
    <w:rsid w:val="001C241E"/>
    <w:rsid w:val="001C24ED"/>
    <w:rsid w:val="001D4AB6"/>
    <w:rsid w:val="001D6784"/>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6C9E"/>
    <w:rsid w:val="001F7697"/>
    <w:rsid w:val="0020051D"/>
    <w:rsid w:val="002009FA"/>
    <w:rsid w:val="00202047"/>
    <w:rsid w:val="00202712"/>
    <w:rsid w:val="00217CF8"/>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152F"/>
    <w:rsid w:val="00285B42"/>
    <w:rsid w:val="00290FAB"/>
    <w:rsid w:val="00293756"/>
    <w:rsid w:val="00294355"/>
    <w:rsid w:val="00295278"/>
    <w:rsid w:val="00296701"/>
    <w:rsid w:val="002A15CA"/>
    <w:rsid w:val="002A26DA"/>
    <w:rsid w:val="002A6CB8"/>
    <w:rsid w:val="002A7D61"/>
    <w:rsid w:val="002B1479"/>
    <w:rsid w:val="002B16AA"/>
    <w:rsid w:val="002B334F"/>
    <w:rsid w:val="002B3A69"/>
    <w:rsid w:val="002B4181"/>
    <w:rsid w:val="002B5BAC"/>
    <w:rsid w:val="002B5E5D"/>
    <w:rsid w:val="002B62CC"/>
    <w:rsid w:val="002B6400"/>
    <w:rsid w:val="002C19DC"/>
    <w:rsid w:val="002C1F27"/>
    <w:rsid w:val="002C24CE"/>
    <w:rsid w:val="002C5736"/>
    <w:rsid w:val="002D4185"/>
    <w:rsid w:val="002D714E"/>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27599"/>
    <w:rsid w:val="00330081"/>
    <w:rsid w:val="00334B40"/>
    <w:rsid w:val="0033580B"/>
    <w:rsid w:val="00335913"/>
    <w:rsid w:val="00337E0A"/>
    <w:rsid w:val="00341D83"/>
    <w:rsid w:val="00351BBC"/>
    <w:rsid w:val="00355735"/>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4F64"/>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2B7"/>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CE7"/>
    <w:rsid w:val="004075B1"/>
    <w:rsid w:val="00417611"/>
    <w:rsid w:val="00421452"/>
    <w:rsid w:val="00421D74"/>
    <w:rsid w:val="00424C2D"/>
    <w:rsid w:val="00432289"/>
    <w:rsid w:val="00433897"/>
    <w:rsid w:val="004340EF"/>
    <w:rsid w:val="00434610"/>
    <w:rsid w:val="00440E43"/>
    <w:rsid w:val="0044281C"/>
    <w:rsid w:val="00447D9C"/>
    <w:rsid w:val="004510BE"/>
    <w:rsid w:val="0045127E"/>
    <w:rsid w:val="00453867"/>
    <w:rsid w:val="00453B8C"/>
    <w:rsid w:val="00454638"/>
    <w:rsid w:val="004554AB"/>
    <w:rsid w:val="004564FB"/>
    <w:rsid w:val="0045723E"/>
    <w:rsid w:val="00463FF5"/>
    <w:rsid w:val="00467940"/>
    <w:rsid w:val="00473E4D"/>
    <w:rsid w:val="00474C3B"/>
    <w:rsid w:val="00476876"/>
    <w:rsid w:val="0048006E"/>
    <w:rsid w:val="00480581"/>
    <w:rsid w:val="00480E06"/>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10B1"/>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1759"/>
    <w:rsid w:val="00544444"/>
    <w:rsid w:val="005446AE"/>
    <w:rsid w:val="00544E14"/>
    <w:rsid w:val="00547D7B"/>
    <w:rsid w:val="00552D61"/>
    <w:rsid w:val="00557D6E"/>
    <w:rsid w:val="00557DB1"/>
    <w:rsid w:val="00561CE9"/>
    <w:rsid w:val="0056237E"/>
    <w:rsid w:val="00565738"/>
    <w:rsid w:val="005662A5"/>
    <w:rsid w:val="0056643E"/>
    <w:rsid w:val="005666A9"/>
    <w:rsid w:val="00567220"/>
    <w:rsid w:val="00567847"/>
    <w:rsid w:val="00570E3D"/>
    <w:rsid w:val="00572A06"/>
    <w:rsid w:val="00575A04"/>
    <w:rsid w:val="00576318"/>
    <w:rsid w:val="005806DB"/>
    <w:rsid w:val="00580EBB"/>
    <w:rsid w:val="00581C9E"/>
    <w:rsid w:val="00583011"/>
    <w:rsid w:val="005903AC"/>
    <w:rsid w:val="0059165A"/>
    <w:rsid w:val="00592D87"/>
    <w:rsid w:val="00593089"/>
    <w:rsid w:val="005949EA"/>
    <w:rsid w:val="0059738E"/>
    <w:rsid w:val="005A0BCC"/>
    <w:rsid w:val="005A11C4"/>
    <w:rsid w:val="005A16B8"/>
    <w:rsid w:val="005A2C55"/>
    <w:rsid w:val="005A3C13"/>
    <w:rsid w:val="005A582B"/>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4309"/>
    <w:rsid w:val="005E6491"/>
    <w:rsid w:val="005E6963"/>
    <w:rsid w:val="005F1323"/>
    <w:rsid w:val="005F1603"/>
    <w:rsid w:val="005F17C5"/>
    <w:rsid w:val="005F3623"/>
    <w:rsid w:val="005F4864"/>
    <w:rsid w:val="005F4940"/>
    <w:rsid w:val="00600F2A"/>
    <w:rsid w:val="00602CB0"/>
    <w:rsid w:val="0060527A"/>
    <w:rsid w:val="00606A8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44774"/>
    <w:rsid w:val="0065050E"/>
    <w:rsid w:val="0065215A"/>
    <w:rsid w:val="006529F3"/>
    <w:rsid w:val="00654491"/>
    <w:rsid w:val="006565AD"/>
    <w:rsid w:val="00660106"/>
    <w:rsid w:val="006604BA"/>
    <w:rsid w:val="006610ED"/>
    <w:rsid w:val="00665687"/>
    <w:rsid w:val="0067000A"/>
    <w:rsid w:val="00671697"/>
    <w:rsid w:val="00675BFB"/>
    <w:rsid w:val="00677DD2"/>
    <w:rsid w:val="00677FE6"/>
    <w:rsid w:val="0068233F"/>
    <w:rsid w:val="006829D5"/>
    <w:rsid w:val="006833EE"/>
    <w:rsid w:val="006843FA"/>
    <w:rsid w:val="00685DE2"/>
    <w:rsid w:val="00687B72"/>
    <w:rsid w:val="006911EE"/>
    <w:rsid w:val="006A1225"/>
    <w:rsid w:val="006A4706"/>
    <w:rsid w:val="006A7AF1"/>
    <w:rsid w:val="006B27DD"/>
    <w:rsid w:val="006B2D85"/>
    <w:rsid w:val="006B39B2"/>
    <w:rsid w:val="006C005F"/>
    <w:rsid w:val="006C0B7C"/>
    <w:rsid w:val="006C196B"/>
    <w:rsid w:val="006C22A9"/>
    <w:rsid w:val="006C2CDE"/>
    <w:rsid w:val="006C31A5"/>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3AB2"/>
    <w:rsid w:val="0071562D"/>
    <w:rsid w:val="00716DE0"/>
    <w:rsid w:val="00724859"/>
    <w:rsid w:val="00725927"/>
    <w:rsid w:val="0073097E"/>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65CE6"/>
    <w:rsid w:val="0077187C"/>
    <w:rsid w:val="00773971"/>
    <w:rsid w:val="0078141A"/>
    <w:rsid w:val="0078597F"/>
    <w:rsid w:val="00787175"/>
    <w:rsid w:val="00790438"/>
    <w:rsid w:val="00792BF7"/>
    <w:rsid w:val="00792F90"/>
    <w:rsid w:val="00794857"/>
    <w:rsid w:val="00797CA6"/>
    <w:rsid w:val="007A04E2"/>
    <w:rsid w:val="007A06E9"/>
    <w:rsid w:val="007A08D5"/>
    <w:rsid w:val="007A0B43"/>
    <w:rsid w:val="007A1448"/>
    <w:rsid w:val="007A1BBB"/>
    <w:rsid w:val="007A276C"/>
    <w:rsid w:val="007B4395"/>
    <w:rsid w:val="007B6F3F"/>
    <w:rsid w:val="007C1FDB"/>
    <w:rsid w:val="007C287F"/>
    <w:rsid w:val="007D3AE2"/>
    <w:rsid w:val="007D47D1"/>
    <w:rsid w:val="007D6643"/>
    <w:rsid w:val="007D6C6B"/>
    <w:rsid w:val="007E1262"/>
    <w:rsid w:val="007E5832"/>
    <w:rsid w:val="007E763A"/>
    <w:rsid w:val="007E7CC9"/>
    <w:rsid w:val="007F0048"/>
    <w:rsid w:val="007F3C0C"/>
    <w:rsid w:val="007F41FA"/>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26C73"/>
    <w:rsid w:val="0083012C"/>
    <w:rsid w:val="0083041B"/>
    <w:rsid w:val="008305D7"/>
    <w:rsid w:val="008313BF"/>
    <w:rsid w:val="00832CD7"/>
    <w:rsid w:val="008333BF"/>
    <w:rsid w:val="0083364B"/>
    <w:rsid w:val="008339A7"/>
    <w:rsid w:val="00834168"/>
    <w:rsid w:val="00834F0F"/>
    <w:rsid w:val="00837B25"/>
    <w:rsid w:val="0084110B"/>
    <w:rsid w:val="00846603"/>
    <w:rsid w:val="008479C0"/>
    <w:rsid w:val="00853B97"/>
    <w:rsid w:val="008543A8"/>
    <w:rsid w:val="008548CB"/>
    <w:rsid w:val="00854BAD"/>
    <w:rsid w:val="00856887"/>
    <w:rsid w:val="0085752D"/>
    <w:rsid w:val="008676A6"/>
    <w:rsid w:val="00872410"/>
    <w:rsid w:val="008748F2"/>
    <w:rsid w:val="00876232"/>
    <w:rsid w:val="008762B8"/>
    <w:rsid w:val="00876FE2"/>
    <w:rsid w:val="0088215D"/>
    <w:rsid w:val="00883AD3"/>
    <w:rsid w:val="00883EDC"/>
    <w:rsid w:val="0088563D"/>
    <w:rsid w:val="00886211"/>
    <w:rsid w:val="00886FD6"/>
    <w:rsid w:val="008956F5"/>
    <w:rsid w:val="00895776"/>
    <w:rsid w:val="00895961"/>
    <w:rsid w:val="0089661B"/>
    <w:rsid w:val="008A24EB"/>
    <w:rsid w:val="008A3BEE"/>
    <w:rsid w:val="008A5671"/>
    <w:rsid w:val="008A6198"/>
    <w:rsid w:val="008A78EE"/>
    <w:rsid w:val="008B2A57"/>
    <w:rsid w:val="008B30AB"/>
    <w:rsid w:val="008B3958"/>
    <w:rsid w:val="008B4145"/>
    <w:rsid w:val="008C121C"/>
    <w:rsid w:val="008C2F75"/>
    <w:rsid w:val="008C3DAE"/>
    <w:rsid w:val="008C6AC3"/>
    <w:rsid w:val="008D186B"/>
    <w:rsid w:val="008D3327"/>
    <w:rsid w:val="008D4441"/>
    <w:rsid w:val="008D4727"/>
    <w:rsid w:val="008D525C"/>
    <w:rsid w:val="008D52EE"/>
    <w:rsid w:val="008D5E28"/>
    <w:rsid w:val="008D6D14"/>
    <w:rsid w:val="008D75CF"/>
    <w:rsid w:val="008D7606"/>
    <w:rsid w:val="008E42BC"/>
    <w:rsid w:val="008E511A"/>
    <w:rsid w:val="008E64FB"/>
    <w:rsid w:val="008F09E1"/>
    <w:rsid w:val="008F30A1"/>
    <w:rsid w:val="008F3711"/>
    <w:rsid w:val="008F6FF7"/>
    <w:rsid w:val="0090096D"/>
    <w:rsid w:val="0090103B"/>
    <w:rsid w:val="00903548"/>
    <w:rsid w:val="009038A4"/>
    <w:rsid w:val="00904151"/>
    <w:rsid w:val="0090602C"/>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B0D"/>
    <w:rsid w:val="00945C75"/>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76E7F"/>
    <w:rsid w:val="00980479"/>
    <w:rsid w:val="00980CE6"/>
    <w:rsid w:val="009811EA"/>
    <w:rsid w:val="009826DD"/>
    <w:rsid w:val="00984482"/>
    <w:rsid w:val="009853AD"/>
    <w:rsid w:val="00985BE0"/>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B7FB5"/>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07E44"/>
    <w:rsid w:val="00A125D4"/>
    <w:rsid w:val="00A1309B"/>
    <w:rsid w:val="00A1358E"/>
    <w:rsid w:val="00A1461E"/>
    <w:rsid w:val="00A146D9"/>
    <w:rsid w:val="00A14981"/>
    <w:rsid w:val="00A154A4"/>
    <w:rsid w:val="00A2089E"/>
    <w:rsid w:val="00A20FBD"/>
    <w:rsid w:val="00A2119C"/>
    <w:rsid w:val="00A213AA"/>
    <w:rsid w:val="00A22217"/>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19B"/>
    <w:rsid w:val="00A82F08"/>
    <w:rsid w:val="00A9433C"/>
    <w:rsid w:val="00A95DEB"/>
    <w:rsid w:val="00AA0666"/>
    <w:rsid w:val="00AA0EFC"/>
    <w:rsid w:val="00AA0F5B"/>
    <w:rsid w:val="00AA150C"/>
    <w:rsid w:val="00AA16A5"/>
    <w:rsid w:val="00AA18EC"/>
    <w:rsid w:val="00AA200A"/>
    <w:rsid w:val="00AA2DC6"/>
    <w:rsid w:val="00AA4332"/>
    <w:rsid w:val="00AA5A30"/>
    <w:rsid w:val="00AA7592"/>
    <w:rsid w:val="00AB2F4B"/>
    <w:rsid w:val="00AB40E4"/>
    <w:rsid w:val="00AB5D04"/>
    <w:rsid w:val="00AC0BE9"/>
    <w:rsid w:val="00AC2167"/>
    <w:rsid w:val="00AC54FE"/>
    <w:rsid w:val="00AC58F7"/>
    <w:rsid w:val="00AC7BB4"/>
    <w:rsid w:val="00AD19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35DA"/>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4BFA"/>
    <w:rsid w:val="00B514C7"/>
    <w:rsid w:val="00B52679"/>
    <w:rsid w:val="00B538F2"/>
    <w:rsid w:val="00B552E6"/>
    <w:rsid w:val="00B553BE"/>
    <w:rsid w:val="00B65003"/>
    <w:rsid w:val="00B6670A"/>
    <w:rsid w:val="00B71542"/>
    <w:rsid w:val="00B73659"/>
    <w:rsid w:val="00B74946"/>
    <w:rsid w:val="00B74B8F"/>
    <w:rsid w:val="00B75FB4"/>
    <w:rsid w:val="00B76F86"/>
    <w:rsid w:val="00B80DF7"/>
    <w:rsid w:val="00B810C3"/>
    <w:rsid w:val="00B81529"/>
    <w:rsid w:val="00B87905"/>
    <w:rsid w:val="00B912CD"/>
    <w:rsid w:val="00B91A55"/>
    <w:rsid w:val="00B922C4"/>
    <w:rsid w:val="00B92435"/>
    <w:rsid w:val="00BA19CD"/>
    <w:rsid w:val="00BA4095"/>
    <w:rsid w:val="00BA4672"/>
    <w:rsid w:val="00BA57B1"/>
    <w:rsid w:val="00BA6AF1"/>
    <w:rsid w:val="00BB2599"/>
    <w:rsid w:val="00BB27C7"/>
    <w:rsid w:val="00BB2C75"/>
    <w:rsid w:val="00BB3155"/>
    <w:rsid w:val="00BC2FFD"/>
    <w:rsid w:val="00BC445E"/>
    <w:rsid w:val="00BD1D91"/>
    <w:rsid w:val="00BD28D4"/>
    <w:rsid w:val="00BE0E22"/>
    <w:rsid w:val="00BE6C68"/>
    <w:rsid w:val="00BE7661"/>
    <w:rsid w:val="00BE7810"/>
    <w:rsid w:val="00BF09D0"/>
    <w:rsid w:val="00BF1BB5"/>
    <w:rsid w:val="00BF711A"/>
    <w:rsid w:val="00C005D8"/>
    <w:rsid w:val="00C02400"/>
    <w:rsid w:val="00C06E05"/>
    <w:rsid w:val="00C06F39"/>
    <w:rsid w:val="00C07D58"/>
    <w:rsid w:val="00C10DAE"/>
    <w:rsid w:val="00C1149F"/>
    <w:rsid w:val="00C17411"/>
    <w:rsid w:val="00C22683"/>
    <w:rsid w:val="00C22834"/>
    <w:rsid w:val="00C25DE0"/>
    <w:rsid w:val="00C25F31"/>
    <w:rsid w:val="00C2654A"/>
    <w:rsid w:val="00C34902"/>
    <w:rsid w:val="00C373F2"/>
    <w:rsid w:val="00C37CA7"/>
    <w:rsid w:val="00C37FC1"/>
    <w:rsid w:val="00C403CE"/>
    <w:rsid w:val="00C44CE3"/>
    <w:rsid w:val="00C46788"/>
    <w:rsid w:val="00C46A10"/>
    <w:rsid w:val="00C5216A"/>
    <w:rsid w:val="00C52205"/>
    <w:rsid w:val="00C6094B"/>
    <w:rsid w:val="00C64E9F"/>
    <w:rsid w:val="00C65187"/>
    <w:rsid w:val="00C65D55"/>
    <w:rsid w:val="00C6768D"/>
    <w:rsid w:val="00C70B21"/>
    <w:rsid w:val="00C73DAF"/>
    <w:rsid w:val="00C75401"/>
    <w:rsid w:val="00C76555"/>
    <w:rsid w:val="00C82252"/>
    <w:rsid w:val="00C84817"/>
    <w:rsid w:val="00C860E9"/>
    <w:rsid w:val="00C87548"/>
    <w:rsid w:val="00C91BD8"/>
    <w:rsid w:val="00C91C8B"/>
    <w:rsid w:val="00C9295A"/>
    <w:rsid w:val="00C93428"/>
    <w:rsid w:val="00C93CEB"/>
    <w:rsid w:val="00C94C8A"/>
    <w:rsid w:val="00C95CF9"/>
    <w:rsid w:val="00C95EE9"/>
    <w:rsid w:val="00CA20DD"/>
    <w:rsid w:val="00CA2E81"/>
    <w:rsid w:val="00CA3998"/>
    <w:rsid w:val="00CA5AEF"/>
    <w:rsid w:val="00CA5EA5"/>
    <w:rsid w:val="00CA77CF"/>
    <w:rsid w:val="00CA7C4E"/>
    <w:rsid w:val="00CB13D1"/>
    <w:rsid w:val="00CB3552"/>
    <w:rsid w:val="00CB44C0"/>
    <w:rsid w:val="00CB4D8A"/>
    <w:rsid w:val="00CC395D"/>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07428"/>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4440"/>
    <w:rsid w:val="00D57D1C"/>
    <w:rsid w:val="00D62CAD"/>
    <w:rsid w:val="00D726AB"/>
    <w:rsid w:val="00D7409D"/>
    <w:rsid w:val="00D745FE"/>
    <w:rsid w:val="00D74F3D"/>
    <w:rsid w:val="00D76682"/>
    <w:rsid w:val="00D77616"/>
    <w:rsid w:val="00D843E4"/>
    <w:rsid w:val="00D86168"/>
    <w:rsid w:val="00D87AC1"/>
    <w:rsid w:val="00D975BB"/>
    <w:rsid w:val="00DA12F7"/>
    <w:rsid w:val="00DA2E53"/>
    <w:rsid w:val="00DA38F2"/>
    <w:rsid w:val="00DA746D"/>
    <w:rsid w:val="00DB1926"/>
    <w:rsid w:val="00DB1CD1"/>
    <w:rsid w:val="00DB294F"/>
    <w:rsid w:val="00DB3A43"/>
    <w:rsid w:val="00DB4005"/>
    <w:rsid w:val="00DB4B21"/>
    <w:rsid w:val="00DC31D6"/>
    <w:rsid w:val="00DC6BCF"/>
    <w:rsid w:val="00DC70A9"/>
    <w:rsid w:val="00DC71C0"/>
    <w:rsid w:val="00DC7588"/>
    <w:rsid w:val="00DC785A"/>
    <w:rsid w:val="00DD046E"/>
    <w:rsid w:val="00DD05C5"/>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05E8"/>
    <w:rsid w:val="00E0109F"/>
    <w:rsid w:val="00E04B4E"/>
    <w:rsid w:val="00E1069A"/>
    <w:rsid w:val="00E11FE0"/>
    <w:rsid w:val="00E139D7"/>
    <w:rsid w:val="00E143B0"/>
    <w:rsid w:val="00E155DA"/>
    <w:rsid w:val="00E16CB2"/>
    <w:rsid w:val="00E170C1"/>
    <w:rsid w:val="00E24D2F"/>
    <w:rsid w:val="00E27083"/>
    <w:rsid w:val="00E27D26"/>
    <w:rsid w:val="00E30A2D"/>
    <w:rsid w:val="00E334E6"/>
    <w:rsid w:val="00E437E5"/>
    <w:rsid w:val="00E4552C"/>
    <w:rsid w:val="00E45889"/>
    <w:rsid w:val="00E45954"/>
    <w:rsid w:val="00E46E97"/>
    <w:rsid w:val="00E50E7A"/>
    <w:rsid w:val="00E511F5"/>
    <w:rsid w:val="00E513E3"/>
    <w:rsid w:val="00E57A07"/>
    <w:rsid w:val="00E60C36"/>
    <w:rsid w:val="00E6166A"/>
    <w:rsid w:val="00E64981"/>
    <w:rsid w:val="00E66383"/>
    <w:rsid w:val="00E66580"/>
    <w:rsid w:val="00E70843"/>
    <w:rsid w:val="00E71C5C"/>
    <w:rsid w:val="00E73E24"/>
    <w:rsid w:val="00E764AB"/>
    <w:rsid w:val="00E80341"/>
    <w:rsid w:val="00E8089E"/>
    <w:rsid w:val="00E8169E"/>
    <w:rsid w:val="00E8187D"/>
    <w:rsid w:val="00E837AA"/>
    <w:rsid w:val="00E905A4"/>
    <w:rsid w:val="00E952BB"/>
    <w:rsid w:val="00E97A6D"/>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00F8"/>
    <w:rsid w:val="00F02A57"/>
    <w:rsid w:val="00F074B1"/>
    <w:rsid w:val="00F141C0"/>
    <w:rsid w:val="00F14FA7"/>
    <w:rsid w:val="00F224C7"/>
    <w:rsid w:val="00F2404C"/>
    <w:rsid w:val="00F265BA"/>
    <w:rsid w:val="00F278B8"/>
    <w:rsid w:val="00F32D01"/>
    <w:rsid w:val="00F34643"/>
    <w:rsid w:val="00F34644"/>
    <w:rsid w:val="00F34FB1"/>
    <w:rsid w:val="00F44107"/>
    <w:rsid w:val="00F44969"/>
    <w:rsid w:val="00F44C14"/>
    <w:rsid w:val="00F46A0E"/>
    <w:rsid w:val="00F53868"/>
    <w:rsid w:val="00F57606"/>
    <w:rsid w:val="00F605E6"/>
    <w:rsid w:val="00F62C8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44F2"/>
    <w:rsid w:val="00FE7EA2"/>
    <w:rsid w:val="00FF0313"/>
    <w:rsid w:val="00FF0842"/>
    <w:rsid w:val="01AD093C"/>
    <w:rsid w:val="1642D54A"/>
    <w:rsid w:val="28F615EF"/>
    <w:rsid w:val="2B92C2CB"/>
    <w:rsid w:val="2D79AA45"/>
    <w:rsid w:val="302C67D8"/>
    <w:rsid w:val="33BB7BE5"/>
    <w:rsid w:val="374C1672"/>
    <w:rsid w:val="3C77307A"/>
    <w:rsid w:val="4CE7FA5B"/>
    <w:rsid w:val="5586DB0D"/>
    <w:rsid w:val="5C15BBA7"/>
    <w:rsid w:val="5DA7B21E"/>
    <w:rsid w:val="5EA8D733"/>
    <w:rsid w:val="6566E730"/>
    <w:rsid w:val="70CA21CC"/>
    <w:rsid w:val="72B103A1"/>
    <w:rsid w:val="7E90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B9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A20D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A2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A20D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A20DD"/>
    <w:pPr>
      <w:spacing w:before="200"/>
      <w:outlineLvl w:val="3"/>
    </w:pPr>
    <w:rPr>
      <w:rFonts w:ascii="Cambria" w:hAnsi="Cambria"/>
      <w:b/>
      <w:bCs/>
      <w:i/>
      <w:iCs/>
    </w:rPr>
  </w:style>
  <w:style w:type="paragraph" w:styleId="Heading5">
    <w:name w:val="heading 5"/>
    <w:basedOn w:val="Normal"/>
    <w:next w:val="Normal"/>
    <w:link w:val="Heading5Char"/>
    <w:uiPriority w:val="9"/>
    <w:qFormat/>
    <w:rsid w:val="00CA20D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A20D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A20DD"/>
    <w:pPr>
      <w:outlineLvl w:val="6"/>
    </w:pPr>
    <w:rPr>
      <w:rFonts w:ascii="Cambria" w:hAnsi="Cambria"/>
      <w:i/>
      <w:iCs/>
    </w:rPr>
  </w:style>
  <w:style w:type="paragraph" w:styleId="Heading8">
    <w:name w:val="heading 8"/>
    <w:basedOn w:val="Normal"/>
    <w:next w:val="Normal"/>
    <w:link w:val="Heading8Char"/>
    <w:uiPriority w:val="9"/>
    <w:qFormat/>
    <w:rsid w:val="00CA20DD"/>
    <w:pPr>
      <w:outlineLvl w:val="7"/>
    </w:pPr>
    <w:rPr>
      <w:rFonts w:ascii="Cambria" w:hAnsi="Cambria"/>
    </w:rPr>
  </w:style>
  <w:style w:type="paragraph" w:styleId="Heading9">
    <w:name w:val="heading 9"/>
    <w:basedOn w:val="Normal"/>
    <w:next w:val="Normal"/>
    <w:link w:val="Heading9Char"/>
    <w:uiPriority w:val="9"/>
    <w:qFormat/>
    <w:rsid w:val="00CA20DD"/>
    <w:pPr>
      <w:outlineLvl w:val="8"/>
    </w:pPr>
    <w:rPr>
      <w:rFonts w:ascii="Cambria" w:hAnsi="Cambria"/>
      <w:i/>
      <w:iCs/>
      <w:spacing w:val="5"/>
    </w:rPr>
  </w:style>
  <w:style w:type="character" w:default="1" w:styleId="DefaultParagraphFont">
    <w:name w:val="Default Paragraph Font"/>
    <w:uiPriority w:val="1"/>
    <w:semiHidden/>
    <w:unhideWhenUsed/>
    <w:rsid w:val="000C5B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5B9D"/>
  </w:style>
  <w:style w:type="paragraph" w:customStyle="1" w:styleId="NICEnormal">
    <w:name w:val="NICE normal"/>
    <w:rsid w:val="00CA20DD"/>
    <w:pPr>
      <w:spacing w:after="240" w:line="360" w:lineRule="auto"/>
    </w:pPr>
    <w:rPr>
      <w:rFonts w:ascii="Arial" w:eastAsia="Times New Roman" w:hAnsi="Arial"/>
      <w:lang w:val="en-US" w:eastAsia="en-US"/>
    </w:rPr>
  </w:style>
  <w:style w:type="character" w:customStyle="1" w:styleId="NICEnormalChar">
    <w:name w:val="NICE normal Char"/>
    <w:rsid w:val="00CA20DD"/>
    <w:rPr>
      <w:rFonts w:ascii="Arial" w:eastAsia="Times New Roman" w:hAnsi="Arial"/>
      <w:sz w:val="24"/>
      <w:szCs w:val="24"/>
      <w:lang w:val="en-GB" w:eastAsia="en-US" w:bidi="ar-SA"/>
    </w:rPr>
  </w:style>
  <w:style w:type="character" w:customStyle="1" w:styleId="Heading1Char">
    <w:name w:val="Heading 1 Char"/>
    <w:link w:val="Heading1"/>
    <w:uiPriority w:val="1"/>
    <w:rsid w:val="00CA20D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A20D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A20DD"/>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A20DD"/>
    <w:pPr>
      <w:ind w:left="720"/>
      <w:contextualSpacing/>
    </w:pPr>
    <w:rPr>
      <w:rFonts w:eastAsia="Calibri"/>
    </w:rPr>
  </w:style>
  <w:style w:type="character" w:styleId="Hyperlink">
    <w:name w:val="Hyperlink"/>
    <w:rsid w:val="00CA20DD"/>
    <w:rPr>
      <w:color w:val="0000FF"/>
      <w:u w:val="single"/>
    </w:rPr>
  </w:style>
  <w:style w:type="paragraph" w:styleId="Header">
    <w:name w:val="header"/>
    <w:basedOn w:val="Normal"/>
    <w:link w:val="HeaderChar"/>
    <w:uiPriority w:val="99"/>
    <w:rsid w:val="00CA20DD"/>
    <w:pPr>
      <w:tabs>
        <w:tab w:val="center" w:pos="4513"/>
        <w:tab w:val="right" w:pos="9026"/>
      </w:tabs>
    </w:pPr>
    <w:rPr>
      <w:rFonts w:ascii="Arial" w:hAnsi="Arial"/>
    </w:rPr>
  </w:style>
  <w:style w:type="paragraph" w:customStyle="1" w:styleId="NICEnormaldoublespacing">
    <w:name w:val="NICE normal double spacing"/>
    <w:basedOn w:val="NICEnormal"/>
    <w:rsid w:val="00CA20DD"/>
  </w:style>
  <w:style w:type="character" w:customStyle="1" w:styleId="HeaderChar">
    <w:name w:val="Header Char"/>
    <w:link w:val="Header"/>
    <w:uiPriority w:val="99"/>
    <w:rsid w:val="00CA20DD"/>
    <w:rPr>
      <w:rFonts w:ascii="Arial" w:eastAsiaTheme="minorHAnsi" w:hAnsi="Arial"/>
      <w:kern w:val="2"/>
      <w:lang w:eastAsia="en-US"/>
      <w14:ligatures w14:val="standardContextual"/>
    </w:rPr>
  </w:style>
  <w:style w:type="paragraph" w:styleId="Footer">
    <w:name w:val="footer"/>
    <w:basedOn w:val="Normal"/>
    <w:link w:val="FooterChar"/>
    <w:uiPriority w:val="99"/>
    <w:rsid w:val="00CA20DD"/>
    <w:pPr>
      <w:tabs>
        <w:tab w:val="center" w:pos="4513"/>
        <w:tab w:val="right" w:pos="9026"/>
      </w:tabs>
    </w:pPr>
    <w:rPr>
      <w:rFonts w:ascii="Arial" w:hAnsi="Arial"/>
    </w:rPr>
  </w:style>
  <w:style w:type="character" w:customStyle="1" w:styleId="FooterChar">
    <w:name w:val="Footer Char"/>
    <w:link w:val="Footer"/>
    <w:uiPriority w:val="99"/>
    <w:rsid w:val="00CA20DD"/>
    <w:rPr>
      <w:rFonts w:ascii="Arial" w:eastAsiaTheme="minorHAnsi" w:hAnsi="Arial"/>
      <w:kern w:val="2"/>
      <w:lang w:eastAsia="en-US"/>
      <w14:ligatures w14:val="standardContextual"/>
    </w:rPr>
  </w:style>
  <w:style w:type="paragraph" w:customStyle="1" w:styleId="Style1">
    <w:name w:val="Style1"/>
    <w:basedOn w:val="Normal"/>
    <w:autoRedefine/>
    <w:rsid w:val="00CA20DD"/>
    <w:pPr>
      <w:keepNext/>
      <w:spacing w:line="360" w:lineRule="auto"/>
      <w:ind w:left="567"/>
    </w:pPr>
    <w:rPr>
      <w:rFonts w:ascii="Arial" w:hAnsi="Arial" w:cs="Arial"/>
      <w:szCs w:val="16"/>
    </w:rPr>
  </w:style>
  <w:style w:type="paragraph" w:customStyle="1" w:styleId="Unnumberedboldheading">
    <w:name w:val="Unnumbered bold heading"/>
    <w:next w:val="NICEnormal"/>
    <w:rsid w:val="00CA20D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A20D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A2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0D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A20DD"/>
  </w:style>
  <w:style w:type="paragraph" w:customStyle="1" w:styleId="Introtext">
    <w:name w:val="Intro text"/>
    <w:basedOn w:val="PGDNormal"/>
    <w:rsid w:val="00CA20D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A20DD"/>
    <w:pPr>
      <w:tabs>
        <w:tab w:val="num" w:pos="360"/>
      </w:tabs>
    </w:pPr>
    <w:rPr>
      <w:szCs w:val="24"/>
    </w:rPr>
  </w:style>
  <w:style w:type="character" w:customStyle="1" w:styleId="Numberedheading1CharChar">
    <w:name w:val="Numbered heading 1 Char Char"/>
    <w:link w:val="Numberedheading1"/>
    <w:rsid w:val="00CA20D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A20DD"/>
    <w:pPr>
      <w:tabs>
        <w:tab w:val="num" w:pos="360"/>
      </w:tabs>
    </w:pPr>
  </w:style>
  <w:style w:type="character" w:customStyle="1" w:styleId="Numberedheading2Char">
    <w:name w:val="Numbered heading 2 Char"/>
    <w:basedOn w:val="Heading2Char"/>
    <w:link w:val="Numberedheading2"/>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A20DD"/>
    <w:pPr>
      <w:tabs>
        <w:tab w:val="num" w:pos="360"/>
      </w:tabs>
    </w:pPr>
    <w:rPr>
      <w:sz w:val="26"/>
    </w:rPr>
  </w:style>
  <w:style w:type="paragraph" w:customStyle="1" w:styleId="Numberedlevel4text">
    <w:name w:val="Numbered level 4 text"/>
    <w:basedOn w:val="NICEnormal"/>
    <w:next w:val="NICEnormal"/>
    <w:rsid w:val="00CA20DD"/>
    <w:pPr>
      <w:tabs>
        <w:tab w:val="num" w:pos="360"/>
      </w:tabs>
    </w:pPr>
  </w:style>
  <w:style w:type="paragraph" w:customStyle="1" w:styleId="Numberedlevel3text">
    <w:name w:val="Numbered level 3 text"/>
    <w:basedOn w:val="Numberedheading3"/>
    <w:rsid w:val="00CA20DD"/>
    <w:pPr>
      <w:spacing w:after="240"/>
    </w:pPr>
    <w:rPr>
      <w:b w:val="0"/>
      <w:sz w:val="24"/>
    </w:rPr>
  </w:style>
  <w:style w:type="paragraph" w:customStyle="1" w:styleId="Bulletindent2">
    <w:name w:val="Bullet indent 2"/>
    <w:basedOn w:val="NICEnormal"/>
    <w:rsid w:val="00CA20DD"/>
    <w:pPr>
      <w:tabs>
        <w:tab w:val="num" w:pos="360"/>
      </w:tabs>
      <w:spacing w:after="0"/>
      <w:ind w:left="1702" w:hanging="284"/>
    </w:pPr>
  </w:style>
  <w:style w:type="paragraph" w:customStyle="1" w:styleId="Title16ptleft">
    <w:name w:val="Title 16 pt left"/>
    <w:basedOn w:val="Title16pt"/>
    <w:rsid w:val="00CA20DD"/>
  </w:style>
  <w:style w:type="paragraph" w:customStyle="1" w:styleId="Bulletleft1">
    <w:name w:val="Bullet left 1"/>
    <w:basedOn w:val="NICEnormal"/>
    <w:rsid w:val="00CA20DD"/>
    <w:pPr>
      <w:tabs>
        <w:tab w:val="num" w:pos="360"/>
      </w:tabs>
      <w:spacing w:after="0"/>
    </w:pPr>
  </w:style>
  <w:style w:type="character" w:customStyle="1" w:styleId="Bulletleft1Char">
    <w:name w:val="Bullet left 1 Char"/>
    <w:basedOn w:val="NICEnormalChar"/>
    <w:rsid w:val="00CA20DD"/>
    <w:rPr>
      <w:rFonts w:ascii="Arial" w:eastAsia="Times New Roman" w:hAnsi="Arial"/>
      <w:sz w:val="24"/>
      <w:szCs w:val="24"/>
      <w:lang w:val="en-GB" w:eastAsia="en-US" w:bidi="ar-SA"/>
    </w:rPr>
  </w:style>
  <w:style w:type="paragraph" w:customStyle="1" w:styleId="Bulletleft2">
    <w:name w:val="Bullet left 2"/>
    <w:basedOn w:val="NICEnormal"/>
    <w:rsid w:val="00CA20DD"/>
    <w:pPr>
      <w:tabs>
        <w:tab w:val="num" w:pos="360"/>
      </w:tabs>
      <w:spacing w:after="0"/>
      <w:ind w:left="568" w:hanging="284"/>
    </w:pPr>
  </w:style>
  <w:style w:type="paragraph" w:customStyle="1" w:styleId="Bulletleft3">
    <w:name w:val="Bullet left 3"/>
    <w:basedOn w:val="NICEnormal"/>
    <w:rsid w:val="00CA20DD"/>
    <w:pPr>
      <w:tabs>
        <w:tab w:val="num" w:pos="360"/>
      </w:tabs>
      <w:spacing w:after="0"/>
    </w:pPr>
  </w:style>
  <w:style w:type="paragraph" w:customStyle="1" w:styleId="Bulletindent1">
    <w:name w:val="Bullet indent 1"/>
    <w:basedOn w:val="NICEnormal"/>
    <w:rsid w:val="00CA20DD"/>
    <w:pPr>
      <w:numPr>
        <w:numId w:val="15"/>
      </w:numPr>
      <w:spacing w:before="120" w:after="120" w:line="240" w:lineRule="auto"/>
    </w:pPr>
    <w:rPr>
      <w:sz w:val="22"/>
      <w:lang w:val="en-GB"/>
    </w:rPr>
  </w:style>
  <w:style w:type="paragraph" w:customStyle="1" w:styleId="Bulletindent3">
    <w:name w:val="Bullet indent 3"/>
    <w:basedOn w:val="NICEnormal"/>
    <w:rsid w:val="00CA20DD"/>
    <w:pPr>
      <w:tabs>
        <w:tab w:val="num" w:pos="360"/>
      </w:tabs>
      <w:spacing w:after="0"/>
    </w:pPr>
  </w:style>
  <w:style w:type="paragraph" w:customStyle="1" w:styleId="Numberedlevel2text">
    <w:name w:val="Numbered level 2 text"/>
    <w:basedOn w:val="Numberedheading2"/>
    <w:rsid w:val="00CA20DD"/>
    <w:pPr>
      <w:spacing w:after="240"/>
    </w:pPr>
    <w:rPr>
      <w:b/>
      <w:i/>
    </w:rPr>
  </w:style>
  <w:style w:type="paragraph" w:customStyle="1" w:styleId="Bulletleft1last">
    <w:name w:val="Bullet left 1 last"/>
    <w:basedOn w:val="NICEnormal"/>
    <w:rsid w:val="00CA20DD"/>
    <w:pPr>
      <w:tabs>
        <w:tab w:val="num" w:pos="360"/>
      </w:tabs>
    </w:pPr>
    <w:rPr>
      <w:rFonts w:cs="Arial"/>
    </w:rPr>
  </w:style>
  <w:style w:type="character" w:customStyle="1" w:styleId="Bulletleft1lastChar">
    <w:name w:val="Bullet left 1 last Char"/>
    <w:rsid w:val="00CA20DD"/>
    <w:rPr>
      <w:rFonts w:ascii="Arial" w:eastAsia="Times New Roman" w:hAnsi="Arial" w:cs="Arial"/>
      <w:sz w:val="24"/>
      <w:szCs w:val="24"/>
      <w:lang w:eastAsia="en-US"/>
    </w:rPr>
  </w:style>
  <w:style w:type="paragraph" w:customStyle="1" w:styleId="boxedtext">
    <w:name w:val="boxed text"/>
    <w:basedOn w:val="NICEnormal"/>
    <w:rsid w:val="00CA20D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A20DD"/>
    <w:rPr>
      <w:rFonts w:ascii="Arial" w:hAnsi="Arial"/>
      <w:sz w:val="24"/>
    </w:rPr>
  </w:style>
  <w:style w:type="paragraph" w:customStyle="1" w:styleId="Bulletindent1last">
    <w:name w:val="Bullet indent 1 last"/>
    <w:basedOn w:val="NICEnormal"/>
    <w:next w:val="NICEnormal"/>
    <w:rsid w:val="00CA20DD"/>
    <w:pPr>
      <w:numPr>
        <w:numId w:val="11"/>
      </w:numPr>
    </w:pPr>
    <w:rPr>
      <w:sz w:val="22"/>
      <w:lang w:val="en-GB"/>
    </w:rPr>
  </w:style>
  <w:style w:type="paragraph" w:customStyle="1" w:styleId="NICEnormalindented">
    <w:name w:val="NICE normal indented"/>
    <w:basedOn w:val="NICEnormal"/>
    <w:rsid w:val="00CA20DD"/>
    <w:pPr>
      <w:tabs>
        <w:tab w:val="left" w:pos="1134"/>
      </w:tabs>
      <w:ind w:left="1134"/>
    </w:pPr>
  </w:style>
  <w:style w:type="paragraph" w:customStyle="1" w:styleId="Tabletitle">
    <w:name w:val="Table title"/>
    <w:basedOn w:val="NICEnormal"/>
    <w:next w:val="NICEnormal"/>
    <w:rsid w:val="00CA20DD"/>
    <w:pPr>
      <w:keepNext/>
      <w:spacing w:after="60" w:line="240" w:lineRule="auto"/>
    </w:pPr>
    <w:rPr>
      <w:b/>
    </w:rPr>
  </w:style>
  <w:style w:type="paragraph" w:customStyle="1" w:styleId="Tabletext">
    <w:name w:val="Table text"/>
    <w:basedOn w:val="PGDNormal"/>
    <w:rsid w:val="00CA20DD"/>
    <w:pPr>
      <w:keepNext/>
      <w:spacing w:after="60"/>
    </w:pPr>
  </w:style>
  <w:style w:type="paragraph" w:customStyle="1" w:styleId="Section2paragraphs">
    <w:name w:val="Section 2 paragraphs"/>
    <w:basedOn w:val="NICEnormal"/>
    <w:rsid w:val="00CA20DD"/>
    <w:pPr>
      <w:tabs>
        <w:tab w:val="num" w:pos="360"/>
      </w:tabs>
    </w:pPr>
  </w:style>
  <w:style w:type="paragraph" w:customStyle="1" w:styleId="Section3paragraphs">
    <w:name w:val="Section 3 paragraphs"/>
    <w:basedOn w:val="NICEnormal"/>
    <w:rsid w:val="00CA20DD"/>
    <w:pPr>
      <w:tabs>
        <w:tab w:val="num" w:pos="360"/>
      </w:tabs>
    </w:pPr>
  </w:style>
  <w:style w:type="paragraph" w:customStyle="1" w:styleId="Section411paragraphs">
    <w:name w:val="Section 4.1.1 paragraphs"/>
    <w:basedOn w:val="NICEnormal"/>
    <w:rsid w:val="00CA20DD"/>
    <w:pPr>
      <w:tabs>
        <w:tab w:val="num" w:pos="360"/>
      </w:tabs>
    </w:pPr>
  </w:style>
  <w:style w:type="paragraph" w:customStyle="1" w:styleId="Section412paragraphs">
    <w:name w:val="Section 4.1.2 paragraphs"/>
    <w:basedOn w:val="NICEnormal"/>
    <w:rsid w:val="00CA20DD"/>
    <w:pPr>
      <w:tabs>
        <w:tab w:val="num" w:pos="360"/>
      </w:tabs>
    </w:pPr>
  </w:style>
  <w:style w:type="paragraph" w:customStyle="1" w:styleId="Section42paragraphs">
    <w:name w:val="Section 4.2 paragraphs"/>
    <w:basedOn w:val="NICEnormal"/>
    <w:rsid w:val="00CA20DD"/>
    <w:pPr>
      <w:tabs>
        <w:tab w:val="num" w:pos="360"/>
      </w:tabs>
    </w:pPr>
  </w:style>
  <w:style w:type="paragraph" w:customStyle="1" w:styleId="Section43paragraphs">
    <w:name w:val="Section 4.3 paragraphs"/>
    <w:basedOn w:val="NICEnormal"/>
    <w:rsid w:val="00CA20DD"/>
    <w:pPr>
      <w:tabs>
        <w:tab w:val="num" w:pos="360"/>
      </w:tabs>
    </w:pPr>
  </w:style>
  <w:style w:type="paragraph" w:customStyle="1" w:styleId="Appendixlevel1">
    <w:name w:val="Appendix level 1"/>
    <w:basedOn w:val="NICEnormal"/>
    <w:autoRedefine/>
    <w:rsid w:val="00CA20DD"/>
    <w:pPr>
      <w:tabs>
        <w:tab w:val="num" w:pos="360"/>
      </w:tabs>
      <w:spacing w:before="240"/>
    </w:pPr>
  </w:style>
  <w:style w:type="paragraph" w:customStyle="1" w:styleId="Appendixlevel2">
    <w:name w:val="Appendix level 2"/>
    <w:basedOn w:val="NICEnormal"/>
    <w:rsid w:val="00CA20DD"/>
    <w:pPr>
      <w:tabs>
        <w:tab w:val="num" w:pos="360"/>
      </w:tabs>
      <w:spacing w:before="240"/>
    </w:pPr>
  </w:style>
  <w:style w:type="paragraph" w:customStyle="1" w:styleId="Appendixbullet">
    <w:name w:val="Appendix bullet"/>
    <w:basedOn w:val="NICEnormal"/>
    <w:rsid w:val="00CA20DD"/>
    <w:pPr>
      <w:tabs>
        <w:tab w:val="num" w:pos="360"/>
      </w:tabs>
      <w:spacing w:after="0" w:line="240" w:lineRule="auto"/>
    </w:pPr>
  </w:style>
  <w:style w:type="paragraph" w:customStyle="1" w:styleId="Appendixreferences">
    <w:name w:val="Appendix references"/>
    <w:basedOn w:val="NICEnormal"/>
    <w:rsid w:val="00CA20DD"/>
    <w:pPr>
      <w:tabs>
        <w:tab w:val="left" w:pos="567"/>
      </w:tabs>
      <w:spacing w:after="120" w:line="240" w:lineRule="auto"/>
      <w:ind w:left="567"/>
    </w:pPr>
  </w:style>
  <w:style w:type="paragraph" w:customStyle="1" w:styleId="References">
    <w:name w:val="References"/>
    <w:basedOn w:val="PGDNormal"/>
    <w:rsid w:val="00CA20DD"/>
    <w:pPr>
      <w:tabs>
        <w:tab w:val="num" w:pos="360"/>
      </w:tabs>
      <w:spacing w:after="120"/>
    </w:pPr>
  </w:style>
  <w:style w:type="paragraph" w:styleId="BalloonText">
    <w:name w:val="Balloon Text"/>
    <w:basedOn w:val="Normal"/>
    <w:link w:val="BalloonTextChar"/>
    <w:semiHidden/>
    <w:rsid w:val="00CA20DD"/>
    <w:rPr>
      <w:rFonts w:ascii="Tahoma" w:hAnsi="Tahoma" w:cs="Tahoma"/>
      <w:sz w:val="16"/>
      <w:szCs w:val="16"/>
    </w:rPr>
  </w:style>
  <w:style w:type="character" w:customStyle="1" w:styleId="BalloonTextChar">
    <w:name w:val="Balloon Text Char"/>
    <w:link w:val="BalloonText"/>
    <w:semiHidden/>
    <w:rsid w:val="00CA20D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A20DD"/>
    <w:rPr>
      <w:sz w:val="16"/>
      <w:szCs w:val="16"/>
    </w:rPr>
  </w:style>
  <w:style w:type="paragraph" w:styleId="CommentText">
    <w:name w:val="annotation text"/>
    <w:basedOn w:val="Normal"/>
    <w:link w:val="CommentTextChar1"/>
    <w:uiPriority w:val="99"/>
    <w:unhideWhenUsed/>
    <w:rsid w:val="00CA20DD"/>
  </w:style>
  <w:style w:type="character" w:customStyle="1" w:styleId="CommentTextChar">
    <w:name w:val="Comment Text Char"/>
    <w:uiPriority w:val="99"/>
    <w:rsid w:val="00CA20D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A20DD"/>
    <w:rPr>
      <w:b/>
      <w:bCs/>
    </w:rPr>
  </w:style>
  <w:style w:type="character" w:customStyle="1" w:styleId="CommentSubjectChar">
    <w:name w:val="Comment Subject Char"/>
    <w:semiHidden/>
    <w:rsid w:val="00CA20D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A20DD"/>
    <w:pPr>
      <w:spacing w:before="100" w:beforeAutospacing="1" w:after="100" w:afterAutospacing="1"/>
    </w:pPr>
  </w:style>
  <w:style w:type="paragraph" w:styleId="TOC1">
    <w:name w:val="toc 1"/>
    <w:basedOn w:val="Normal"/>
    <w:next w:val="Normal"/>
    <w:autoRedefine/>
    <w:rsid w:val="00CA20DD"/>
    <w:rPr>
      <w:rFonts w:ascii="Arial" w:hAnsi="Arial"/>
    </w:rPr>
  </w:style>
  <w:style w:type="paragraph" w:styleId="TOC2">
    <w:name w:val="toc 2"/>
    <w:basedOn w:val="Normal"/>
    <w:next w:val="Normal"/>
    <w:autoRedefine/>
    <w:rsid w:val="00CA20DD"/>
    <w:pPr>
      <w:ind w:left="240"/>
    </w:pPr>
    <w:rPr>
      <w:rFonts w:ascii="Arial" w:hAnsi="Arial"/>
    </w:rPr>
  </w:style>
  <w:style w:type="paragraph" w:customStyle="1" w:styleId="Frontpagetitle">
    <w:name w:val="Front page title"/>
    <w:basedOn w:val="Normal"/>
    <w:rsid w:val="00CA20DD"/>
    <w:pPr>
      <w:spacing w:after="240"/>
      <w:jc w:val="center"/>
    </w:pPr>
    <w:rPr>
      <w:rFonts w:ascii="Arial" w:hAnsi="Arial" w:cs="Arial"/>
      <w:sz w:val="48"/>
      <w:szCs w:val="48"/>
      <w:lang w:val="en-US"/>
    </w:rPr>
  </w:style>
  <w:style w:type="paragraph" w:customStyle="1" w:styleId="Frontpagedate">
    <w:name w:val="Front page date"/>
    <w:basedOn w:val="Normal"/>
    <w:rsid w:val="00CA20DD"/>
    <w:pPr>
      <w:spacing w:after="240"/>
    </w:pPr>
    <w:rPr>
      <w:rFonts w:ascii="Arial" w:hAnsi="Arial" w:cs="Arial"/>
      <w:sz w:val="32"/>
      <w:szCs w:val="32"/>
      <w:lang w:val="en-US"/>
    </w:rPr>
  </w:style>
  <w:style w:type="paragraph" w:customStyle="1" w:styleId="Frontpageguidelinenumber">
    <w:name w:val="Front page guideline number"/>
    <w:basedOn w:val="Normal"/>
    <w:rsid w:val="00CA20D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A20DD"/>
    <w:pPr>
      <w:outlineLvl w:val="9"/>
    </w:pPr>
    <w:rPr>
      <w:lang w:bidi="en-US"/>
    </w:rPr>
  </w:style>
  <w:style w:type="paragraph" w:styleId="TOC3">
    <w:name w:val="toc 3"/>
    <w:basedOn w:val="Normal"/>
    <w:next w:val="Normal"/>
    <w:autoRedefine/>
    <w:semiHidden/>
    <w:rsid w:val="00CA20DD"/>
    <w:pPr>
      <w:ind w:left="480"/>
    </w:pPr>
    <w:rPr>
      <w:rFonts w:ascii="Arial" w:hAnsi="Arial"/>
    </w:rPr>
  </w:style>
  <w:style w:type="character" w:styleId="FollowedHyperlink">
    <w:name w:val="FollowedHyperlink"/>
    <w:unhideWhenUsed/>
    <w:rsid w:val="00CA20DD"/>
    <w:rPr>
      <w:color w:val="800080"/>
      <w:u w:val="single"/>
    </w:rPr>
  </w:style>
  <w:style w:type="paragraph" w:customStyle="1" w:styleId="Level2text">
    <w:name w:val="Level 2 text"/>
    <w:basedOn w:val="Numberedheading2"/>
    <w:locked/>
    <w:rsid w:val="00CA20DD"/>
    <w:pPr>
      <w:numPr>
        <w:ilvl w:val="1"/>
        <w:numId w:val="1"/>
      </w:numPr>
    </w:pPr>
    <w:rPr>
      <w:b/>
      <w:i/>
    </w:rPr>
  </w:style>
  <w:style w:type="paragraph" w:styleId="FootnoteText">
    <w:name w:val="footnote text"/>
    <w:basedOn w:val="Normal"/>
    <w:link w:val="FootnoteTextChar1"/>
    <w:semiHidden/>
    <w:rsid w:val="00CA20DD"/>
    <w:rPr>
      <w:rFonts w:ascii="Arial" w:eastAsia="Calibri" w:hAnsi="Arial"/>
    </w:rPr>
  </w:style>
  <w:style w:type="character" w:customStyle="1" w:styleId="FootnoteTextChar">
    <w:name w:val="Footnote Text Char"/>
    <w:rsid w:val="00CA20DD"/>
    <w:rPr>
      <w:rFonts w:ascii="Arial" w:eastAsia="Times New Roman" w:hAnsi="Arial"/>
    </w:rPr>
  </w:style>
  <w:style w:type="character" w:styleId="FootnoteReference">
    <w:name w:val="footnote reference"/>
    <w:rsid w:val="00CA20DD"/>
    <w:rPr>
      <w:vertAlign w:val="superscript"/>
    </w:rPr>
  </w:style>
  <w:style w:type="paragraph" w:customStyle="1" w:styleId="Paragraph">
    <w:name w:val="Paragraph"/>
    <w:basedOn w:val="Paragraphnonumbers"/>
    <w:uiPriority w:val="4"/>
    <w:qFormat/>
    <w:rsid w:val="00CA20DD"/>
    <w:pPr>
      <w:numPr>
        <w:numId w:val="9"/>
      </w:numPr>
      <w:tabs>
        <w:tab w:val="left" w:pos="567"/>
      </w:tabs>
    </w:pPr>
  </w:style>
  <w:style w:type="paragraph" w:customStyle="1" w:styleId="Bullets">
    <w:name w:val="Bullets"/>
    <w:basedOn w:val="Normal"/>
    <w:uiPriority w:val="5"/>
    <w:qFormat/>
    <w:rsid w:val="00CA20DD"/>
    <w:pPr>
      <w:numPr>
        <w:numId w:val="16"/>
      </w:numPr>
      <w:spacing w:after="120" w:line="276" w:lineRule="auto"/>
    </w:pPr>
    <w:rPr>
      <w:rFonts w:ascii="Arial" w:hAnsi="Arial"/>
    </w:rPr>
  </w:style>
  <w:style w:type="paragraph" w:customStyle="1" w:styleId="Subbullets">
    <w:name w:val="Sub bullets"/>
    <w:basedOn w:val="Normal"/>
    <w:uiPriority w:val="6"/>
    <w:qFormat/>
    <w:rsid w:val="00CA20DD"/>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A20DD"/>
    <w:pPr>
      <w:spacing w:after="240" w:line="276" w:lineRule="auto"/>
    </w:pPr>
    <w:rPr>
      <w:rFonts w:ascii="Arial" w:hAnsi="Arial"/>
    </w:rPr>
  </w:style>
  <w:style w:type="paragraph" w:styleId="TOAHeading">
    <w:name w:val="toa heading"/>
    <w:basedOn w:val="Normal"/>
    <w:next w:val="Normal"/>
    <w:semiHidden/>
    <w:rsid w:val="00CA20DD"/>
    <w:pPr>
      <w:spacing w:before="120"/>
    </w:pPr>
    <w:rPr>
      <w:rFonts w:ascii="Arial" w:hAnsi="Arial"/>
      <w:b/>
      <w:bCs/>
    </w:rPr>
  </w:style>
  <w:style w:type="paragraph" w:styleId="TOC4">
    <w:name w:val="toc 4"/>
    <w:basedOn w:val="Normal"/>
    <w:next w:val="Normal"/>
    <w:autoRedefine/>
    <w:semiHidden/>
    <w:rsid w:val="00CA20DD"/>
    <w:pPr>
      <w:ind w:left="720"/>
    </w:pPr>
    <w:rPr>
      <w:rFonts w:ascii="Arial" w:hAnsi="Arial"/>
    </w:rPr>
  </w:style>
  <w:style w:type="paragraph" w:customStyle="1" w:styleId="Bulletindent1alast">
    <w:name w:val="Bullet indent 1a last"/>
    <w:basedOn w:val="Bulletindent1last"/>
    <w:qFormat/>
    <w:rsid w:val="00CA20DD"/>
    <w:pPr>
      <w:ind w:left="2552"/>
    </w:pPr>
  </w:style>
  <w:style w:type="paragraph" w:customStyle="1" w:styleId="Bulletindent2a">
    <w:name w:val="Bullet indent 2a"/>
    <w:basedOn w:val="Normal"/>
    <w:qFormat/>
    <w:rsid w:val="00CA20D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A20DD"/>
    <w:pPr>
      <w:tabs>
        <w:tab w:val="num" w:pos="2552"/>
      </w:tabs>
      <w:ind w:left="2552"/>
    </w:pPr>
  </w:style>
  <w:style w:type="paragraph" w:customStyle="1" w:styleId="Frontpagegreentitle">
    <w:name w:val="Front page green title"/>
    <w:basedOn w:val="Normal"/>
    <w:rsid w:val="00CA20DD"/>
    <w:pPr>
      <w:jc w:val="center"/>
    </w:pPr>
    <w:rPr>
      <w:rFonts w:ascii="Arial" w:hAnsi="Arial" w:cs="Arial"/>
      <w:b/>
      <w:color w:val="009999"/>
      <w:sz w:val="64"/>
      <w:szCs w:val="64"/>
    </w:rPr>
  </w:style>
  <w:style w:type="paragraph" w:styleId="TOC5">
    <w:name w:val="toc 5"/>
    <w:basedOn w:val="Normal"/>
    <w:next w:val="Normal"/>
    <w:autoRedefine/>
    <w:semiHidden/>
    <w:unhideWhenUsed/>
    <w:rsid w:val="00CA20DD"/>
    <w:pPr>
      <w:spacing w:after="100" w:line="276" w:lineRule="auto"/>
      <w:ind w:left="880"/>
    </w:pPr>
  </w:style>
  <w:style w:type="paragraph" w:styleId="TOC6">
    <w:name w:val="toc 6"/>
    <w:basedOn w:val="Normal"/>
    <w:next w:val="Normal"/>
    <w:autoRedefine/>
    <w:semiHidden/>
    <w:unhideWhenUsed/>
    <w:rsid w:val="00CA20DD"/>
    <w:pPr>
      <w:spacing w:after="100" w:line="276" w:lineRule="auto"/>
      <w:ind w:left="1100"/>
    </w:pPr>
  </w:style>
  <w:style w:type="paragraph" w:styleId="TOC7">
    <w:name w:val="toc 7"/>
    <w:basedOn w:val="Normal"/>
    <w:next w:val="Normal"/>
    <w:autoRedefine/>
    <w:semiHidden/>
    <w:unhideWhenUsed/>
    <w:rsid w:val="00CA20DD"/>
    <w:pPr>
      <w:spacing w:after="100" w:line="276" w:lineRule="auto"/>
      <w:ind w:left="1320"/>
    </w:pPr>
  </w:style>
  <w:style w:type="paragraph" w:styleId="TOC8">
    <w:name w:val="toc 8"/>
    <w:basedOn w:val="Normal"/>
    <w:next w:val="Normal"/>
    <w:autoRedefine/>
    <w:semiHidden/>
    <w:unhideWhenUsed/>
    <w:rsid w:val="00CA20DD"/>
    <w:pPr>
      <w:spacing w:after="100" w:line="276" w:lineRule="auto"/>
      <w:ind w:left="1540"/>
    </w:pPr>
  </w:style>
  <w:style w:type="paragraph" w:styleId="TOC9">
    <w:name w:val="toc 9"/>
    <w:basedOn w:val="Normal"/>
    <w:next w:val="Normal"/>
    <w:autoRedefine/>
    <w:semiHidden/>
    <w:unhideWhenUsed/>
    <w:rsid w:val="00CA20DD"/>
    <w:pPr>
      <w:spacing w:after="100" w:line="276" w:lineRule="auto"/>
      <w:ind w:left="1760"/>
    </w:pPr>
  </w:style>
  <w:style w:type="paragraph" w:customStyle="1" w:styleId="Question">
    <w:name w:val="Question"/>
    <w:basedOn w:val="References"/>
    <w:qFormat/>
    <w:rsid w:val="00CA20DD"/>
    <w:pPr>
      <w:keepNext/>
      <w:numPr>
        <w:numId w:val="2"/>
      </w:numPr>
    </w:pPr>
    <w:rPr>
      <w:b/>
    </w:rPr>
  </w:style>
  <w:style w:type="paragraph" w:styleId="EndnoteText">
    <w:name w:val="endnote text"/>
    <w:basedOn w:val="Normal"/>
    <w:link w:val="EndnoteTextChar1"/>
    <w:semiHidden/>
    <w:unhideWhenUsed/>
    <w:rsid w:val="00CA20DD"/>
  </w:style>
  <w:style w:type="character" w:customStyle="1" w:styleId="EndnoteTextChar">
    <w:name w:val="Endnote Text Char"/>
    <w:semiHidden/>
    <w:rsid w:val="00CA20DD"/>
    <w:rPr>
      <w:rFonts w:ascii="Times New Roman" w:eastAsia="Times New Roman" w:hAnsi="Times New Roman"/>
    </w:rPr>
  </w:style>
  <w:style w:type="character" w:styleId="EndnoteReference">
    <w:name w:val="endnote reference"/>
    <w:semiHidden/>
    <w:unhideWhenUsed/>
    <w:rsid w:val="00CA20DD"/>
    <w:rPr>
      <w:vertAlign w:val="superscript"/>
    </w:rPr>
  </w:style>
  <w:style w:type="paragraph" w:customStyle="1" w:styleId="Style4">
    <w:name w:val="Style4"/>
    <w:basedOn w:val="Normal"/>
    <w:autoRedefine/>
    <w:rsid w:val="00CA20DD"/>
    <w:pPr>
      <w:keepNext/>
      <w:spacing w:line="360" w:lineRule="auto"/>
      <w:ind w:left="567"/>
    </w:pPr>
    <w:rPr>
      <w:rFonts w:ascii="Arial" w:hAnsi="Arial" w:cs="Arial"/>
    </w:rPr>
  </w:style>
  <w:style w:type="paragraph" w:customStyle="1" w:styleId="Bodytextosteo">
    <w:name w:val="Body text osteo"/>
    <w:basedOn w:val="BodyText"/>
    <w:autoRedefine/>
    <w:rsid w:val="00CA20DD"/>
    <w:pPr>
      <w:spacing w:after="0" w:line="360" w:lineRule="auto"/>
      <w:ind w:left="567"/>
    </w:pPr>
    <w:rPr>
      <w:rFonts w:ascii="Arial" w:hAnsi="Arial" w:cs="Arial"/>
    </w:rPr>
  </w:style>
  <w:style w:type="paragraph" w:styleId="BodyText">
    <w:name w:val="Body Text"/>
    <w:basedOn w:val="Normal"/>
    <w:link w:val="BodyTextChar"/>
    <w:rsid w:val="00CA20DD"/>
    <w:pPr>
      <w:spacing w:after="120"/>
    </w:pPr>
  </w:style>
  <w:style w:type="paragraph" w:customStyle="1" w:styleId="bulletdoubleindent">
    <w:name w:val="bullet double indent"/>
    <w:basedOn w:val="Normal"/>
    <w:autoRedefine/>
    <w:rsid w:val="00CA20DD"/>
    <w:pPr>
      <w:numPr>
        <w:numId w:val="3"/>
      </w:numPr>
      <w:spacing w:line="360" w:lineRule="auto"/>
    </w:pPr>
    <w:rPr>
      <w:rFonts w:ascii="Arial" w:eastAsia="Calibri" w:hAnsi="Arial"/>
    </w:rPr>
  </w:style>
  <w:style w:type="paragraph" w:customStyle="1" w:styleId="bulletindentosteo">
    <w:name w:val="bullet indent osteo"/>
    <w:basedOn w:val="Normal"/>
    <w:autoRedefine/>
    <w:rsid w:val="00CA20DD"/>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A20DD"/>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A20DD"/>
    <w:pPr>
      <w:spacing w:after="0" w:line="360" w:lineRule="auto"/>
      <w:ind w:left="567"/>
    </w:pPr>
  </w:style>
  <w:style w:type="paragraph" w:customStyle="1" w:styleId="subheadingosteo">
    <w:name w:val="subheading osteo"/>
    <w:basedOn w:val="Heading6"/>
    <w:autoRedefine/>
    <w:rsid w:val="00CA20DD"/>
    <w:pPr>
      <w:keepNext/>
      <w:spacing w:line="360" w:lineRule="auto"/>
      <w:ind w:left="539"/>
    </w:pPr>
    <w:rPr>
      <w:rFonts w:ascii="Arial" w:hAnsi="Arial"/>
    </w:rPr>
  </w:style>
  <w:style w:type="paragraph" w:customStyle="1" w:styleId="bulletdoubleindentosteo">
    <w:name w:val="bullet double indent osteo"/>
    <w:basedOn w:val="bulletindentosteo"/>
    <w:autoRedefine/>
    <w:rsid w:val="00CA20DD"/>
    <w:pPr>
      <w:numPr>
        <w:numId w:val="5"/>
      </w:numPr>
    </w:pPr>
    <w:rPr>
      <w:rFonts w:eastAsia="Times New Roman"/>
      <w:lang w:eastAsia="en-GB"/>
    </w:rPr>
  </w:style>
  <w:style w:type="paragraph" w:styleId="ListBullet3">
    <w:name w:val="List Bullet 3"/>
    <w:basedOn w:val="Normal"/>
    <w:autoRedefine/>
    <w:rsid w:val="00CA20DD"/>
  </w:style>
  <w:style w:type="paragraph" w:customStyle="1" w:styleId="Bulletosteotable">
    <w:name w:val="Bullet osteo table"/>
    <w:basedOn w:val="bulletosteoporosis"/>
    <w:autoRedefine/>
    <w:rsid w:val="00CA20DD"/>
    <w:pPr>
      <w:numPr>
        <w:numId w:val="6"/>
      </w:numPr>
    </w:pPr>
  </w:style>
  <w:style w:type="paragraph" w:customStyle="1" w:styleId="StyleHeading2Before0ptAfter0ptLinespacing15l">
    <w:name w:val="Style Heading 2 + Before:  0 pt After:  0 pt Line spacing:  1.5 l..."/>
    <w:basedOn w:val="Heading2"/>
    <w:autoRedefine/>
    <w:rsid w:val="00CA20DD"/>
    <w:pPr>
      <w:spacing w:after="0" w:line="360" w:lineRule="auto"/>
    </w:pPr>
    <w:rPr>
      <w:szCs w:val="20"/>
      <w:lang w:val="en-US"/>
    </w:rPr>
  </w:style>
  <w:style w:type="paragraph" w:customStyle="1" w:styleId="NCC-ACChaptertitle">
    <w:name w:val="NCC-AC Chapter title"/>
    <w:basedOn w:val="Numberedheading1"/>
    <w:next w:val="Normal"/>
    <w:autoRedefine/>
    <w:rsid w:val="00CA20D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A20D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A20DD"/>
    <w:pPr>
      <w:numPr>
        <w:ilvl w:val="3"/>
        <w:numId w:val="8"/>
      </w:numPr>
    </w:pPr>
    <w:rPr>
      <w:b w:val="0"/>
    </w:rPr>
  </w:style>
  <w:style w:type="numbering" w:customStyle="1" w:styleId="NiceNumbering">
    <w:name w:val="Nice Numbering"/>
    <w:rsid w:val="00CA20DD"/>
    <w:pPr>
      <w:numPr>
        <w:numId w:val="8"/>
      </w:numPr>
    </w:pPr>
  </w:style>
  <w:style w:type="character" w:customStyle="1" w:styleId="FootnoteTextChar1">
    <w:name w:val="Footnote Text Char1"/>
    <w:link w:val="FootnoteText"/>
    <w:semiHidden/>
    <w:rsid w:val="00CA20DD"/>
    <w:rPr>
      <w:rFonts w:ascii="Arial" w:hAnsi="Arial"/>
      <w:kern w:val="2"/>
      <w:lang w:eastAsia="en-US"/>
      <w14:ligatures w14:val="standardContextual"/>
    </w:rPr>
  </w:style>
  <w:style w:type="table" w:styleId="TableGrid">
    <w:name w:val="Table Grid"/>
    <w:basedOn w:val="TableNormal"/>
    <w:rsid w:val="00CA20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A20DD"/>
    <w:rPr>
      <w:rFonts w:ascii="Arial" w:hAnsi="Arial" w:cs="Arial"/>
      <w:color w:val="FFFFFF"/>
      <w:sz w:val="32"/>
      <w:szCs w:val="32"/>
    </w:rPr>
  </w:style>
  <w:style w:type="paragraph" w:customStyle="1" w:styleId="Default">
    <w:name w:val="Default"/>
    <w:rsid w:val="00CA20DD"/>
    <w:pPr>
      <w:autoSpaceDE w:val="0"/>
      <w:autoSpaceDN w:val="0"/>
      <w:adjustRightInd w:val="0"/>
    </w:pPr>
    <w:rPr>
      <w:rFonts w:eastAsia="Times New Roman" w:cs="Calibri"/>
      <w:color w:val="000000"/>
    </w:rPr>
  </w:style>
  <w:style w:type="paragraph" w:customStyle="1" w:styleId="PGDNormal">
    <w:name w:val="PGD Normal"/>
    <w:basedOn w:val="NICEnormal"/>
    <w:rsid w:val="00CA20DD"/>
    <w:pPr>
      <w:spacing w:line="240" w:lineRule="auto"/>
    </w:pPr>
    <w:rPr>
      <w:sz w:val="22"/>
    </w:rPr>
  </w:style>
  <w:style w:type="paragraph" w:customStyle="1" w:styleId="TabletextIPoverviewevidence">
    <w:name w:val="Table text IP overview evidence"/>
    <w:basedOn w:val="Tabletext"/>
    <w:rsid w:val="00CA20DD"/>
    <w:rPr>
      <w:sz w:val="18"/>
    </w:rPr>
  </w:style>
  <w:style w:type="character" w:customStyle="1" w:styleId="Heading5Char">
    <w:name w:val="Heading 5 Char"/>
    <w:link w:val="Heading5"/>
    <w:uiPriority w:val="9"/>
    <w:rsid w:val="00CA20D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A20D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A20D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A20D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A20D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A20DD"/>
    <w:pPr>
      <w:spacing w:after="600"/>
    </w:pPr>
    <w:rPr>
      <w:rFonts w:ascii="Cambria" w:hAnsi="Cambria"/>
      <w:i/>
      <w:iCs/>
      <w:spacing w:val="13"/>
    </w:rPr>
  </w:style>
  <w:style w:type="character" w:customStyle="1" w:styleId="SubtitleChar">
    <w:name w:val="Subtitle Char"/>
    <w:link w:val="Subtitle"/>
    <w:uiPriority w:val="11"/>
    <w:rsid w:val="00CA20DD"/>
    <w:rPr>
      <w:rFonts w:ascii="Cambria" w:eastAsiaTheme="minorHAnsi" w:hAnsi="Cambria"/>
      <w:i/>
      <w:iCs/>
      <w:spacing w:val="13"/>
      <w:kern w:val="2"/>
      <w:lang w:eastAsia="en-US"/>
      <w14:ligatures w14:val="standardContextual"/>
    </w:rPr>
  </w:style>
  <w:style w:type="character" w:styleId="Strong">
    <w:name w:val="Strong"/>
    <w:uiPriority w:val="22"/>
    <w:qFormat/>
    <w:rsid w:val="00CA20DD"/>
    <w:rPr>
      <w:b/>
      <w:bCs/>
    </w:rPr>
  </w:style>
  <w:style w:type="character" w:styleId="Emphasis">
    <w:name w:val="Emphasis"/>
    <w:uiPriority w:val="20"/>
    <w:qFormat/>
    <w:rsid w:val="00CA20DD"/>
    <w:rPr>
      <w:b/>
      <w:bCs/>
      <w:i/>
      <w:iCs/>
      <w:spacing w:val="10"/>
      <w:bdr w:val="none" w:sz="0" w:space="0" w:color="auto"/>
      <w:shd w:val="clear" w:color="auto" w:fill="auto"/>
    </w:rPr>
  </w:style>
  <w:style w:type="paragraph" w:styleId="NoSpacing">
    <w:name w:val="No Spacing"/>
    <w:basedOn w:val="Normal"/>
    <w:uiPriority w:val="1"/>
    <w:qFormat/>
    <w:rsid w:val="00CA20DD"/>
    <w:rPr>
      <w:rFonts w:eastAsia="Calibri"/>
    </w:rPr>
  </w:style>
  <w:style w:type="paragraph" w:styleId="Quote">
    <w:name w:val="Quote"/>
    <w:basedOn w:val="Normal"/>
    <w:next w:val="Normal"/>
    <w:link w:val="QuoteChar"/>
    <w:uiPriority w:val="29"/>
    <w:qFormat/>
    <w:rsid w:val="00CA20DD"/>
    <w:pPr>
      <w:spacing w:before="200"/>
      <w:ind w:left="360" w:right="360"/>
    </w:pPr>
    <w:rPr>
      <w:i/>
      <w:iCs/>
    </w:rPr>
  </w:style>
  <w:style w:type="character" w:customStyle="1" w:styleId="QuoteChar">
    <w:name w:val="Quote Char"/>
    <w:link w:val="Quote"/>
    <w:uiPriority w:val="29"/>
    <w:rsid w:val="00CA20D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A20D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A20DD"/>
    <w:rPr>
      <w:rFonts w:eastAsiaTheme="minorHAnsi"/>
      <w:b/>
      <w:bCs/>
      <w:i/>
      <w:iCs/>
      <w:kern w:val="2"/>
      <w:lang w:eastAsia="en-US"/>
      <w14:ligatures w14:val="standardContextual"/>
    </w:rPr>
  </w:style>
  <w:style w:type="character" w:styleId="SubtleEmphasis">
    <w:name w:val="Subtle Emphasis"/>
    <w:uiPriority w:val="19"/>
    <w:qFormat/>
    <w:rsid w:val="00CA20DD"/>
    <w:rPr>
      <w:i/>
      <w:iCs/>
    </w:rPr>
  </w:style>
  <w:style w:type="character" w:styleId="IntenseEmphasis">
    <w:name w:val="Intense Emphasis"/>
    <w:uiPriority w:val="21"/>
    <w:qFormat/>
    <w:rsid w:val="00CA20DD"/>
    <w:rPr>
      <w:b/>
      <w:bCs/>
    </w:rPr>
  </w:style>
  <w:style w:type="character" w:styleId="SubtleReference">
    <w:name w:val="Subtle Reference"/>
    <w:uiPriority w:val="31"/>
    <w:qFormat/>
    <w:rsid w:val="00CA20DD"/>
    <w:rPr>
      <w:smallCaps/>
    </w:rPr>
  </w:style>
  <w:style w:type="character" w:styleId="IntenseReference">
    <w:name w:val="Intense Reference"/>
    <w:uiPriority w:val="32"/>
    <w:qFormat/>
    <w:rsid w:val="00CA20DD"/>
    <w:rPr>
      <w:smallCaps/>
      <w:spacing w:val="5"/>
      <w:u w:val="single"/>
    </w:rPr>
  </w:style>
  <w:style w:type="character" w:styleId="BookTitle">
    <w:name w:val="Book Title"/>
    <w:uiPriority w:val="33"/>
    <w:qFormat/>
    <w:rsid w:val="00CA20DD"/>
    <w:rPr>
      <w:i/>
      <w:iCs/>
      <w:smallCaps/>
      <w:spacing w:val="5"/>
    </w:rPr>
  </w:style>
  <w:style w:type="paragraph" w:customStyle="1" w:styleId="NICETitle2">
    <w:name w:val="NICE Title 2"/>
    <w:basedOn w:val="Normal"/>
    <w:qFormat/>
    <w:rsid w:val="00CA20D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A20DD"/>
    <w:pPr>
      <w:spacing w:after="120" w:line="480" w:lineRule="auto"/>
    </w:pPr>
  </w:style>
  <w:style w:type="character" w:customStyle="1" w:styleId="BodyText2Char">
    <w:name w:val="Body Text 2 Char"/>
    <w:link w:val="BodyText2"/>
    <w:uiPriority w:val="99"/>
    <w:semiHidden/>
    <w:rsid w:val="00CA20DD"/>
    <w:rPr>
      <w:rFonts w:eastAsiaTheme="minorHAnsi"/>
      <w:kern w:val="2"/>
      <w:lang w:eastAsia="en-US"/>
      <w14:ligatures w14:val="standardContextual"/>
    </w:rPr>
  </w:style>
  <w:style w:type="character" w:styleId="UnresolvedMention">
    <w:name w:val="Unresolved Mention"/>
    <w:uiPriority w:val="99"/>
    <w:semiHidden/>
    <w:unhideWhenUsed/>
    <w:rsid w:val="00CA20DD"/>
    <w:rPr>
      <w:color w:val="605E5C"/>
      <w:shd w:val="clear" w:color="auto" w:fill="E1DFDD"/>
    </w:rPr>
  </w:style>
  <w:style w:type="paragraph" w:customStyle="1" w:styleId="PGDTitle2">
    <w:name w:val="PGD Title 2"/>
    <w:basedOn w:val="Normal"/>
    <w:rsid w:val="00CA20DD"/>
    <w:pPr>
      <w:jc w:val="center"/>
    </w:pPr>
    <w:rPr>
      <w:rFonts w:ascii="Arial" w:hAnsi="Arial"/>
      <w:b/>
      <w:sz w:val="36"/>
      <w:szCs w:val="36"/>
    </w:rPr>
  </w:style>
  <w:style w:type="paragraph" w:customStyle="1" w:styleId="PGDTitle1">
    <w:name w:val="PGD Title 1"/>
    <w:basedOn w:val="Normal"/>
    <w:rsid w:val="00CA20DD"/>
    <w:pPr>
      <w:jc w:val="center"/>
    </w:pPr>
    <w:rPr>
      <w:rFonts w:ascii="Arial" w:hAnsi="Arial"/>
      <w:b/>
      <w:bCs/>
      <w:sz w:val="44"/>
    </w:rPr>
  </w:style>
  <w:style w:type="character" w:customStyle="1" w:styleId="PGDVersionNumber">
    <w:name w:val="PGD Version Number"/>
    <w:basedOn w:val="DefaultParagraphFont"/>
    <w:qFormat/>
    <w:rsid w:val="00CA20DD"/>
    <w:rPr>
      <w:rFonts w:ascii="Arial" w:hAnsi="Arial"/>
      <w:sz w:val="28"/>
    </w:rPr>
  </w:style>
  <w:style w:type="paragraph" w:customStyle="1" w:styleId="TableHeaderRow">
    <w:name w:val="Table Header Row"/>
    <w:basedOn w:val="Normal"/>
    <w:rsid w:val="00CA20DD"/>
    <w:rPr>
      <w:rFonts w:ascii="Arial" w:hAnsi="Arial"/>
      <w:b/>
      <w:bCs/>
    </w:rPr>
  </w:style>
  <w:style w:type="character" w:customStyle="1" w:styleId="PGDNormalBold">
    <w:name w:val="PGD Normal Bold"/>
    <w:basedOn w:val="DefaultParagraphFont"/>
    <w:rsid w:val="00CA20DD"/>
    <w:rPr>
      <w:rFonts w:ascii="Arial" w:hAnsi="Arial"/>
      <w:b/>
      <w:bCs/>
    </w:rPr>
  </w:style>
  <w:style w:type="character" w:customStyle="1" w:styleId="TableHeaderColumn">
    <w:name w:val="Table Header Column"/>
    <w:basedOn w:val="DefaultParagraphFont"/>
    <w:rsid w:val="00CA20DD"/>
    <w:rPr>
      <w:rFonts w:ascii="Arial" w:hAnsi="Arial"/>
      <w:b/>
      <w:bCs/>
      <w:sz w:val="20"/>
    </w:rPr>
  </w:style>
  <w:style w:type="paragraph" w:customStyle="1" w:styleId="Title1">
    <w:name w:val="Title 1"/>
    <w:basedOn w:val="Title"/>
    <w:qFormat/>
    <w:rsid w:val="00CA20DD"/>
    <w:rPr>
      <w:rFonts w:ascii="Arial" w:hAnsi="Arial" w:cs="Arial"/>
      <w:sz w:val="44"/>
      <w:szCs w:val="44"/>
    </w:rPr>
  </w:style>
  <w:style w:type="paragraph" w:customStyle="1" w:styleId="Title2">
    <w:name w:val="Title 2"/>
    <w:basedOn w:val="Title"/>
    <w:qFormat/>
    <w:rsid w:val="00CA20DD"/>
    <w:rPr>
      <w:rFonts w:ascii="Arial" w:hAnsi="Arial" w:cs="Arial"/>
      <w:sz w:val="40"/>
      <w:szCs w:val="40"/>
    </w:rPr>
  </w:style>
  <w:style w:type="paragraph" w:customStyle="1" w:styleId="PGDHeading2">
    <w:name w:val="PGD Heading 2"/>
    <w:basedOn w:val="Heading2"/>
    <w:qFormat/>
    <w:rsid w:val="00CA20DD"/>
    <w:rPr>
      <w:rFonts w:ascii="Arial" w:hAnsi="Arial" w:cs="Arial"/>
      <w:color w:val="auto"/>
      <w:sz w:val="28"/>
      <w:szCs w:val="28"/>
    </w:rPr>
  </w:style>
  <w:style w:type="table" w:customStyle="1" w:styleId="Tableheading">
    <w:name w:val="Table heading"/>
    <w:basedOn w:val="TableNormal"/>
    <w:uiPriority w:val="99"/>
    <w:rsid w:val="00CA20D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A20DD"/>
    <w:pPr>
      <w:spacing w:line="240" w:lineRule="auto"/>
    </w:pPr>
  </w:style>
  <w:style w:type="paragraph" w:customStyle="1" w:styleId="PGDtablebullet0">
    <w:name w:val="PGD table bullet"/>
    <w:basedOn w:val="Normal"/>
    <w:rsid w:val="00CA20DD"/>
    <w:rPr>
      <w:rFonts w:ascii="Arial" w:eastAsia="Times New Roman" w:hAnsi="Arial"/>
    </w:rPr>
  </w:style>
  <w:style w:type="numbering" w:customStyle="1" w:styleId="PGDTableBullet">
    <w:name w:val="PGD Table Bullet"/>
    <w:basedOn w:val="NoList"/>
    <w:uiPriority w:val="99"/>
    <w:rsid w:val="00CA20DD"/>
    <w:pPr>
      <w:numPr>
        <w:numId w:val="10"/>
      </w:numPr>
    </w:pPr>
  </w:style>
  <w:style w:type="paragraph" w:customStyle="1" w:styleId="StyleLatinArialAfter0ptLinespacingsingle">
    <w:name w:val="Style (Latin) Arial After:  0 pt Line spacing:  single"/>
    <w:basedOn w:val="Normal"/>
    <w:rsid w:val="00CA20DD"/>
    <w:rPr>
      <w:rFonts w:ascii="Arial" w:eastAsia="Times New Roman" w:hAnsi="Arial"/>
    </w:rPr>
  </w:style>
  <w:style w:type="paragraph" w:customStyle="1" w:styleId="PGDlogo">
    <w:name w:val="PGD logo"/>
    <w:basedOn w:val="NICEnormal"/>
    <w:rsid w:val="00CA20DD"/>
    <w:pPr>
      <w:jc w:val="right"/>
    </w:pPr>
  </w:style>
  <w:style w:type="paragraph" w:customStyle="1" w:styleId="PGDLogo0">
    <w:name w:val="PGD Logo"/>
    <w:basedOn w:val="PGDNormal"/>
    <w:rsid w:val="00CA20DD"/>
    <w:pPr>
      <w:jc w:val="right"/>
    </w:pPr>
  </w:style>
  <w:style w:type="paragraph" w:customStyle="1" w:styleId="PGDVersion">
    <w:name w:val="PGD Version"/>
    <w:basedOn w:val="Normal"/>
    <w:rsid w:val="00CA20DD"/>
    <w:pPr>
      <w:jc w:val="center"/>
    </w:pPr>
    <w:rPr>
      <w:rFonts w:ascii="Arial" w:eastAsia="Times New Roman" w:hAnsi="Arial"/>
      <w:sz w:val="28"/>
    </w:rPr>
  </w:style>
  <w:style w:type="numbering" w:customStyle="1" w:styleId="PGDtablebullet2">
    <w:name w:val="PGD table bullet 2"/>
    <w:basedOn w:val="NoList"/>
    <w:rsid w:val="00CA20DD"/>
    <w:pPr>
      <w:numPr>
        <w:numId w:val="12"/>
      </w:numPr>
    </w:pPr>
  </w:style>
  <w:style w:type="numbering" w:customStyle="1" w:styleId="PGDbullet2">
    <w:name w:val="PGD bullet 2"/>
    <w:basedOn w:val="NoList"/>
    <w:rsid w:val="00CA20DD"/>
    <w:pPr>
      <w:numPr>
        <w:numId w:val="13"/>
      </w:numPr>
    </w:pPr>
  </w:style>
  <w:style w:type="numbering" w:customStyle="1" w:styleId="PGDtablebullet1">
    <w:name w:val="PGD table bullet 1"/>
    <w:basedOn w:val="NoList"/>
    <w:rsid w:val="00CA20DD"/>
    <w:pPr>
      <w:numPr>
        <w:numId w:val="14"/>
      </w:numPr>
    </w:pPr>
  </w:style>
  <w:style w:type="character" w:customStyle="1" w:styleId="BodyTextChar">
    <w:name w:val="Body Text Char"/>
    <w:basedOn w:val="DefaultParagraphFont"/>
    <w:link w:val="BodyText"/>
    <w:rsid w:val="00CA20D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A20D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A20D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A20DD"/>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ashh.org/resources/5/hiv_preexposure_prophylaxis_2025" TargetMode="External"/><Relationship Id="rId18" Type="http://schemas.openxmlformats.org/officeDocument/2006/relationships/hyperlink" Target="https://www.nice.org.uk/Guidance/MPG2" TargetMode="External"/><Relationship Id="rId26" Type="http://schemas.openxmlformats.org/officeDocument/2006/relationships/hyperlink" Target="https://www.england.nhs.uk/wp-content/uploads/2020/10/2112-PrEP-policy-statement-version-2.pdf" TargetMode="External"/><Relationship Id="rId39" Type="http://schemas.openxmlformats.org/officeDocument/2006/relationships/hyperlink" Target="https://www.medicines.org.uk/emc/product/2108/smpc" TargetMode="External"/><Relationship Id="rId21" Type="http://schemas.openxmlformats.org/officeDocument/2006/relationships/hyperlink" Target="https://www.e-lfh.org.uk/programmes/patient-group-directions/" TargetMode="External"/><Relationship Id="rId34" Type="http://schemas.openxmlformats.org/officeDocument/2006/relationships/hyperlink" Target="https://www.england.nhs.uk/wp-content/uploads/2020/10/2112-PrEP-policy-statement-version-2.pdf" TargetMode="External"/><Relationship Id="rId42" Type="http://schemas.openxmlformats.org/officeDocument/2006/relationships/hyperlink" Target="https://www.iwantprepnow.co.uk/" TargetMode="External"/><Relationship Id="rId47" Type="http://schemas.openxmlformats.org/officeDocument/2006/relationships/hyperlink" Target="https://www.england.nhs.uk/wp-content/uploads/2020/10/2112-PrEP-policy-statement-version-2.pdf" TargetMode="External"/><Relationship Id="rId50" Type="http://schemas.openxmlformats.org/officeDocument/2006/relationships/hyperlink" Target="https://www.nice.org.uk/guidance/mpg2" TargetMode="External"/><Relationship Id="rId55" Type="http://schemas.openxmlformats.org/officeDocument/2006/relationships/hyperlink" Target="https://www.bhiva.org/HIV-testing-guideline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wp-content/uploads/2020/10/2112-PrEP-policy-statement-version-2.pdf" TargetMode="External"/><Relationship Id="rId29" Type="http://schemas.openxmlformats.org/officeDocument/2006/relationships/hyperlink" Target="https://www.england.nhs.uk/wp-content/uploads/2020/10/2112-PrEP-policy-statement-version-2.pdf"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england.nhs.uk/wp-content/uploads/2020/10/2112-PrEP-policy-statement-version-2.pdf" TargetMode="External"/><Relationship Id="rId32" Type="http://schemas.openxmlformats.org/officeDocument/2006/relationships/hyperlink" Target="https://www.bashh.org/resources/5/hiv_preexposure_prophylaxis_2025" TargetMode="External"/><Relationship Id="rId37" Type="http://schemas.openxmlformats.org/officeDocument/2006/relationships/hyperlink" Target="https://www.medicines.org.uk/emc/product/2108/smpc" TargetMode="External"/><Relationship Id="rId40" Type="http://schemas.openxmlformats.org/officeDocument/2006/relationships/hyperlink" Target="https://bnf.nice.org.uk/" TargetMode="External"/><Relationship Id="rId45" Type="http://schemas.openxmlformats.org/officeDocument/2006/relationships/hyperlink" Target="https://i-base.info/prep/" TargetMode="External"/><Relationship Id="rId53" Type="http://schemas.openxmlformats.org/officeDocument/2006/relationships/hyperlink" Target="https://www.england.nhs.uk/publication/reimbursement-for-the-use-of-generic-drugs-for-pre-exposure-prophylaxis-prep-for-the-prevention-of-hiv/"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www.nice.org.uk/guidance/mpg2/chapter/Recommendations" TargetMode="External"/><Relationship Id="rId14" Type="http://schemas.openxmlformats.org/officeDocument/2006/relationships/hyperlink" Target="https://www.stonewall.org.uk/list-lgbtq-terms"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england.nhs.uk/wp-content/uploads/2020/10/2112-PrEP-policy-statement-version-2.pdf" TargetMode="External"/><Relationship Id="rId30" Type="http://schemas.openxmlformats.org/officeDocument/2006/relationships/hyperlink" Target="https://www.bashh.org/resources/5/hiv_preexposure_prophylaxis_2025" TargetMode="External"/><Relationship Id="rId35" Type="http://schemas.openxmlformats.org/officeDocument/2006/relationships/hyperlink" Target="https://www.medicines.org.uk/emc/product/2108/smpc" TargetMode="External"/><Relationship Id="rId43" Type="http://schemas.openxmlformats.org/officeDocument/2006/relationships/hyperlink" Target="https://tht.org.uk/hiv/protection/prep-pre-exposure-prophylaxis" TargetMode="External"/><Relationship Id="rId48" Type="http://schemas.openxmlformats.org/officeDocument/2006/relationships/hyperlink" Target="https://www.medicines.org.uk/emc" TargetMode="External"/><Relationship Id="rId56" Type="http://schemas.openxmlformats.org/officeDocument/2006/relationships/hyperlink" Target="https://www.hiv-druginteractions.org/" TargetMode="External"/><Relationship Id="rId8" Type="http://schemas.openxmlformats.org/officeDocument/2006/relationships/webSettings" Target="webSettings.xml"/><Relationship Id="rId51" Type="http://schemas.openxmlformats.org/officeDocument/2006/relationships/hyperlink" Target="https://www.rpharms.com/recognition/setting-professional-standards/safe-and-secure-handling-of-medicines/professional-guidance-on-the-safe-and-secure-handling-of-medicines" TargetMode="External"/><Relationship Id="rId3" Type="http://schemas.openxmlformats.org/officeDocument/2006/relationships/customXml" Target="../customXml/item3.xml"/><Relationship Id="rId12" Type="http://schemas.openxmlformats.org/officeDocument/2006/relationships/hyperlink" Target="https://www.sps.nhs.uk/home/guidance/patient-group-directions-and-legal-mechanisms/national-pgd-templates/" TargetMode="External"/><Relationship Id="rId17" Type="http://schemas.openxmlformats.org/officeDocument/2006/relationships/hyperlink" Target="https://www.bashh.org/resources/5/hiv_preexposure_prophylaxis_2025" TargetMode="External"/><Relationship Id="rId25" Type="http://schemas.openxmlformats.org/officeDocument/2006/relationships/hyperlink" Target="https://www.england.nhs.uk/wp-content/uploads/2020/10/2112-PrEP-policy-statement-version-2.pdf" TargetMode="External"/><Relationship Id="rId33" Type="http://schemas.openxmlformats.org/officeDocument/2006/relationships/hyperlink" Target="https://www.bashh.org/resources/5/hiv_preexposure_prophylaxis_2025" TargetMode="External"/><Relationship Id="rId38" Type="http://schemas.openxmlformats.org/officeDocument/2006/relationships/hyperlink" Target="https://hiv-druginteractions.org/" TargetMode="External"/><Relationship Id="rId46" Type="http://schemas.openxmlformats.org/officeDocument/2006/relationships/hyperlink" Target="https://i-base.info/guides/prep" TargetMode="External"/><Relationship Id="rId59" Type="http://schemas.openxmlformats.org/officeDocument/2006/relationships/header" Target="header2.xml"/><Relationship Id="rId20"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41" Type="http://schemas.openxmlformats.org/officeDocument/2006/relationships/hyperlink" Target="https://yellowcard.mhra.gov.uk/" TargetMode="External"/><Relationship Id="rId54" Type="http://schemas.openxmlformats.org/officeDocument/2006/relationships/hyperlink" Target="https://www.scottishmedicines.org.uk/medicines-advice/emtricitabinetenofovir-disoproxil-truvada-fullsubmission-12251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wp-content/uploads/2020/10/2112-PrEP-policy-statement-version-2.pdf" TargetMode="External"/><Relationship Id="rId23" Type="http://schemas.openxmlformats.org/officeDocument/2006/relationships/hyperlink" Target="https://www.england.nhs.uk/wp-content/uploads/2020/10/2112-PrEP-policy-statement-version-2.pdf" TargetMode="External"/><Relationship Id="rId28" Type="http://schemas.openxmlformats.org/officeDocument/2006/relationships/hyperlink" Target="http://www.medicines.org.uk" TargetMode="External"/><Relationship Id="rId36" Type="http://schemas.openxmlformats.org/officeDocument/2006/relationships/hyperlink" Target="https://bnf.nice.org.uk/" TargetMode="External"/><Relationship Id="rId49" Type="http://schemas.openxmlformats.org/officeDocument/2006/relationships/hyperlink" Target="https://www.pharmaceuticalpress.com/bnf-and-bnfc/" TargetMode="External"/><Relationship Id="rId57" Type="http://schemas.openxmlformats.org/officeDocument/2006/relationships/hyperlink" Target="https://pubmed.ncbi.nlm.nih.gov/32711800/" TargetMode="External"/><Relationship Id="rId10" Type="http://schemas.openxmlformats.org/officeDocument/2006/relationships/endnotes" Target="endnotes.xml"/><Relationship Id="rId31" Type="http://schemas.openxmlformats.org/officeDocument/2006/relationships/hyperlink" Target="https://www.bashh.org/resources/5/hiv_preexposure_prophylaxis_2025" TargetMode="External"/><Relationship Id="rId44" Type="http://schemas.openxmlformats.org/officeDocument/2006/relationships/hyperlink" Target="https://prepster.info/" TargetMode="External"/><Relationship Id="rId52" Type="http://schemas.openxmlformats.org/officeDocument/2006/relationships/hyperlink" Target="https://www.bashh.org/resources/5/hiv_preexposure_prophylaxis_2025"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afa559e6035a66857205deb076e79f77">
  <xsd:schema xmlns:xsd="http://www.w3.org/2001/XMLSchema" xmlns:xs="http://www.w3.org/2001/XMLSchema" xmlns:p="http://schemas.microsoft.com/office/2006/metadata/properties" xmlns:ns2="f161132f-3af4-47f5-b28f-8075dccddbe8" targetNamespace="http://schemas.microsoft.com/office/2006/metadata/properties" ma:root="true" ma:fieldsID="639bde728a01000a5577b1785cb5c4e0"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2028-04-29T23:00:00+00:00</ReviewDate>
    <Versionnumber xmlns="f161132f-3af4-47f5-b28f-8075dccddbe8">2</Versionnumber>
    <ProgrammeBoardMeeting xmlns="f161132f-3af4-47f5-b28f-8075dccddbe8">2028-07-19T23:00:00+00:00</ProgrammeBoardMeeting>
    <PublishedDate xmlns="f161132f-3af4-47f5-b28f-8075dccddbe8">2025-10-31T00:00:00+00:00</PublishedDate>
    <Effectivefromdate xmlns="f161132f-3af4-47f5-b28f-8075dccddbe8">2025-10-31T00:00:00+00:00</Effectivefromdate>
    <RAGrating xmlns="f161132f-3af4-47f5-b28f-8075dccddbe8" xsi:nil="true"/>
    <ExpiryDate xmlns="f161132f-3af4-47f5-b28f-8075dccddbe8">2028-10-31T00:00:00+00:00</ExpiryDate>
    <Accessibletemplate xmlns="f161132f-3af4-47f5-b28f-8075dccddbe8">true</Accessibletemplate>
    <Cardcreated xmlns="f161132f-3af4-47f5-b28f-8075dccddbe8">
      <Url>https://digitalliverpool.sharepoint.com/sites/SPSDigital/Lists/Content%20Directory/DispForm.aspx?ID=2897</Url>
      <Description>PrEP card</Description>
    </Cardcreated>
  </documentManagement>
</p:properti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A06E8F0F-3969-41D4-94B2-CA2EA8A4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24</Pages>
  <Words>5728</Words>
  <Characters>32654</Characters>
  <Application>Microsoft Office Word</Application>
  <DocSecurity>0</DocSecurity>
  <Lines>272</Lines>
  <Paragraphs>76</Paragraphs>
  <ScaleCrop>false</ScaleCrop>
  <Company>NICE</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REYNOLDS, Kieran (LIVERPOOL UNIVERSITY HOSPITALS NHS FOUNDATION TRUST)</cp:lastModifiedBy>
  <cp:revision>4</cp:revision>
  <cp:lastPrinted>2017-03-27T13:58:00Z</cp:lastPrinted>
  <dcterms:created xsi:type="dcterms:W3CDTF">2025-12-04T13:36:00Z</dcterms:created>
  <dcterms:modified xsi:type="dcterms:W3CDTF">2025-12-05T10:33:00Z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