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862949" w14:paraId="61B90BBB" w14:textId="77777777" w:rsidTr="009B0BCE">
        <w:trPr>
          <w:trHeight w:val="192"/>
        </w:trPr>
        <w:tc>
          <w:tcPr>
            <w:tcW w:w="5000" w:type="pct"/>
            <w:tcMar>
              <w:top w:w="57" w:type="dxa"/>
              <w:bottom w:w="57" w:type="dxa"/>
            </w:tcMar>
          </w:tcPr>
          <w:p w14:paraId="474CA093" w14:textId="77777777" w:rsidR="00D2402E" w:rsidRPr="00E369CC" w:rsidRDefault="00860B89" w:rsidP="00F81A28">
            <w:pPr>
              <w:jc w:val="right"/>
              <w:rPr>
                <w:rFonts w:cs="Arial"/>
                <w:b/>
                <w:bCs/>
                <w:iCs/>
                <w:color w:val="0070C0"/>
                <w:sz w:val="15"/>
                <w:szCs w:val="15"/>
                <w:lang w:val="en-US"/>
              </w:rPr>
            </w:pPr>
            <w:r>
              <w:rPr>
                <w:rFonts w:cs="Arial"/>
                <w:b/>
                <w:bCs/>
                <w:iCs/>
                <w:color w:val="333399"/>
                <w:sz w:val="15"/>
                <w:szCs w:val="15"/>
                <w:lang w:val="en-US"/>
              </w:rPr>
              <w:t xml:space="preserve">  </w:t>
            </w:r>
            <w:r w:rsidR="00A3053B">
              <w:rPr>
                <w:rFonts w:cs="Arial"/>
                <w:b/>
                <w:bCs/>
                <w:iCs/>
                <w:color w:val="333399"/>
                <w:sz w:val="15"/>
                <w:szCs w:val="15"/>
                <w:lang w:val="en-US"/>
              </w:rPr>
              <w:t xml:space="preserve"> </w:t>
            </w:r>
            <w:r w:rsidR="00AB34E3" w:rsidRPr="00862949">
              <w:rPr>
                <w:rFonts w:cs="Arial"/>
                <w:b/>
                <w:bCs/>
                <w:iCs/>
                <w:color w:val="333399"/>
                <w:sz w:val="15"/>
                <w:szCs w:val="15"/>
                <w:lang w:val="en-US"/>
              </w:rPr>
              <w:t xml:space="preserve"> </w:t>
            </w:r>
            <w:r w:rsidR="009C539A" w:rsidRPr="00862949">
              <w:rPr>
                <w:rFonts w:cs="Arial"/>
                <w:b/>
                <w:bCs/>
                <w:iCs/>
                <w:color w:val="333399"/>
                <w:sz w:val="15"/>
                <w:szCs w:val="15"/>
                <w:lang w:val="en-US"/>
              </w:rPr>
              <w:t xml:space="preserve"> </w:t>
            </w:r>
            <w:hyperlink r:id="rId11" w:tgtFrame="_blank" w:history="1">
              <w:r w:rsidR="00F81A28" w:rsidRPr="009B0BCE">
                <w:rPr>
                  <w:rStyle w:val="Hyperlink"/>
                  <w:rFonts w:ascii="Arial" w:hAnsi="Arial" w:cs="Arial"/>
                  <w:b/>
                  <w:bCs/>
                  <w:iCs/>
                  <w:color w:val="0070C0"/>
                  <w:sz w:val="20"/>
                  <w:szCs w:val="15"/>
                  <w:lang w:val="en-US"/>
                </w:rPr>
                <w:t>SPS</w:t>
              </w:r>
              <w:r w:rsidR="00D2402E" w:rsidRPr="009B0BCE">
                <w:rPr>
                  <w:rStyle w:val="Hyperlink"/>
                  <w:rFonts w:ascii="Arial" w:hAnsi="Arial" w:cs="Arial"/>
                  <w:b/>
                  <w:bCs/>
                  <w:iCs/>
                  <w:color w:val="0070C0"/>
                  <w:sz w:val="20"/>
                  <w:szCs w:val="15"/>
                  <w:lang w:val="en-US"/>
                </w:rPr>
                <w:t xml:space="preserve"> home</w:t>
              </w:r>
            </w:hyperlink>
            <w:r w:rsidR="00D2402E" w:rsidRPr="009B0BCE">
              <w:rPr>
                <w:rFonts w:cs="Arial"/>
                <w:b/>
                <w:bCs/>
                <w:iCs/>
                <w:color w:val="0070C0"/>
                <w:sz w:val="20"/>
                <w:szCs w:val="15"/>
                <w:lang w:val="en-US"/>
              </w:rPr>
              <w:t xml:space="preserve"> | </w:t>
            </w:r>
            <w:hyperlink r:id="rId12" w:history="1">
              <w:r w:rsidR="00D2402E" w:rsidRPr="009B0BCE">
                <w:rPr>
                  <w:rStyle w:val="Hyperlink"/>
                  <w:rFonts w:ascii="Arial" w:hAnsi="Arial" w:cs="Arial"/>
                  <w:b/>
                  <w:bCs/>
                  <w:iCs/>
                  <w:color w:val="0070C0"/>
                  <w:sz w:val="20"/>
                  <w:szCs w:val="15"/>
                  <w:lang w:val="en-US"/>
                </w:rPr>
                <w:t>Contact</w:t>
              </w:r>
            </w:hyperlink>
          </w:p>
        </w:tc>
      </w:tr>
    </w:tbl>
    <w:p w14:paraId="1303E718" w14:textId="77777777" w:rsidR="00B85859"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3193"/>
        <w:gridCol w:w="7358"/>
      </w:tblGrid>
      <w:tr w:rsidR="0020101A" w:rsidRPr="00862949" w14:paraId="03988E34" w14:textId="77777777" w:rsidTr="002772ED">
        <w:tc>
          <w:tcPr>
            <w:tcW w:w="5000" w:type="pct"/>
            <w:gridSpan w:val="2"/>
            <w:shd w:val="clear" w:color="auto" w:fill="0070C0"/>
            <w:tcMar>
              <w:top w:w="85" w:type="dxa"/>
              <w:bottom w:w="85" w:type="dxa"/>
            </w:tcMar>
            <w:vAlign w:val="bottom"/>
          </w:tcPr>
          <w:p w14:paraId="17C53540" w14:textId="77777777" w:rsidR="0020101A" w:rsidRPr="00862949" w:rsidRDefault="0020101A" w:rsidP="00720F9E">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20101A" w:rsidRPr="00862949" w14:paraId="609C3A4E" w14:textId="77777777" w:rsidTr="002772ED">
        <w:tc>
          <w:tcPr>
            <w:tcW w:w="5000" w:type="pct"/>
            <w:gridSpan w:val="2"/>
            <w:shd w:val="clear" w:color="auto" w:fill="DAEEF3"/>
            <w:tcMar>
              <w:top w:w="0" w:type="dxa"/>
              <w:bottom w:w="0" w:type="dxa"/>
            </w:tcMar>
          </w:tcPr>
          <w:p w14:paraId="0E940BFA" w14:textId="77777777" w:rsidR="0020101A" w:rsidRPr="00862949" w:rsidRDefault="0020101A" w:rsidP="00720F9E">
            <w:pPr>
              <w:rPr>
                <w:rFonts w:cs="Arial"/>
                <w:b/>
                <w:bCs/>
                <w:i/>
                <w:iCs/>
                <w:color w:val="000000"/>
                <w:sz w:val="8"/>
                <w:szCs w:val="8"/>
                <w:lang w:val="en-US"/>
              </w:rPr>
            </w:pPr>
          </w:p>
        </w:tc>
      </w:tr>
      <w:tr w:rsidR="0020101A" w:rsidRPr="00862949" w14:paraId="0F11FABB" w14:textId="77777777" w:rsidTr="00562CE4">
        <w:tc>
          <w:tcPr>
            <w:tcW w:w="5000" w:type="pct"/>
            <w:gridSpan w:val="2"/>
            <w:shd w:val="clear" w:color="auto" w:fill="008232"/>
            <w:tcMar>
              <w:top w:w="57" w:type="dxa"/>
              <w:bottom w:w="57" w:type="dxa"/>
            </w:tcMar>
          </w:tcPr>
          <w:p w14:paraId="64759CEC" w14:textId="77777777" w:rsidR="0020101A" w:rsidRPr="00433D3E" w:rsidRDefault="0020101A" w:rsidP="00720F9E">
            <w:pPr>
              <w:rPr>
                <w:rFonts w:cs="Arial"/>
                <w:color w:val="FFFFFF"/>
                <w:sz w:val="20"/>
                <w:szCs w:val="20"/>
              </w:rPr>
            </w:pPr>
            <w:r w:rsidRPr="00433D3E">
              <w:rPr>
                <w:rFonts w:cs="Arial"/>
                <w:b/>
                <w:bCs/>
                <w:i/>
                <w:iCs/>
                <w:color w:val="FFFFFF"/>
                <w:sz w:val="22"/>
                <w:szCs w:val="20"/>
                <w:lang w:val="en-US"/>
              </w:rPr>
              <w:t>Launched in the UK (or licence change for existing products)</w:t>
            </w:r>
          </w:p>
        </w:tc>
      </w:tr>
      <w:tr w:rsidR="000F00F8" w:rsidRPr="00131D4C" w14:paraId="21D88A5B" w14:textId="77777777" w:rsidTr="002A1FB4">
        <w:trPr>
          <w:trHeight w:val="165"/>
        </w:trPr>
        <w:tc>
          <w:tcPr>
            <w:tcW w:w="1513" w:type="pct"/>
            <w:tcMar>
              <w:top w:w="57" w:type="dxa"/>
              <w:left w:w="170" w:type="dxa"/>
              <w:bottom w:w="57" w:type="dxa"/>
              <w:right w:w="170" w:type="dxa"/>
            </w:tcMar>
          </w:tcPr>
          <w:p w14:paraId="20223DB4" w14:textId="77777777" w:rsidR="000F00F8" w:rsidRDefault="00CF578F" w:rsidP="000F00F8">
            <w:pPr>
              <w:rPr>
                <w:rFonts w:cs="Arial"/>
                <w:szCs w:val="19"/>
              </w:rPr>
            </w:pPr>
            <w:r w:rsidRPr="00CF578F">
              <w:rPr>
                <w:rFonts w:cs="Arial"/>
                <w:szCs w:val="19"/>
              </w:rPr>
              <w:t>Acalabrutinib (</w:t>
            </w:r>
            <w:r w:rsidRPr="00CF578F">
              <w:rPr>
                <w:rFonts w:cs="Arial"/>
                <w:i/>
                <w:iCs/>
                <w:szCs w:val="19"/>
              </w:rPr>
              <w:t>Calquence</w:t>
            </w:r>
            <w:r w:rsidRPr="00CF578F">
              <w:rPr>
                <w:rFonts w:cs="Arial"/>
                <w:szCs w:val="19"/>
              </w:rPr>
              <w:t>)</w:t>
            </w:r>
          </w:p>
          <w:p w14:paraId="0A0DEEB5" w14:textId="77260389" w:rsidR="00CF578F" w:rsidRPr="00CF578F" w:rsidRDefault="00CF578F" w:rsidP="000F00F8">
            <w:pPr>
              <w:rPr>
                <w:rFonts w:cs="Arial"/>
                <w:sz w:val="16"/>
                <w:szCs w:val="16"/>
              </w:rPr>
            </w:pPr>
            <w:r w:rsidRPr="00CF578F">
              <w:rPr>
                <w:rFonts w:cs="Arial"/>
                <w:sz w:val="16"/>
                <w:szCs w:val="16"/>
              </w:rPr>
              <w:t>100mg tablet</w:t>
            </w:r>
          </w:p>
        </w:tc>
        <w:tc>
          <w:tcPr>
            <w:tcW w:w="3487" w:type="pct"/>
            <w:tcMar>
              <w:top w:w="57" w:type="dxa"/>
              <w:left w:w="170" w:type="dxa"/>
              <w:bottom w:w="57" w:type="dxa"/>
              <w:right w:w="170" w:type="dxa"/>
            </w:tcMar>
          </w:tcPr>
          <w:p w14:paraId="538B4B67" w14:textId="65B61248" w:rsidR="000F00F8" w:rsidRPr="00A075A3" w:rsidRDefault="003C60BF" w:rsidP="000F00F8">
            <w:pPr>
              <w:tabs>
                <w:tab w:val="center" w:pos="3152"/>
              </w:tabs>
              <w:rPr>
                <w:rFonts w:cs="Arial"/>
                <w:szCs w:val="19"/>
                <w:lang w:val="en-US"/>
              </w:rPr>
            </w:pPr>
            <w:r w:rsidRPr="003C60BF">
              <w:rPr>
                <w:rFonts w:cs="Arial"/>
                <w:szCs w:val="19"/>
                <w:lang w:val="en-US"/>
              </w:rPr>
              <w:t xml:space="preserve">Use in </w:t>
            </w:r>
            <w:r w:rsidR="000972E6">
              <w:rPr>
                <w:rFonts w:cs="Arial"/>
                <w:szCs w:val="19"/>
                <w:lang w:val="en-US"/>
              </w:rPr>
              <w:t>combinat</w:t>
            </w:r>
            <w:r w:rsidRPr="003C60BF">
              <w:rPr>
                <w:rFonts w:cs="Arial"/>
                <w:szCs w:val="19"/>
                <w:lang w:val="en-US"/>
              </w:rPr>
              <w:t>ion with bendamustine and rituximab for the treatment of adults with previously untreated mantle cell lymphoma who are not eligible for autologous stem cell transplant</w:t>
            </w:r>
            <w:r w:rsidR="00964F09">
              <w:rPr>
                <w:rFonts w:cs="Arial"/>
                <w:szCs w:val="19"/>
                <w:lang w:val="en-US"/>
              </w:rPr>
              <w:t xml:space="preserve"> </w:t>
            </w:r>
            <w:r w:rsidR="00964F09" w:rsidRPr="00964F09">
              <w:rPr>
                <w:rFonts w:cs="Arial"/>
                <w:sz w:val="16"/>
                <w:szCs w:val="16"/>
                <w:lang w:val="en-US"/>
              </w:rPr>
              <w:t>[new indication]</w:t>
            </w:r>
          </w:p>
        </w:tc>
      </w:tr>
      <w:tr w:rsidR="0038496D" w:rsidRPr="00131D4C" w14:paraId="4A7C6255" w14:textId="77777777" w:rsidTr="003D2915">
        <w:tc>
          <w:tcPr>
            <w:tcW w:w="1513" w:type="pct"/>
            <w:tcMar>
              <w:top w:w="57" w:type="dxa"/>
              <w:left w:w="170" w:type="dxa"/>
              <w:bottom w:w="57" w:type="dxa"/>
              <w:right w:w="170" w:type="dxa"/>
            </w:tcMar>
          </w:tcPr>
          <w:p w14:paraId="5BFF7D05" w14:textId="77777777" w:rsidR="0038496D" w:rsidRPr="00C34145" w:rsidRDefault="0038496D" w:rsidP="0038496D">
            <w:pPr>
              <w:rPr>
                <w:rFonts w:cs="Arial"/>
                <w:szCs w:val="19"/>
              </w:rPr>
            </w:pPr>
            <w:r w:rsidRPr="00C34145">
              <w:rPr>
                <w:rFonts w:cs="Arial"/>
                <w:szCs w:val="19"/>
              </w:rPr>
              <w:t>Aflibercept biosimilar (</w:t>
            </w:r>
            <w:r w:rsidRPr="00C34145">
              <w:rPr>
                <w:rFonts w:cs="Arial"/>
                <w:i/>
                <w:iCs/>
                <w:szCs w:val="19"/>
              </w:rPr>
              <w:t>Eydenzelt</w:t>
            </w:r>
            <w:r w:rsidRPr="00C34145">
              <w:rPr>
                <w:rFonts w:cs="Arial"/>
                <w:szCs w:val="19"/>
              </w:rPr>
              <w:t>)</w:t>
            </w:r>
          </w:p>
          <w:p w14:paraId="02619233" w14:textId="736C0E91" w:rsidR="0038496D" w:rsidRDefault="0038496D" w:rsidP="0038496D">
            <w:pPr>
              <w:rPr>
                <w:rFonts w:cs="Arial"/>
                <w:szCs w:val="19"/>
              </w:rPr>
            </w:pPr>
            <w:r w:rsidRPr="00C34145">
              <w:rPr>
                <w:rFonts w:cs="Arial"/>
                <w:sz w:val="16"/>
                <w:szCs w:val="16"/>
              </w:rPr>
              <w:t>3.6mg in 0.09mL prefilled syringe and 4mg in 0.1mL vial</w:t>
            </w:r>
          </w:p>
        </w:tc>
        <w:tc>
          <w:tcPr>
            <w:tcW w:w="3487" w:type="pct"/>
            <w:tcMar>
              <w:top w:w="57" w:type="dxa"/>
              <w:left w:w="170" w:type="dxa"/>
              <w:bottom w:w="57" w:type="dxa"/>
              <w:right w:w="170" w:type="dxa"/>
            </w:tcMar>
          </w:tcPr>
          <w:p w14:paraId="7432588F" w14:textId="1377C425" w:rsidR="0038496D" w:rsidRPr="005B5CEE" w:rsidRDefault="0038496D" w:rsidP="0038496D">
            <w:pPr>
              <w:tabs>
                <w:tab w:val="center" w:pos="3152"/>
              </w:tabs>
              <w:rPr>
                <w:rFonts w:cs="Arial"/>
                <w:szCs w:val="19"/>
                <w:lang w:val="en-US"/>
              </w:rPr>
            </w:pPr>
            <w:r w:rsidRPr="00C34145">
              <w:rPr>
                <w:rFonts w:cs="Arial"/>
                <w:szCs w:val="19"/>
              </w:rPr>
              <w:t>Treatment of adults with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38496D" w:rsidRPr="00131D4C" w14:paraId="2799EC4C" w14:textId="77777777" w:rsidTr="003D2915">
        <w:tc>
          <w:tcPr>
            <w:tcW w:w="1513" w:type="pct"/>
            <w:tcMar>
              <w:top w:w="57" w:type="dxa"/>
              <w:left w:w="170" w:type="dxa"/>
              <w:bottom w:w="57" w:type="dxa"/>
              <w:right w:w="170" w:type="dxa"/>
            </w:tcMar>
          </w:tcPr>
          <w:p w14:paraId="7B86FE3D" w14:textId="77777777" w:rsidR="0038496D" w:rsidRDefault="0038496D" w:rsidP="0038496D">
            <w:pPr>
              <w:rPr>
                <w:rFonts w:cs="Arial"/>
                <w:szCs w:val="19"/>
              </w:rPr>
            </w:pPr>
            <w:r>
              <w:rPr>
                <w:rFonts w:cs="Arial"/>
                <w:szCs w:val="19"/>
              </w:rPr>
              <w:t>Aflibercept biosimilar (</w:t>
            </w:r>
            <w:r w:rsidRPr="00520C34">
              <w:rPr>
                <w:rFonts w:cs="Arial"/>
                <w:i/>
                <w:iCs/>
                <w:szCs w:val="19"/>
              </w:rPr>
              <w:t>Mynzepli</w:t>
            </w:r>
            <w:r>
              <w:rPr>
                <w:rFonts w:cs="Arial"/>
                <w:szCs w:val="19"/>
              </w:rPr>
              <w:t>)</w:t>
            </w:r>
          </w:p>
          <w:p w14:paraId="1B39734D" w14:textId="04D45264" w:rsidR="0038496D" w:rsidRPr="0093409A" w:rsidRDefault="0038496D" w:rsidP="0038496D">
            <w:pPr>
              <w:rPr>
                <w:rFonts w:cs="Arial"/>
                <w:szCs w:val="19"/>
              </w:rPr>
            </w:pPr>
            <w:r w:rsidRPr="00CA5B68">
              <w:rPr>
                <w:rFonts w:cs="Arial"/>
                <w:sz w:val="16"/>
                <w:szCs w:val="16"/>
              </w:rPr>
              <w:t>3.6mg in 0.09mL prefilled syringe and 4mg in 0.1mL vial</w:t>
            </w:r>
          </w:p>
        </w:tc>
        <w:tc>
          <w:tcPr>
            <w:tcW w:w="3487" w:type="pct"/>
            <w:tcMar>
              <w:top w:w="57" w:type="dxa"/>
              <w:left w:w="170" w:type="dxa"/>
              <w:bottom w:w="57" w:type="dxa"/>
              <w:right w:w="170" w:type="dxa"/>
            </w:tcMar>
          </w:tcPr>
          <w:p w14:paraId="0609233F" w14:textId="60696CEA" w:rsidR="0038496D" w:rsidRPr="00491307" w:rsidRDefault="0038496D" w:rsidP="0038496D">
            <w:pPr>
              <w:tabs>
                <w:tab w:val="center" w:pos="3152"/>
              </w:tabs>
              <w:rPr>
                <w:rFonts w:cs="Arial"/>
                <w:color w:val="000000"/>
                <w:szCs w:val="19"/>
                <w:lang w:val="en-US"/>
              </w:rPr>
            </w:pPr>
            <w:r w:rsidRPr="005B5CEE">
              <w:rPr>
                <w:rFonts w:cs="Arial"/>
                <w:szCs w:val="19"/>
                <w:lang w:val="en-US"/>
              </w:rPr>
              <w:t>Treatment of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38496D" w:rsidRPr="00131D4C" w14:paraId="6C9A3A90" w14:textId="77777777" w:rsidTr="003D2915">
        <w:tc>
          <w:tcPr>
            <w:tcW w:w="1513" w:type="pct"/>
            <w:tcMar>
              <w:top w:w="57" w:type="dxa"/>
              <w:left w:w="170" w:type="dxa"/>
              <w:bottom w:w="57" w:type="dxa"/>
              <w:right w:w="170" w:type="dxa"/>
            </w:tcMar>
          </w:tcPr>
          <w:p w14:paraId="13075B61" w14:textId="77777777" w:rsidR="0038496D" w:rsidRDefault="0038496D" w:rsidP="0038496D">
            <w:pPr>
              <w:rPr>
                <w:rFonts w:cs="Arial"/>
                <w:szCs w:val="19"/>
              </w:rPr>
            </w:pPr>
            <w:r w:rsidRPr="0093409A">
              <w:rPr>
                <w:rFonts w:cs="Arial"/>
                <w:szCs w:val="19"/>
              </w:rPr>
              <w:t>Daratumumab (</w:t>
            </w:r>
            <w:r w:rsidRPr="0093409A">
              <w:rPr>
                <w:rFonts w:cs="Arial"/>
                <w:i/>
                <w:iCs/>
                <w:szCs w:val="19"/>
              </w:rPr>
              <w:t>Darzalex</w:t>
            </w:r>
            <w:r>
              <w:rPr>
                <w:rFonts w:cs="Arial"/>
                <w:szCs w:val="19"/>
              </w:rPr>
              <w:t>)</w:t>
            </w:r>
          </w:p>
          <w:p w14:paraId="0B409A08" w14:textId="2DACBD74" w:rsidR="0038496D" w:rsidRPr="00FB4136" w:rsidRDefault="0038496D" w:rsidP="0038496D">
            <w:pPr>
              <w:rPr>
                <w:rFonts w:cs="Arial"/>
                <w:sz w:val="16"/>
                <w:szCs w:val="16"/>
              </w:rPr>
            </w:pPr>
            <w:r w:rsidRPr="00FB4136">
              <w:rPr>
                <w:rFonts w:cs="Arial"/>
                <w:sz w:val="16"/>
                <w:szCs w:val="16"/>
              </w:rPr>
              <w:t>1,800 mg in 15mL vial</w:t>
            </w:r>
          </w:p>
        </w:tc>
        <w:tc>
          <w:tcPr>
            <w:tcW w:w="3487" w:type="pct"/>
            <w:tcMar>
              <w:top w:w="57" w:type="dxa"/>
              <w:left w:w="170" w:type="dxa"/>
              <w:bottom w:w="57" w:type="dxa"/>
              <w:right w:w="170" w:type="dxa"/>
            </w:tcMar>
          </w:tcPr>
          <w:p w14:paraId="4861D7A2" w14:textId="57EBD299" w:rsidR="0038496D" w:rsidRPr="00491307" w:rsidRDefault="0038496D" w:rsidP="0038496D">
            <w:pPr>
              <w:tabs>
                <w:tab w:val="center" w:pos="3152"/>
              </w:tabs>
              <w:rPr>
                <w:rFonts w:cs="Arial"/>
                <w:color w:val="000000"/>
                <w:szCs w:val="19"/>
                <w:lang w:val="en-US"/>
              </w:rPr>
            </w:pPr>
            <w:r w:rsidRPr="00491307">
              <w:rPr>
                <w:rFonts w:cs="Arial"/>
                <w:color w:val="000000"/>
                <w:szCs w:val="19"/>
                <w:lang w:val="en-US"/>
              </w:rPr>
              <w:t>Use in combination with bortezomib, lenalidomide and dexamethasone for the treatment of adults with newly diagnosed multiple myeloma</w:t>
            </w:r>
            <w:r>
              <w:rPr>
                <w:rFonts w:cs="Arial"/>
                <w:color w:val="000000"/>
                <w:szCs w:val="19"/>
                <w:lang w:val="en-US"/>
              </w:rPr>
              <w:t xml:space="preserve"> </w:t>
            </w:r>
            <w:r w:rsidRPr="00964F09">
              <w:rPr>
                <w:rFonts w:cs="Arial"/>
                <w:sz w:val="16"/>
                <w:szCs w:val="16"/>
                <w:lang w:val="en-US"/>
              </w:rPr>
              <w:t>[new indication]</w:t>
            </w:r>
          </w:p>
        </w:tc>
      </w:tr>
      <w:tr w:rsidR="00EF128A" w14:paraId="2EE7194D" w14:textId="77777777" w:rsidTr="003D2915">
        <w:tc>
          <w:tcPr>
            <w:tcW w:w="1513" w:type="pct"/>
            <w:tcMar>
              <w:top w:w="57" w:type="dxa"/>
              <w:left w:w="170" w:type="dxa"/>
              <w:bottom w:w="57" w:type="dxa"/>
              <w:right w:w="170" w:type="dxa"/>
            </w:tcMar>
          </w:tcPr>
          <w:p w14:paraId="409254CF" w14:textId="1FE0EB79" w:rsidR="00EF128A" w:rsidRDefault="00EF128A" w:rsidP="00EF128A">
            <w:pPr>
              <w:rPr>
                <w:rFonts w:cs="Arial"/>
                <w:szCs w:val="19"/>
              </w:rPr>
            </w:pPr>
            <w:r w:rsidRPr="00AD2DCA">
              <w:rPr>
                <w:rFonts w:cs="Arial"/>
                <w:szCs w:val="19"/>
              </w:rPr>
              <w:t>Denosumab biosimilar </w:t>
            </w:r>
            <w:r>
              <w:rPr>
                <w:rFonts w:cs="Arial"/>
                <w:szCs w:val="19"/>
              </w:rPr>
              <w:t>(</w:t>
            </w:r>
            <w:r w:rsidRPr="002C2271">
              <w:rPr>
                <w:rFonts w:cs="Arial"/>
                <w:i/>
                <w:iCs/>
                <w:szCs w:val="19"/>
              </w:rPr>
              <w:t>Enwylma</w:t>
            </w:r>
            <w:r w:rsidRPr="002C2271">
              <w:rPr>
                <w:rFonts w:cs="Arial"/>
                <w:szCs w:val="19"/>
              </w:rPr>
              <w:t>)</w:t>
            </w:r>
          </w:p>
          <w:p w14:paraId="232F21C0" w14:textId="48CC5DDE" w:rsidR="00EF128A" w:rsidRPr="00CA0AC9" w:rsidRDefault="00EF128A" w:rsidP="00EF128A">
            <w:pPr>
              <w:rPr>
                <w:rFonts w:cs="Arial"/>
                <w:szCs w:val="19"/>
              </w:rPr>
            </w:pPr>
            <w:r w:rsidRPr="002C2271">
              <w:rPr>
                <w:rFonts w:cs="Arial"/>
                <w:sz w:val="16"/>
                <w:szCs w:val="16"/>
              </w:rPr>
              <w:t>120mg in 1.7mL vial</w:t>
            </w:r>
          </w:p>
        </w:tc>
        <w:tc>
          <w:tcPr>
            <w:tcW w:w="3487" w:type="pct"/>
            <w:tcMar>
              <w:top w:w="57" w:type="dxa"/>
              <w:left w:w="170" w:type="dxa"/>
              <w:bottom w:w="57" w:type="dxa"/>
              <w:right w:w="170" w:type="dxa"/>
            </w:tcMar>
          </w:tcPr>
          <w:p w14:paraId="622E8D14" w14:textId="40E82745" w:rsidR="00EF128A" w:rsidRPr="00A075A3" w:rsidRDefault="00EF128A" w:rsidP="00EF128A">
            <w:pPr>
              <w:tabs>
                <w:tab w:val="center" w:pos="3152"/>
              </w:tabs>
              <w:rPr>
                <w:rFonts w:cs="Arial"/>
                <w:bCs/>
                <w:szCs w:val="19"/>
              </w:rPr>
            </w:pPr>
            <w:r w:rsidRPr="002C2271">
              <w:rPr>
                <w:rFonts w:cs="Arial"/>
                <w:szCs w:val="19"/>
                <w:lang w:val="en-US"/>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EF128A" w14:paraId="33B4C1AB" w14:textId="77777777" w:rsidTr="003D2915">
        <w:tc>
          <w:tcPr>
            <w:tcW w:w="1513" w:type="pct"/>
            <w:tcMar>
              <w:top w:w="57" w:type="dxa"/>
              <w:left w:w="170" w:type="dxa"/>
              <w:bottom w:w="57" w:type="dxa"/>
              <w:right w:w="170" w:type="dxa"/>
            </w:tcMar>
          </w:tcPr>
          <w:p w14:paraId="0B891F24" w14:textId="77777777" w:rsidR="00EF128A" w:rsidRDefault="00EF128A" w:rsidP="00EF128A">
            <w:pPr>
              <w:rPr>
                <w:rFonts w:cs="Arial"/>
                <w:szCs w:val="19"/>
              </w:rPr>
            </w:pPr>
            <w:r w:rsidRPr="003368D5">
              <w:rPr>
                <w:rFonts w:cs="Arial"/>
                <w:szCs w:val="19"/>
              </w:rPr>
              <w:t>Denosumab biosimilar (</w:t>
            </w:r>
            <w:r w:rsidRPr="003368D5">
              <w:rPr>
                <w:rFonts w:cs="Arial"/>
                <w:i/>
                <w:iCs/>
                <w:szCs w:val="19"/>
              </w:rPr>
              <w:t>Jubbonti</w:t>
            </w:r>
            <w:r w:rsidRPr="003368D5">
              <w:rPr>
                <w:rFonts w:cs="Arial"/>
                <w:szCs w:val="19"/>
              </w:rPr>
              <w:t>) </w:t>
            </w:r>
          </w:p>
          <w:p w14:paraId="72C25B10" w14:textId="267C5B68" w:rsidR="00EF128A" w:rsidRPr="00A075A3" w:rsidRDefault="00EF128A" w:rsidP="00EF128A">
            <w:pPr>
              <w:rPr>
                <w:rFonts w:cs="Arial"/>
                <w:szCs w:val="19"/>
              </w:rPr>
            </w:pPr>
            <w:r w:rsidRPr="00FB3FD9">
              <w:rPr>
                <w:rFonts w:cs="Arial"/>
                <w:sz w:val="16"/>
                <w:szCs w:val="16"/>
              </w:rPr>
              <w:t>60mg in 1mL prefilled syringe</w:t>
            </w:r>
          </w:p>
        </w:tc>
        <w:tc>
          <w:tcPr>
            <w:tcW w:w="3487" w:type="pct"/>
            <w:tcMar>
              <w:top w:w="57" w:type="dxa"/>
              <w:left w:w="170" w:type="dxa"/>
              <w:bottom w:w="57" w:type="dxa"/>
              <w:right w:w="170" w:type="dxa"/>
            </w:tcMar>
          </w:tcPr>
          <w:p w14:paraId="252C6894" w14:textId="0BCB6885" w:rsidR="00EF128A" w:rsidRPr="00A075A3" w:rsidRDefault="00EF128A" w:rsidP="00EF128A">
            <w:pPr>
              <w:tabs>
                <w:tab w:val="center" w:pos="3152"/>
              </w:tabs>
              <w:rPr>
                <w:rFonts w:cs="Arial"/>
                <w:szCs w:val="19"/>
                <w:lang w:val="en-US"/>
              </w:rPr>
            </w:pPr>
            <w:r w:rsidRPr="003368D5">
              <w:rPr>
                <w:rFonts w:cs="Arial"/>
                <w:szCs w:val="19"/>
                <w:lang w:val="en-US"/>
              </w:rPr>
              <w:t>Treatment of osteoporosis in postmenopausal women and in men at increased risk of fractures. In postmenopausal women denosumab significantly reduces the risk of vertebral, non-vertebral and hip fractures. Treatment of bone loss associated with hormone ablation in men with prostate cancer at increased risk of fractures. In men with prostate cancer receiving hormone ablation, denosumab significantly reduces the risk of vertebral fractures. Treatment of bone loss associated with long-term systemic glucocorticoid therapy in adult patients at increased risk of fracture</w:t>
            </w:r>
            <w:r>
              <w:rPr>
                <w:rFonts w:cs="Arial"/>
                <w:szCs w:val="19"/>
                <w:lang w:val="en-US"/>
              </w:rPr>
              <w:t>.</w:t>
            </w:r>
          </w:p>
        </w:tc>
      </w:tr>
      <w:tr w:rsidR="00D732FB" w14:paraId="16351BEA" w14:textId="77777777" w:rsidTr="003D2915">
        <w:tc>
          <w:tcPr>
            <w:tcW w:w="1513" w:type="pct"/>
            <w:tcMar>
              <w:top w:w="57" w:type="dxa"/>
              <w:left w:w="170" w:type="dxa"/>
              <w:bottom w:w="57" w:type="dxa"/>
              <w:right w:w="170" w:type="dxa"/>
            </w:tcMar>
          </w:tcPr>
          <w:p w14:paraId="53A2ECF8" w14:textId="428BC863" w:rsidR="00D732FB" w:rsidRDefault="00D732FB" w:rsidP="00D732FB">
            <w:pPr>
              <w:rPr>
                <w:rFonts w:cs="Arial"/>
                <w:szCs w:val="19"/>
              </w:rPr>
            </w:pPr>
            <w:r w:rsidRPr="003368D5">
              <w:rPr>
                <w:rFonts w:cs="Arial"/>
                <w:szCs w:val="19"/>
              </w:rPr>
              <w:t>Denosumab biosimilar (</w:t>
            </w:r>
            <w:r w:rsidRPr="003368D5">
              <w:rPr>
                <w:rFonts w:cs="Arial"/>
                <w:i/>
                <w:iCs/>
                <w:szCs w:val="19"/>
              </w:rPr>
              <w:t>Ju</w:t>
            </w:r>
            <w:r>
              <w:rPr>
                <w:rFonts w:cs="Arial"/>
                <w:i/>
                <w:iCs/>
                <w:szCs w:val="19"/>
              </w:rPr>
              <w:t>nod</w:t>
            </w:r>
            <w:r w:rsidRPr="003368D5">
              <w:rPr>
                <w:rFonts w:cs="Arial"/>
                <w:szCs w:val="19"/>
              </w:rPr>
              <w:t>) </w:t>
            </w:r>
          </w:p>
          <w:p w14:paraId="38769709" w14:textId="2C69BD50" w:rsidR="00D732FB" w:rsidRPr="00A74CE9" w:rsidRDefault="00D732FB" w:rsidP="00D732FB">
            <w:pPr>
              <w:rPr>
                <w:rFonts w:cs="Arial"/>
                <w:sz w:val="16"/>
                <w:szCs w:val="16"/>
              </w:rPr>
            </w:pPr>
            <w:r w:rsidRPr="00FB3FD9">
              <w:rPr>
                <w:rFonts w:cs="Arial"/>
                <w:sz w:val="16"/>
                <w:szCs w:val="16"/>
              </w:rPr>
              <w:t>60mg in 1mL prefilled syringe</w:t>
            </w:r>
          </w:p>
        </w:tc>
        <w:tc>
          <w:tcPr>
            <w:tcW w:w="3487" w:type="pct"/>
            <w:tcMar>
              <w:top w:w="57" w:type="dxa"/>
              <w:left w:w="170" w:type="dxa"/>
              <w:bottom w:w="57" w:type="dxa"/>
              <w:right w:w="170" w:type="dxa"/>
            </w:tcMar>
          </w:tcPr>
          <w:p w14:paraId="388D0CE9" w14:textId="2E498EEE" w:rsidR="00D732FB" w:rsidRDefault="00D732FB" w:rsidP="00D732FB">
            <w:pPr>
              <w:tabs>
                <w:tab w:val="center" w:pos="3152"/>
              </w:tabs>
              <w:rPr>
                <w:rFonts w:cs="Arial"/>
                <w:color w:val="000000"/>
                <w:sz w:val="18"/>
                <w:szCs w:val="18"/>
                <w:lang w:val="en-US"/>
              </w:rPr>
            </w:pPr>
            <w:r w:rsidRPr="003368D5">
              <w:rPr>
                <w:rFonts w:cs="Arial"/>
                <w:szCs w:val="19"/>
                <w:lang w:val="en-US"/>
              </w:rPr>
              <w:t>Treatment of osteoporosis in postmenopausal women and in men at increased risk of fractures. In postmenopausal women denosumab significantly reduces the risk of vertebral, non-vertebral and hip fractures. Treatment of bone loss associated with hormone ablation in men with prostate cancer at increased risk of fractures. In men with prostate cancer receiving hormone ablation, denosumab significantly reduces the risk of vertebral fractures. Treatment of bone loss associated with long-term systemic glucocorticoid therapy in adult patients at increased risk of fracture</w:t>
            </w:r>
            <w:r>
              <w:rPr>
                <w:rFonts w:cs="Arial"/>
                <w:szCs w:val="19"/>
                <w:lang w:val="en-US"/>
              </w:rPr>
              <w:t>.</w:t>
            </w:r>
          </w:p>
        </w:tc>
      </w:tr>
      <w:tr w:rsidR="00D732FB" w14:paraId="11A31268" w14:textId="77777777" w:rsidTr="003D2915">
        <w:tc>
          <w:tcPr>
            <w:tcW w:w="1513" w:type="pct"/>
            <w:tcMar>
              <w:top w:w="57" w:type="dxa"/>
              <w:left w:w="170" w:type="dxa"/>
              <w:bottom w:w="57" w:type="dxa"/>
              <w:right w:w="170" w:type="dxa"/>
            </w:tcMar>
          </w:tcPr>
          <w:p w14:paraId="5EE2BAC9" w14:textId="77777777" w:rsidR="00D732FB" w:rsidRPr="00B00753" w:rsidRDefault="00D732FB" w:rsidP="00D732FB">
            <w:pPr>
              <w:rPr>
                <w:rFonts w:cs="Arial"/>
                <w:szCs w:val="19"/>
              </w:rPr>
            </w:pPr>
            <w:r w:rsidRPr="00B00753">
              <w:rPr>
                <w:rFonts w:cs="Arial"/>
                <w:szCs w:val="19"/>
              </w:rPr>
              <w:t>Denosumab biosimilar (</w:t>
            </w:r>
            <w:r w:rsidRPr="00B00753">
              <w:rPr>
                <w:rFonts w:cs="Arial"/>
                <w:i/>
                <w:iCs/>
                <w:szCs w:val="19"/>
              </w:rPr>
              <w:t>Yaxwer</w:t>
            </w:r>
            <w:r w:rsidRPr="00B00753">
              <w:rPr>
                <w:rFonts w:cs="Arial"/>
                <w:szCs w:val="19"/>
              </w:rPr>
              <w:t>)</w:t>
            </w:r>
          </w:p>
          <w:p w14:paraId="40CF1E45" w14:textId="3B249C8B" w:rsidR="00D732FB" w:rsidRPr="00B00753" w:rsidRDefault="00D732FB" w:rsidP="00D732FB">
            <w:pPr>
              <w:rPr>
                <w:rFonts w:cs="Arial"/>
                <w:szCs w:val="19"/>
              </w:rPr>
            </w:pPr>
            <w:r w:rsidRPr="00B00753">
              <w:rPr>
                <w:rFonts w:cs="Arial"/>
                <w:sz w:val="16"/>
                <w:szCs w:val="16"/>
              </w:rPr>
              <w:t>120mg in 1.7mL vial</w:t>
            </w:r>
          </w:p>
        </w:tc>
        <w:tc>
          <w:tcPr>
            <w:tcW w:w="3487" w:type="pct"/>
            <w:tcMar>
              <w:top w:w="57" w:type="dxa"/>
              <w:left w:w="170" w:type="dxa"/>
              <w:bottom w:w="57" w:type="dxa"/>
              <w:right w:w="170" w:type="dxa"/>
            </w:tcMar>
          </w:tcPr>
          <w:p w14:paraId="64C917CD" w14:textId="4F179DCE" w:rsidR="00D732FB" w:rsidRPr="00B00753" w:rsidRDefault="00D732FB" w:rsidP="00D732FB">
            <w:pPr>
              <w:tabs>
                <w:tab w:val="center" w:pos="3152"/>
              </w:tabs>
              <w:rPr>
                <w:rFonts w:cs="Arial"/>
                <w:szCs w:val="19"/>
              </w:rPr>
            </w:pPr>
            <w:r w:rsidRPr="00B00753">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D732FB" w:rsidRPr="00862949" w14:paraId="60435EE7" w14:textId="77777777" w:rsidTr="002772ED">
        <w:tc>
          <w:tcPr>
            <w:tcW w:w="5000" w:type="pct"/>
            <w:gridSpan w:val="2"/>
            <w:tcMar>
              <w:top w:w="0" w:type="dxa"/>
              <w:bottom w:w="0" w:type="dxa"/>
            </w:tcMar>
          </w:tcPr>
          <w:p w14:paraId="0E7CAE9C" w14:textId="77777777" w:rsidR="00D732FB" w:rsidRPr="00862949" w:rsidRDefault="00D732FB" w:rsidP="00D732FB">
            <w:pPr>
              <w:rPr>
                <w:rFonts w:cs="Arial"/>
                <w:b/>
                <w:noProof/>
                <w:sz w:val="8"/>
                <w:szCs w:val="8"/>
              </w:rPr>
            </w:pPr>
          </w:p>
        </w:tc>
      </w:tr>
      <w:tr w:rsidR="00D732FB" w:rsidRPr="00862949" w14:paraId="7AF2666C" w14:textId="77777777" w:rsidTr="002772ED">
        <w:tc>
          <w:tcPr>
            <w:tcW w:w="5000" w:type="pct"/>
            <w:gridSpan w:val="2"/>
            <w:shd w:val="clear" w:color="auto" w:fill="DAEEF3"/>
            <w:tcMar>
              <w:top w:w="0" w:type="dxa"/>
              <w:bottom w:w="0" w:type="dxa"/>
            </w:tcMar>
          </w:tcPr>
          <w:p w14:paraId="139CA1A8" w14:textId="77777777" w:rsidR="00D732FB" w:rsidRPr="00862949" w:rsidRDefault="00D732FB" w:rsidP="00D732FB">
            <w:pPr>
              <w:rPr>
                <w:rFonts w:cs="Arial"/>
                <w:b/>
                <w:i/>
                <w:noProof/>
                <w:sz w:val="8"/>
                <w:szCs w:val="8"/>
              </w:rPr>
            </w:pPr>
          </w:p>
        </w:tc>
      </w:tr>
    </w:tbl>
    <w:p w14:paraId="40502682" w14:textId="77777777" w:rsidR="00797F59" w:rsidRDefault="00797F59" w:rsidP="00727945">
      <w:pPr>
        <w:rPr>
          <w:rFonts w:ascii="Latha" w:hAnsi="Latha" w:cs="Latha"/>
          <w:sz w:val="8"/>
          <w:szCs w:val="8"/>
        </w:rPr>
      </w:pPr>
    </w:p>
    <w:p w14:paraId="5DE22B02" w14:textId="77777777" w:rsidR="0022269C" w:rsidRDefault="0022269C" w:rsidP="00727945">
      <w:pPr>
        <w:rPr>
          <w:rFonts w:ascii="Latha" w:hAnsi="Latha" w:cs="Latha"/>
          <w:sz w:val="8"/>
          <w:szCs w:val="8"/>
        </w:rPr>
      </w:pPr>
    </w:p>
    <w:p w14:paraId="4898C724" w14:textId="77777777" w:rsidR="0022269C" w:rsidRDefault="0022269C" w:rsidP="00727945">
      <w:pPr>
        <w:rPr>
          <w:rFonts w:ascii="Latha" w:hAnsi="Latha" w:cs="Latha"/>
          <w:sz w:val="8"/>
          <w:szCs w:val="8"/>
        </w:rPr>
      </w:pPr>
    </w:p>
    <w:p w14:paraId="281C7AA2" w14:textId="77777777" w:rsidR="0022269C" w:rsidRDefault="0022269C" w:rsidP="00727945">
      <w:pPr>
        <w:rPr>
          <w:rFonts w:ascii="Latha" w:hAnsi="Latha" w:cs="Latha"/>
          <w:sz w:val="8"/>
          <w:szCs w:val="8"/>
        </w:rPr>
      </w:pPr>
    </w:p>
    <w:p w14:paraId="6799686C" w14:textId="77777777" w:rsidR="001A42CE" w:rsidRPr="00727945" w:rsidRDefault="001A42CE" w:rsidP="00727945">
      <w:pPr>
        <w:rPr>
          <w:rFonts w:ascii="Latha" w:hAnsi="Latha" w:cs="Latha"/>
          <w:sz w:val="8"/>
          <w:szCs w:val="8"/>
        </w:rPr>
        <w:sectPr w:rsidR="001A42CE" w:rsidRPr="00727945" w:rsidSect="002772ED">
          <w:headerReference w:type="even" r:id="rId13"/>
          <w:headerReference w:type="default" r:id="rId14"/>
          <w:footerReference w:type="even" r:id="rId15"/>
          <w:footerReference w:type="default" r:id="rId16"/>
          <w:headerReference w:type="first" r:id="rId17"/>
          <w:pgSz w:w="11906" w:h="16838" w:code="9"/>
          <w:pgMar w:top="680" w:right="851" w:bottom="680" w:left="851" w:header="567" w:footer="227" w:gutter="0"/>
          <w:cols w:space="708"/>
          <w:docGrid w:linePitch="360"/>
        </w:sectPr>
      </w:pPr>
    </w:p>
    <w:p w14:paraId="0347F3B2" w14:textId="77777777" w:rsidR="006825BB" w:rsidRDefault="006825BB">
      <w:pPr>
        <w:rPr>
          <w:sz w:val="8"/>
          <w:szCs w:val="16"/>
        </w:rPr>
      </w:pPr>
    </w:p>
    <w:p w14:paraId="7A5C9BD3" w14:textId="77777777" w:rsidR="00C10FEB" w:rsidRDefault="00C10FEB">
      <w:pPr>
        <w:rPr>
          <w:sz w:val="8"/>
          <w:szCs w:val="16"/>
        </w:rPr>
      </w:pPr>
    </w:p>
    <w:p w14:paraId="6AED3C93" w14:textId="77777777" w:rsidR="000F00F8" w:rsidRDefault="000F00F8">
      <w:pPr>
        <w:rPr>
          <w:sz w:val="8"/>
          <w:szCs w:val="16"/>
        </w:rPr>
      </w:pPr>
    </w:p>
    <w:p w14:paraId="04784C98" w14:textId="77777777" w:rsidR="000F00F8" w:rsidRDefault="000F00F8">
      <w:pPr>
        <w:rPr>
          <w:sz w:val="8"/>
          <w:szCs w:val="16"/>
        </w:rPr>
      </w:pPr>
    </w:p>
    <w:p w14:paraId="3F8035D0" w14:textId="77777777" w:rsidR="000F00F8" w:rsidRDefault="000F00F8">
      <w:pPr>
        <w:rPr>
          <w:sz w:val="8"/>
          <w:szCs w:val="16"/>
        </w:rPr>
      </w:pPr>
    </w:p>
    <w:tbl>
      <w:tblPr>
        <w:tblW w:w="5170" w:type="pct"/>
        <w:tblInd w:w="-176" w:type="dxa"/>
        <w:tblLayout w:type="fixed"/>
        <w:tblLook w:val="01E0" w:firstRow="1" w:lastRow="1" w:firstColumn="1" w:lastColumn="1" w:noHBand="0" w:noVBand="0"/>
      </w:tblPr>
      <w:tblGrid>
        <w:gridCol w:w="3193"/>
        <w:gridCol w:w="7358"/>
      </w:tblGrid>
      <w:tr w:rsidR="000F00F8" w:rsidRPr="00862949" w14:paraId="1519333A" w14:textId="77777777" w:rsidTr="00F62679">
        <w:tc>
          <w:tcPr>
            <w:tcW w:w="5000" w:type="pct"/>
            <w:gridSpan w:val="2"/>
            <w:shd w:val="clear" w:color="auto" w:fill="0070C0"/>
            <w:tcMar>
              <w:top w:w="85" w:type="dxa"/>
              <w:bottom w:w="85" w:type="dxa"/>
            </w:tcMar>
            <w:vAlign w:val="bottom"/>
          </w:tcPr>
          <w:p w14:paraId="7751B853" w14:textId="77777777" w:rsidR="000F00F8" w:rsidRPr="00862949" w:rsidRDefault="000F00F8" w:rsidP="00F62679">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0F00F8" w:rsidRPr="00862949" w14:paraId="5A70C607" w14:textId="77777777" w:rsidTr="00F62679">
        <w:tc>
          <w:tcPr>
            <w:tcW w:w="5000" w:type="pct"/>
            <w:gridSpan w:val="2"/>
            <w:shd w:val="clear" w:color="auto" w:fill="DAEEF3"/>
            <w:tcMar>
              <w:top w:w="0" w:type="dxa"/>
              <w:bottom w:w="0" w:type="dxa"/>
            </w:tcMar>
          </w:tcPr>
          <w:p w14:paraId="02CF0148" w14:textId="77777777" w:rsidR="000F00F8" w:rsidRPr="00862949" w:rsidRDefault="000F00F8" w:rsidP="00F62679">
            <w:pPr>
              <w:rPr>
                <w:rFonts w:cs="Arial"/>
                <w:b/>
                <w:bCs/>
                <w:i/>
                <w:iCs/>
                <w:color w:val="000000"/>
                <w:sz w:val="8"/>
                <w:szCs w:val="8"/>
                <w:lang w:val="en-US"/>
              </w:rPr>
            </w:pPr>
          </w:p>
        </w:tc>
      </w:tr>
      <w:tr w:rsidR="000F00F8" w:rsidRPr="00862949" w14:paraId="7D142723" w14:textId="77777777" w:rsidTr="00F62679">
        <w:tc>
          <w:tcPr>
            <w:tcW w:w="5000" w:type="pct"/>
            <w:gridSpan w:val="2"/>
            <w:shd w:val="clear" w:color="auto" w:fill="008232"/>
            <w:tcMar>
              <w:top w:w="57" w:type="dxa"/>
              <w:bottom w:w="57" w:type="dxa"/>
            </w:tcMar>
          </w:tcPr>
          <w:p w14:paraId="3369CE17" w14:textId="58B86546" w:rsidR="000F00F8" w:rsidRPr="00433D3E" w:rsidRDefault="000F00F8" w:rsidP="00F62679">
            <w:pPr>
              <w:rPr>
                <w:rFonts w:cs="Arial"/>
                <w:color w:val="FFFFFF"/>
                <w:sz w:val="20"/>
                <w:szCs w:val="20"/>
              </w:rPr>
            </w:pPr>
            <w:r w:rsidRPr="00433D3E">
              <w:rPr>
                <w:rFonts w:cs="Arial"/>
                <w:b/>
                <w:bCs/>
                <w:i/>
                <w:iCs/>
                <w:color w:val="FFFFFF"/>
                <w:sz w:val="22"/>
                <w:szCs w:val="20"/>
                <w:lang w:val="en-US"/>
              </w:rPr>
              <w:t>Launched in the UK (or licence change for existing products)</w:t>
            </w:r>
            <w:r w:rsidR="002E3ABC">
              <w:rPr>
                <w:rFonts w:cs="Arial"/>
                <w:b/>
                <w:bCs/>
                <w:i/>
                <w:iCs/>
                <w:color w:val="FFFFFF"/>
                <w:sz w:val="22"/>
                <w:szCs w:val="20"/>
                <w:lang w:val="en-US"/>
              </w:rPr>
              <w:t xml:space="preserve"> </w:t>
            </w:r>
            <w:r w:rsidR="002E3ABC" w:rsidRPr="002E3ABC">
              <w:rPr>
                <w:rFonts w:cs="Arial"/>
                <w:b/>
                <w:bCs/>
                <w:color w:val="FFFFFF"/>
                <w:sz w:val="16"/>
                <w:szCs w:val="16"/>
                <w:lang w:val="en-US"/>
              </w:rPr>
              <w:t>(continued)</w:t>
            </w:r>
          </w:p>
        </w:tc>
      </w:tr>
      <w:tr w:rsidR="00754EC6" w:rsidRPr="00131D4C" w14:paraId="00455EA3" w14:textId="77777777" w:rsidTr="00F62679">
        <w:tc>
          <w:tcPr>
            <w:tcW w:w="1513" w:type="pct"/>
            <w:tcMar>
              <w:top w:w="57" w:type="dxa"/>
              <w:left w:w="170" w:type="dxa"/>
              <w:bottom w:w="57" w:type="dxa"/>
              <w:right w:w="170" w:type="dxa"/>
            </w:tcMar>
          </w:tcPr>
          <w:p w14:paraId="191D3671" w14:textId="77777777" w:rsidR="00754EC6" w:rsidRDefault="00754EC6" w:rsidP="00754EC6">
            <w:pPr>
              <w:rPr>
                <w:rFonts w:cs="Arial"/>
                <w:szCs w:val="19"/>
              </w:rPr>
            </w:pPr>
            <w:r w:rsidRPr="0030117F">
              <w:rPr>
                <w:rFonts w:cs="Arial"/>
                <w:szCs w:val="19"/>
              </w:rPr>
              <w:t>Factor VIII inhibitor bypassing fraction</w:t>
            </w:r>
            <w:r>
              <w:rPr>
                <w:rFonts w:cs="Arial"/>
                <w:szCs w:val="19"/>
              </w:rPr>
              <w:t xml:space="preserve"> (</w:t>
            </w:r>
            <w:r>
              <w:rPr>
                <w:rFonts w:cs="Arial"/>
                <w:i/>
                <w:iCs/>
                <w:szCs w:val="19"/>
              </w:rPr>
              <w:t>Feiba</w:t>
            </w:r>
            <w:r>
              <w:rPr>
                <w:rFonts w:cs="Arial"/>
                <w:szCs w:val="19"/>
              </w:rPr>
              <w:t>)</w:t>
            </w:r>
          </w:p>
          <w:p w14:paraId="418F935A" w14:textId="10BE53F0" w:rsidR="00754EC6" w:rsidRPr="00E61931" w:rsidRDefault="00754EC6" w:rsidP="00754EC6">
            <w:pPr>
              <w:rPr>
                <w:rFonts w:cs="Arial"/>
                <w:szCs w:val="19"/>
              </w:rPr>
            </w:pPr>
            <w:r w:rsidRPr="00073C05">
              <w:rPr>
                <w:rFonts w:cs="Arial"/>
                <w:sz w:val="16"/>
                <w:szCs w:val="16"/>
              </w:rPr>
              <w:t>500U in 5mL</w:t>
            </w:r>
            <w:r>
              <w:rPr>
                <w:rFonts w:cs="Arial"/>
                <w:sz w:val="16"/>
                <w:szCs w:val="16"/>
              </w:rPr>
              <w:t xml:space="preserve"> and</w:t>
            </w:r>
            <w:r w:rsidRPr="00073C05">
              <w:rPr>
                <w:rFonts w:cs="Arial"/>
                <w:sz w:val="16"/>
                <w:szCs w:val="16"/>
              </w:rPr>
              <w:t xml:space="preserve"> 1,000U in 10mL vials</w:t>
            </w:r>
          </w:p>
        </w:tc>
        <w:tc>
          <w:tcPr>
            <w:tcW w:w="3487" w:type="pct"/>
            <w:tcMar>
              <w:top w:w="57" w:type="dxa"/>
              <w:left w:w="170" w:type="dxa"/>
              <w:bottom w:w="57" w:type="dxa"/>
              <w:right w:w="170" w:type="dxa"/>
            </w:tcMar>
          </w:tcPr>
          <w:p w14:paraId="3C14AD33" w14:textId="7D61640E" w:rsidR="00754EC6" w:rsidRPr="001540C5" w:rsidRDefault="00754EC6" w:rsidP="00754EC6">
            <w:pPr>
              <w:tabs>
                <w:tab w:val="center" w:pos="3152"/>
              </w:tabs>
              <w:rPr>
                <w:rFonts w:cs="Arial"/>
                <w:szCs w:val="19"/>
                <w:lang w:val="en-US"/>
              </w:rPr>
            </w:pPr>
            <w:r w:rsidRPr="001E3BBE">
              <w:rPr>
                <w:rFonts w:cs="Arial"/>
                <w:szCs w:val="19"/>
                <w:lang w:val="en-US"/>
              </w:rPr>
              <w:t>Treatment</w:t>
            </w:r>
            <w:r w:rsidR="008302C8">
              <w:rPr>
                <w:rFonts w:cs="Arial"/>
                <w:szCs w:val="19"/>
                <w:lang w:val="en-US"/>
              </w:rPr>
              <w:t xml:space="preserve"> and prpohylaxis</w:t>
            </w:r>
            <w:r w:rsidRPr="001E3BBE">
              <w:rPr>
                <w:rFonts w:cs="Arial"/>
                <w:szCs w:val="19"/>
                <w:lang w:val="en-US"/>
              </w:rPr>
              <w:t xml:space="preserve"> of bleeding in h</w:t>
            </w:r>
            <w:r>
              <w:rPr>
                <w:rFonts w:cs="Arial"/>
                <w:szCs w:val="19"/>
                <w:lang w:val="en-US"/>
              </w:rPr>
              <w:t>a</w:t>
            </w:r>
            <w:r w:rsidRPr="001E3BBE">
              <w:rPr>
                <w:rFonts w:cs="Arial"/>
                <w:szCs w:val="19"/>
                <w:lang w:val="en-US"/>
              </w:rPr>
              <w:t xml:space="preserve">emophilia A with inhibitors, </w:t>
            </w:r>
            <w:r>
              <w:rPr>
                <w:rFonts w:cs="Arial"/>
                <w:szCs w:val="19"/>
                <w:lang w:val="en-US"/>
              </w:rPr>
              <w:t xml:space="preserve">treatment of bleeding in </w:t>
            </w:r>
            <w:r w:rsidRPr="001E3BBE">
              <w:rPr>
                <w:rFonts w:cs="Arial"/>
                <w:szCs w:val="19"/>
                <w:lang w:val="en-US"/>
              </w:rPr>
              <w:t>h</w:t>
            </w:r>
            <w:r>
              <w:rPr>
                <w:rFonts w:cs="Arial"/>
                <w:szCs w:val="19"/>
                <w:lang w:val="en-US"/>
              </w:rPr>
              <w:t>a</w:t>
            </w:r>
            <w:r w:rsidRPr="001E3BBE">
              <w:rPr>
                <w:rFonts w:cs="Arial"/>
                <w:szCs w:val="19"/>
                <w:lang w:val="en-US"/>
              </w:rPr>
              <w:t xml:space="preserve">emophilia B with inhibitors if no other specific treatment is available, </w:t>
            </w:r>
            <w:r>
              <w:rPr>
                <w:rFonts w:cs="Arial"/>
                <w:szCs w:val="19"/>
                <w:lang w:val="en-US"/>
              </w:rPr>
              <w:t>treatment</w:t>
            </w:r>
            <w:r w:rsidR="002F1B8C">
              <w:rPr>
                <w:rFonts w:cs="Arial"/>
                <w:szCs w:val="19"/>
                <w:lang w:val="en-US"/>
              </w:rPr>
              <w:t xml:space="preserve"> and prophylaxis</w:t>
            </w:r>
            <w:r>
              <w:rPr>
                <w:rFonts w:cs="Arial"/>
                <w:szCs w:val="19"/>
                <w:lang w:val="en-US"/>
              </w:rPr>
              <w:t xml:space="preserve"> of bleeding </w:t>
            </w:r>
            <w:r w:rsidRPr="001E3BBE">
              <w:rPr>
                <w:rFonts w:cs="Arial"/>
                <w:szCs w:val="19"/>
                <w:lang w:val="en-US"/>
              </w:rPr>
              <w:t>in non-h</w:t>
            </w:r>
            <w:r>
              <w:rPr>
                <w:rFonts w:cs="Arial"/>
                <w:szCs w:val="19"/>
                <w:lang w:val="en-US"/>
              </w:rPr>
              <w:t>a</w:t>
            </w:r>
            <w:r w:rsidRPr="001E3BBE">
              <w:rPr>
                <w:rFonts w:cs="Arial"/>
                <w:szCs w:val="19"/>
                <w:lang w:val="en-US"/>
              </w:rPr>
              <w:t>emophilia with a</w:t>
            </w:r>
            <w:r>
              <w:rPr>
                <w:rFonts w:cs="Arial"/>
                <w:szCs w:val="19"/>
                <w:lang w:val="en-US"/>
              </w:rPr>
              <w:t>c</w:t>
            </w:r>
            <w:r w:rsidRPr="001E3BBE">
              <w:rPr>
                <w:rFonts w:cs="Arial"/>
                <w:szCs w:val="19"/>
                <w:lang w:val="en-US"/>
              </w:rPr>
              <w:t>quired inhibitors to factor VIII</w:t>
            </w:r>
            <w:r>
              <w:rPr>
                <w:rFonts w:cs="Arial"/>
                <w:szCs w:val="19"/>
                <w:lang w:val="en-US"/>
              </w:rPr>
              <w:t>,</w:t>
            </w:r>
            <w:r w:rsidRPr="001E3BBE">
              <w:rPr>
                <w:rFonts w:cs="Arial"/>
                <w:szCs w:val="19"/>
                <w:lang w:val="en-US"/>
              </w:rPr>
              <w:t xml:space="preserve"> and prophylaxis of bleeding in h</w:t>
            </w:r>
            <w:r>
              <w:rPr>
                <w:rFonts w:cs="Arial"/>
                <w:szCs w:val="19"/>
                <w:lang w:val="en-US"/>
              </w:rPr>
              <w:t>a</w:t>
            </w:r>
            <w:r w:rsidRPr="001E3BBE">
              <w:rPr>
                <w:rFonts w:cs="Arial"/>
                <w:szCs w:val="19"/>
                <w:lang w:val="en-US"/>
              </w:rPr>
              <w:t>emophilia A with inhibitors in people who are at high risk of or have experienced a significant bleed</w:t>
            </w:r>
            <w:r>
              <w:rPr>
                <w:rFonts w:cs="Arial"/>
                <w:szCs w:val="19"/>
                <w:lang w:val="en-US"/>
              </w:rPr>
              <w:t xml:space="preserve"> in all age groups </w:t>
            </w:r>
            <w:r w:rsidRPr="002439FD">
              <w:rPr>
                <w:rFonts w:cs="Arial"/>
                <w:sz w:val="16"/>
                <w:szCs w:val="16"/>
                <w:lang w:val="en-US"/>
              </w:rPr>
              <w:t>[new reduced volume formulations]</w:t>
            </w:r>
          </w:p>
        </w:tc>
      </w:tr>
      <w:tr w:rsidR="00754EC6" w:rsidRPr="00131D4C" w14:paraId="7A4E9E7E" w14:textId="77777777" w:rsidTr="00F62679">
        <w:tc>
          <w:tcPr>
            <w:tcW w:w="1513" w:type="pct"/>
            <w:tcMar>
              <w:top w:w="57" w:type="dxa"/>
              <w:left w:w="170" w:type="dxa"/>
              <w:bottom w:w="57" w:type="dxa"/>
              <w:right w:w="170" w:type="dxa"/>
            </w:tcMar>
          </w:tcPr>
          <w:p w14:paraId="5EBF28D2" w14:textId="77777777" w:rsidR="00754EC6" w:rsidRDefault="00754EC6" w:rsidP="00754EC6">
            <w:pPr>
              <w:rPr>
                <w:rFonts w:cs="Arial"/>
                <w:szCs w:val="19"/>
              </w:rPr>
            </w:pPr>
            <w:r w:rsidRPr="00E61931">
              <w:rPr>
                <w:rFonts w:cs="Arial"/>
                <w:szCs w:val="19"/>
              </w:rPr>
              <w:t>Golimumab biosimilar (</w:t>
            </w:r>
            <w:r w:rsidRPr="00E61931">
              <w:rPr>
                <w:rFonts w:cs="Arial"/>
                <w:i/>
                <w:iCs/>
                <w:szCs w:val="19"/>
              </w:rPr>
              <w:t>Gobivaz</w:t>
            </w:r>
            <w:r w:rsidRPr="00E61931">
              <w:rPr>
                <w:rFonts w:cs="Arial"/>
                <w:szCs w:val="19"/>
              </w:rPr>
              <w:t>)</w:t>
            </w:r>
          </w:p>
          <w:p w14:paraId="1641C749" w14:textId="668DF6D3" w:rsidR="00754EC6" w:rsidRPr="00E61931" w:rsidRDefault="00754EC6" w:rsidP="00754EC6">
            <w:pPr>
              <w:rPr>
                <w:rFonts w:cs="Arial"/>
                <w:szCs w:val="19"/>
              </w:rPr>
            </w:pPr>
            <w:r w:rsidRPr="009764E2">
              <w:rPr>
                <w:rFonts w:cs="Arial"/>
                <w:sz w:val="16"/>
                <w:szCs w:val="16"/>
              </w:rPr>
              <w:t>100mg in 1mL prefilled pen</w:t>
            </w:r>
          </w:p>
        </w:tc>
        <w:tc>
          <w:tcPr>
            <w:tcW w:w="3487" w:type="pct"/>
            <w:tcMar>
              <w:top w:w="57" w:type="dxa"/>
              <w:left w:w="170" w:type="dxa"/>
              <w:bottom w:w="57" w:type="dxa"/>
              <w:right w:w="170" w:type="dxa"/>
            </w:tcMar>
          </w:tcPr>
          <w:p w14:paraId="7487016D" w14:textId="743699E8" w:rsidR="00754EC6" w:rsidRPr="00AC6F08" w:rsidRDefault="00754EC6" w:rsidP="00754EC6">
            <w:pPr>
              <w:tabs>
                <w:tab w:val="center" w:pos="3152"/>
              </w:tabs>
              <w:rPr>
                <w:rFonts w:cs="Arial"/>
                <w:szCs w:val="19"/>
                <w:lang w:val="en-US"/>
              </w:rPr>
            </w:pPr>
            <w:r w:rsidRPr="00652EB6">
              <w:rPr>
                <w:rFonts w:cs="Arial"/>
                <w:szCs w:val="19"/>
                <w:lang w:val="en-US"/>
              </w:rPr>
              <w:t xml:space="preserve">Use in combination with methotrexate (MTX) for the treatment of moderate to severe, active rheumatoid arthritis (RA) in adults when the response to disease-modifying anti-rheumatic drug (DMARD) therapy including MTX has been inadequate, </w:t>
            </w:r>
            <w:r w:rsidRPr="00842AEA">
              <w:rPr>
                <w:rFonts w:cs="Arial"/>
                <w:szCs w:val="19"/>
                <w:lang w:val="en-US"/>
              </w:rPr>
              <w:t xml:space="preserve">and the treatment of severe, active and progressive RA in adults not previously treated with MTX; use alone or in combination with MTX, for the treatment of active and progressive psoriatic arthritis in adults when the response </w:t>
            </w:r>
            <w:r w:rsidRPr="00303C91">
              <w:rPr>
                <w:rFonts w:cs="Arial"/>
                <w:szCs w:val="19"/>
                <w:lang w:val="en-US"/>
              </w:rPr>
              <w:t xml:space="preserve">to previous DMARD therapy has been inadequate; treatment of severe, active ankylosing spondylitis in adults who have responded inadequately to conventional therapy; </w:t>
            </w:r>
            <w:r w:rsidRPr="000C1900">
              <w:rPr>
                <w:rFonts w:cs="Arial"/>
                <w:szCs w:val="19"/>
                <w:lang w:val="en-US"/>
              </w:rPr>
              <w:t xml:space="preserve">treatment of adults with severe, active non-radiographic axial spondyloarthritis with objective signs of inflammation as indicated by elevated C-reactive protein and/or magnetic resonance imaging evidence, who have had an </w:t>
            </w:r>
            <w:r w:rsidRPr="00717AE5">
              <w:rPr>
                <w:rFonts w:cs="Arial"/>
                <w:szCs w:val="19"/>
                <w:lang w:val="en-US"/>
              </w:rPr>
              <w:t>inadequate response to, or are intolerant to nonsteroidal anti-inflammatory drugs; treatment of moderately to severely active ulcerative colitis in adults who have had an inadequate response to conventional therapy including corticosteroids and 6-mercaptopurine or azathioprine, or who are intolerant to or have medical contraindications for such therapies</w:t>
            </w:r>
          </w:p>
        </w:tc>
      </w:tr>
      <w:tr w:rsidR="00754EC6" w:rsidRPr="00131D4C" w14:paraId="4DE3B487" w14:textId="77777777" w:rsidTr="00F62679">
        <w:tc>
          <w:tcPr>
            <w:tcW w:w="1513" w:type="pct"/>
            <w:tcMar>
              <w:top w:w="57" w:type="dxa"/>
              <w:left w:w="170" w:type="dxa"/>
              <w:bottom w:w="57" w:type="dxa"/>
              <w:right w:w="170" w:type="dxa"/>
            </w:tcMar>
          </w:tcPr>
          <w:p w14:paraId="0C75951F" w14:textId="77777777" w:rsidR="00754EC6" w:rsidRDefault="00754EC6" w:rsidP="00754EC6">
            <w:pPr>
              <w:rPr>
                <w:rFonts w:cs="Arial"/>
                <w:szCs w:val="19"/>
              </w:rPr>
            </w:pPr>
            <w:r w:rsidRPr="00E61931">
              <w:rPr>
                <w:rFonts w:cs="Arial"/>
                <w:szCs w:val="19"/>
              </w:rPr>
              <w:t>Golimumab biosimilar (</w:t>
            </w:r>
            <w:r w:rsidRPr="00E61931">
              <w:rPr>
                <w:rFonts w:cs="Arial"/>
                <w:i/>
                <w:iCs/>
                <w:szCs w:val="19"/>
              </w:rPr>
              <w:t>Gobivaz</w:t>
            </w:r>
            <w:r w:rsidRPr="00E61931">
              <w:rPr>
                <w:rFonts w:cs="Arial"/>
                <w:szCs w:val="19"/>
              </w:rPr>
              <w:t>)</w:t>
            </w:r>
          </w:p>
          <w:p w14:paraId="15E68953" w14:textId="77777777" w:rsidR="00754EC6" w:rsidRPr="00A075A3" w:rsidRDefault="00754EC6" w:rsidP="00754EC6">
            <w:pPr>
              <w:rPr>
                <w:rFonts w:cs="Arial"/>
                <w:szCs w:val="19"/>
              </w:rPr>
            </w:pPr>
            <w:r>
              <w:rPr>
                <w:rFonts w:cs="Arial"/>
                <w:sz w:val="16"/>
                <w:szCs w:val="16"/>
              </w:rPr>
              <w:t>50mg in 0.5m</w:t>
            </w:r>
            <w:r w:rsidRPr="009764E2">
              <w:rPr>
                <w:rFonts w:cs="Arial"/>
                <w:sz w:val="16"/>
                <w:szCs w:val="16"/>
              </w:rPr>
              <w:t xml:space="preserve">L prefilled pen and syringe </w:t>
            </w:r>
          </w:p>
        </w:tc>
        <w:tc>
          <w:tcPr>
            <w:tcW w:w="3487" w:type="pct"/>
            <w:tcMar>
              <w:top w:w="57" w:type="dxa"/>
              <w:left w:w="170" w:type="dxa"/>
              <w:bottom w:w="57" w:type="dxa"/>
              <w:right w:w="170" w:type="dxa"/>
            </w:tcMar>
          </w:tcPr>
          <w:p w14:paraId="482EFE6F" w14:textId="6778327C" w:rsidR="00754EC6" w:rsidRPr="009B0BCE" w:rsidRDefault="00754EC6" w:rsidP="00754EC6">
            <w:pPr>
              <w:tabs>
                <w:tab w:val="center" w:pos="3152"/>
              </w:tabs>
              <w:rPr>
                <w:rFonts w:cs="Arial"/>
                <w:color w:val="000000"/>
                <w:sz w:val="20"/>
                <w:szCs w:val="18"/>
                <w:lang w:val="en-US"/>
              </w:rPr>
            </w:pPr>
            <w:r w:rsidRPr="00A6764A">
              <w:rPr>
                <w:rFonts w:cs="Arial"/>
                <w:szCs w:val="19"/>
                <w:lang w:val="en-US"/>
              </w:rPr>
              <w:t>Use in combination with methotrexate (MTX) for the treatment of moderate to severe, active rheumatoid arthritis (RA) in adults when the response to disease-modifying anti</w:t>
            </w:r>
            <w:r w:rsidRPr="00CF0126">
              <w:rPr>
                <w:rFonts w:cs="Arial"/>
                <w:szCs w:val="19"/>
                <w:lang w:val="en-US"/>
              </w:rPr>
              <w:t xml:space="preserve">-rheumatic drug (DMARD) therapy including MTX has been inadequate, and the treatment of severe, active and progressive RA in adults not previously treated with MTX; </w:t>
            </w:r>
            <w:r w:rsidRPr="00375091">
              <w:rPr>
                <w:rFonts w:cs="Arial"/>
                <w:b/>
                <w:bCs/>
                <w:szCs w:val="19"/>
                <w:lang w:val="en-US"/>
              </w:rPr>
              <w:t xml:space="preserve">use in combination with MTX for the treatment of polyarticular juvenile idiopathic arthritis in children aged 2 years and older, </w:t>
            </w:r>
            <w:r w:rsidRPr="00244F54">
              <w:rPr>
                <w:rFonts w:cs="Arial"/>
                <w:b/>
                <w:bCs/>
                <w:szCs w:val="19"/>
                <w:lang w:val="en-US"/>
              </w:rPr>
              <w:t>who have responded inadequately to previous therapy with MTX</w:t>
            </w:r>
            <w:r w:rsidRPr="00244F54">
              <w:rPr>
                <w:rFonts w:cs="Arial"/>
                <w:szCs w:val="19"/>
                <w:lang w:val="en-US"/>
              </w:rPr>
              <w:t xml:space="preserve">; use alone or in combination with MTX, for the treatment of active and progressive psoriatic arthritis in adults when the response to previous DMARD therapy has been </w:t>
            </w:r>
            <w:r w:rsidRPr="006D7BD0">
              <w:rPr>
                <w:rFonts w:cs="Arial"/>
                <w:szCs w:val="19"/>
                <w:lang w:val="en-US"/>
              </w:rPr>
              <w:t xml:space="preserve">inadequate; treatment of severe, active ankylosing spondylitis in adults who have responded inadequately to conventional therapy; treatment of adults with severe, active non-radiographic axial spondyloarthritis with objective signs of inflammation as </w:t>
            </w:r>
            <w:r w:rsidRPr="0013684D">
              <w:rPr>
                <w:rFonts w:cs="Arial"/>
                <w:szCs w:val="19"/>
                <w:lang w:val="en-US"/>
              </w:rPr>
              <w:t>indicated by elevated C-reactive protein and/or magnetic resonance imaging evidence, who have had an inadequate response to, or are intolerant to nonsteroidal anti-inflammatory drugs; treatment of moderately to severely active ulcerative colitis in adults who have had an inadequate response to conventional therapy including corticosteroids and 6-mercaptopurine or azathioprine, or who are intolerant to or have medical contraindications for such therapies</w:t>
            </w:r>
          </w:p>
        </w:tc>
      </w:tr>
      <w:tr w:rsidR="00754EC6" w14:paraId="2ECEDEB1" w14:textId="77777777" w:rsidTr="00F62679">
        <w:tc>
          <w:tcPr>
            <w:tcW w:w="1513" w:type="pct"/>
            <w:tcMar>
              <w:top w:w="57" w:type="dxa"/>
              <w:left w:w="170" w:type="dxa"/>
              <w:bottom w:w="57" w:type="dxa"/>
              <w:right w:w="170" w:type="dxa"/>
            </w:tcMar>
          </w:tcPr>
          <w:p w14:paraId="6EABC325" w14:textId="77777777" w:rsidR="00754EC6" w:rsidRDefault="00754EC6" w:rsidP="00754EC6">
            <w:pPr>
              <w:rPr>
                <w:rFonts w:cs="Arial"/>
                <w:szCs w:val="19"/>
              </w:rPr>
            </w:pPr>
            <w:r>
              <w:rPr>
                <w:rFonts w:cs="Arial"/>
                <w:szCs w:val="19"/>
              </w:rPr>
              <w:t>Isatuximab (</w:t>
            </w:r>
            <w:r>
              <w:rPr>
                <w:rFonts w:cs="Arial"/>
                <w:i/>
                <w:iCs/>
                <w:szCs w:val="19"/>
              </w:rPr>
              <w:t>Sarclisa</w:t>
            </w:r>
            <w:r>
              <w:rPr>
                <w:rFonts w:cs="Arial"/>
                <w:szCs w:val="19"/>
              </w:rPr>
              <w:t>)</w:t>
            </w:r>
          </w:p>
          <w:p w14:paraId="706A7577" w14:textId="799B51E5" w:rsidR="00754EC6" w:rsidRPr="00181198" w:rsidRDefault="00754EC6" w:rsidP="00754EC6">
            <w:pPr>
              <w:rPr>
                <w:rFonts w:cs="Arial"/>
                <w:sz w:val="16"/>
                <w:szCs w:val="16"/>
              </w:rPr>
            </w:pPr>
            <w:r w:rsidRPr="00181198">
              <w:rPr>
                <w:rFonts w:cs="Arial"/>
                <w:sz w:val="16"/>
                <w:szCs w:val="16"/>
              </w:rPr>
              <w:t>100mg in 5mL and 500mg in 25mL vials</w:t>
            </w:r>
          </w:p>
        </w:tc>
        <w:tc>
          <w:tcPr>
            <w:tcW w:w="3487" w:type="pct"/>
            <w:tcMar>
              <w:top w:w="57" w:type="dxa"/>
              <w:left w:w="170" w:type="dxa"/>
              <w:bottom w:w="57" w:type="dxa"/>
              <w:right w:w="170" w:type="dxa"/>
            </w:tcMar>
          </w:tcPr>
          <w:p w14:paraId="3F294F2A" w14:textId="2BA09280" w:rsidR="00754EC6" w:rsidRPr="002B65CC" w:rsidRDefault="00754EC6" w:rsidP="00754EC6">
            <w:pPr>
              <w:tabs>
                <w:tab w:val="center" w:pos="3152"/>
              </w:tabs>
              <w:rPr>
                <w:rFonts w:cs="Arial"/>
                <w:bCs/>
                <w:szCs w:val="19"/>
              </w:rPr>
            </w:pPr>
            <w:r w:rsidRPr="00945761">
              <w:rPr>
                <w:rFonts w:cs="Arial"/>
                <w:bCs/>
                <w:szCs w:val="19"/>
              </w:rPr>
              <w:t>Use in combination with bortezomib, lenalidomide, and dexamethasone, for the induction treatment of adults with newly diagnosed multiple myeloma who are eligible for autologous stem cell transplant</w:t>
            </w:r>
            <w:r>
              <w:rPr>
                <w:rFonts w:cs="Arial"/>
                <w:bCs/>
                <w:szCs w:val="19"/>
              </w:rPr>
              <w:t xml:space="preserve"> </w:t>
            </w:r>
            <w:r w:rsidRPr="00945761">
              <w:rPr>
                <w:rFonts w:cs="Arial"/>
                <w:bCs/>
                <w:sz w:val="16"/>
                <w:szCs w:val="16"/>
              </w:rPr>
              <w:t>[new indication]</w:t>
            </w:r>
          </w:p>
        </w:tc>
      </w:tr>
      <w:tr w:rsidR="00754EC6" w14:paraId="2F41D86E" w14:textId="77777777" w:rsidTr="00F62679">
        <w:tc>
          <w:tcPr>
            <w:tcW w:w="1513" w:type="pct"/>
            <w:tcMar>
              <w:top w:w="57" w:type="dxa"/>
              <w:left w:w="170" w:type="dxa"/>
              <w:bottom w:w="57" w:type="dxa"/>
              <w:right w:w="170" w:type="dxa"/>
            </w:tcMar>
          </w:tcPr>
          <w:p w14:paraId="4DC95496" w14:textId="77777777" w:rsidR="00754EC6" w:rsidRDefault="00754EC6" w:rsidP="00754EC6">
            <w:pPr>
              <w:rPr>
                <w:rFonts w:cs="Arial"/>
                <w:szCs w:val="19"/>
              </w:rPr>
            </w:pPr>
            <w:r w:rsidRPr="0022323F">
              <w:rPr>
                <w:rFonts w:cs="Arial"/>
                <w:szCs w:val="19"/>
              </w:rPr>
              <w:t>Obecabtagene autoleucel </w:t>
            </w:r>
          </w:p>
          <w:p w14:paraId="1A5B0593" w14:textId="77777777" w:rsidR="00754EC6" w:rsidRDefault="00754EC6" w:rsidP="00754EC6">
            <w:pPr>
              <w:rPr>
                <w:rFonts w:cs="Arial"/>
                <w:szCs w:val="19"/>
              </w:rPr>
            </w:pPr>
            <w:r>
              <w:rPr>
                <w:rFonts w:cs="Arial"/>
                <w:szCs w:val="19"/>
              </w:rPr>
              <w:t>(</w:t>
            </w:r>
            <w:r w:rsidRPr="002102F3">
              <w:rPr>
                <w:rFonts w:cs="Arial"/>
                <w:i/>
                <w:iCs/>
                <w:szCs w:val="19"/>
              </w:rPr>
              <w:t>Aucatzyl</w:t>
            </w:r>
            <w:r>
              <w:rPr>
                <w:rFonts w:cs="Arial"/>
                <w:szCs w:val="19"/>
              </w:rPr>
              <w:t>)</w:t>
            </w:r>
          </w:p>
          <w:p w14:paraId="72BD2864" w14:textId="4175CD85" w:rsidR="00754EC6" w:rsidRDefault="00754EC6" w:rsidP="00754EC6">
            <w:pPr>
              <w:rPr>
                <w:rFonts w:cs="Arial"/>
                <w:szCs w:val="19"/>
              </w:rPr>
            </w:pPr>
            <w:r w:rsidRPr="00317AB1">
              <w:rPr>
                <w:rFonts w:cs="Arial"/>
                <w:sz w:val="16"/>
                <w:szCs w:val="16"/>
              </w:rPr>
              <w:t>410×10</w:t>
            </w:r>
            <w:r w:rsidRPr="00317AB1">
              <w:rPr>
                <w:rFonts w:cs="Arial"/>
                <w:sz w:val="16"/>
                <w:szCs w:val="16"/>
                <w:vertAlign w:val="superscript"/>
              </w:rPr>
              <w:t xml:space="preserve">6 </w:t>
            </w:r>
            <w:r w:rsidRPr="00317AB1">
              <w:rPr>
                <w:rFonts w:cs="Arial"/>
                <w:sz w:val="16"/>
                <w:szCs w:val="16"/>
              </w:rPr>
              <w:t>CAR-positive</w:t>
            </w:r>
            <w:r>
              <w:rPr>
                <w:rFonts w:cs="Arial"/>
                <w:sz w:val="16"/>
                <w:szCs w:val="16"/>
              </w:rPr>
              <w:t xml:space="preserve"> </w:t>
            </w:r>
            <w:r w:rsidRPr="00317AB1">
              <w:rPr>
                <w:rFonts w:cs="Arial"/>
                <w:sz w:val="16"/>
                <w:szCs w:val="16"/>
              </w:rPr>
              <w:t>viable T cells in a 10-20mL or 30-70mL bag</w:t>
            </w:r>
          </w:p>
        </w:tc>
        <w:tc>
          <w:tcPr>
            <w:tcW w:w="3487" w:type="pct"/>
            <w:tcMar>
              <w:top w:w="57" w:type="dxa"/>
              <w:left w:w="170" w:type="dxa"/>
              <w:bottom w:w="57" w:type="dxa"/>
              <w:right w:w="170" w:type="dxa"/>
            </w:tcMar>
          </w:tcPr>
          <w:p w14:paraId="5DC37A90" w14:textId="5E9F8F8C" w:rsidR="00754EC6" w:rsidRPr="000627FC" w:rsidRDefault="00754EC6" w:rsidP="00754EC6">
            <w:pPr>
              <w:tabs>
                <w:tab w:val="center" w:pos="3152"/>
              </w:tabs>
              <w:rPr>
                <w:rFonts w:cs="Arial"/>
                <w:bCs/>
                <w:szCs w:val="19"/>
              </w:rPr>
            </w:pPr>
            <w:r w:rsidRPr="00771676">
              <w:rPr>
                <w:rFonts w:cs="Arial"/>
                <w:bCs/>
                <w:szCs w:val="19"/>
              </w:rPr>
              <w:t xml:space="preserve">Treatment of adults </w:t>
            </w:r>
            <w:r>
              <w:rPr>
                <w:rFonts w:cs="Arial"/>
                <w:bCs/>
                <w:szCs w:val="19"/>
              </w:rPr>
              <w:t>aged</w:t>
            </w:r>
            <w:r w:rsidRPr="00771676">
              <w:rPr>
                <w:rFonts w:cs="Arial"/>
                <w:bCs/>
                <w:szCs w:val="19"/>
              </w:rPr>
              <w:t xml:space="preserve"> 18 years</w:t>
            </w:r>
            <w:r>
              <w:rPr>
                <w:rFonts w:cs="Arial"/>
                <w:bCs/>
                <w:szCs w:val="19"/>
              </w:rPr>
              <w:t xml:space="preserve"> or older</w:t>
            </w:r>
            <w:r w:rsidRPr="00771676">
              <w:rPr>
                <w:rFonts w:cs="Arial"/>
                <w:bCs/>
                <w:szCs w:val="19"/>
              </w:rPr>
              <w:t xml:space="preserve"> with relapsed or</w:t>
            </w:r>
            <w:r>
              <w:rPr>
                <w:rFonts w:cs="Arial"/>
                <w:bCs/>
                <w:szCs w:val="19"/>
              </w:rPr>
              <w:t xml:space="preserve"> </w:t>
            </w:r>
            <w:r w:rsidRPr="00771676">
              <w:rPr>
                <w:rFonts w:cs="Arial"/>
                <w:bCs/>
                <w:szCs w:val="19"/>
              </w:rPr>
              <w:t>refractory B cell precursor acute lymphoblastic leukaemia</w:t>
            </w:r>
          </w:p>
        </w:tc>
      </w:tr>
      <w:tr w:rsidR="00754EC6" w14:paraId="7410B0DE" w14:textId="77777777" w:rsidTr="00F62679">
        <w:tc>
          <w:tcPr>
            <w:tcW w:w="1513" w:type="pct"/>
            <w:tcMar>
              <w:top w:w="57" w:type="dxa"/>
              <w:left w:w="170" w:type="dxa"/>
              <w:bottom w:w="57" w:type="dxa"/>
              <w:right w:w="170" w:type="dxa"/>
            </w:tcMar>
          </w:tcPr>
          <w:p w14:paraId="1CC40112" w14:textId="683CC1AD" w:rsidR="00754EC6" w:rsidRDefault="00754EC6" w:rsidP="00754EC6">
            <w:pPr>
              <w:rPr>
                <w:rFonts w:cs="Arial"/>
                <w:szCs w:val="19"/>
              </w:rPr>
            </w:pPr>
            <w:r>
              <w:rPr>
                <w:rFonts w:cs="Arial"/>
                <w:szCs w:val="19"/>
              </w:rPr>
              <w:t>Obinutuzumab (</w:t>
            </w:r>
            <w:r>
              <w:rPr>
                <w:rFonts w:cs="Arial"/>
                <w:i/>
                <w:iCs/>
                <w:szCs w:val="19"/>
              </w:rPr>
              <w:t>Gazyvaro</w:t>
            </w:r>
            <w:r>
              <w:rPr>
                <w:rFonts w:cs="Arial"/>
                <w:szCs w:val="19"/>
              </w:rPr>
              <w:t>)</w:t>
            </w:r>
          </w:p>
          <w:p w14:paraId="0A022C0F" w14:textId="3E1B5662" w:rsidR="00754EC6" w:rsidRPr="00682A1D" w:rsidRDefault="00754EC6" w:rsidP="00754EC6">
            <w:pPr>
              <w:rPr>
                <w:rFonts w:cs="Arial"/>
                <w:sz w:val="16"/>
                <w:szCs w:val="16"/>
              </w:rPr>
            </w:pPr>
            <w:r w:rsidRPr="00682A1D">
              <w:rPr>
                <w:rFonts w:cs="Arial"/>
                <w:sz w:val="16"/>
                <w:szCs w:val="16"/>
              </w:rPr>
              <w:t>1,000mg in 40mL vial</w:t>
            </w:r>
          </w:p>
        </w:tc>
        <w:tc>
          <w:tcPr>
            <w:tcW w:w="3487" w:type="pct"/>
            <w:tcMar>
              <w:top w:w="57" w:type="dxa"/>
              <w:left w:w="170" w:type="dxa"/>
              <w:bottom w:w="57" w:type="dxa"/>
              <w:right w:w="170" w:type="dxa"/>
            </w:tcMar>
          </w:tcPr>
          <w:p w14:paraId="68DECC93" w14:textId="77777777" w:rsidR="00754EC6" w:rsidRDefault="00754EC6" w:rsidP="00754EC6">
            <w:pPr>
              <w:tabs>
                <w:tab w:val="center" w:pos="3152"/>
              </w:tabs>
              <w:rPr>
                <w:rFonts w:cs="Arial"/>
                <w:bCs/>
                <w:szCs w:val="19"/>
              </w:rPr>
            </w:pPr>
            <w:r w:rsidRPr="00682A1D">
              <w:rPr>
                <w:rFonts w:cs="Arial"/>
                <w:bCs/>
                <w:szCs w:val="19"/>
              </w:rPr>
              <w:t>Use in combination with mycophenolate mofetil for the treatment of adults with active Class III or IV, with or without concomitant Class V, lupus nephritis</w:t>
            </w:r>
            <w:r>
              <w:rPr>
                <w:rFonts w:cs="Arial"/>
                <w:bCs/>
                <w:szCs w:val="19"/>
              </w:rPr>
              <w:t xml:space="preserve"> </w:t>
            </w:r>
          </w:p>
          <w:p w14:paraId="1060FE83" w14:textId="593888A3" w:rsidR="00754EC6" w:rsidRPr="000627FC" w:rsidRDefault="00754EC6" w:rsidP="00754EC6">
            <w:pPr>
              <w:tabs>
                <w:tab w:val="center" w:pos="3152"/>
              </w:tabs>
              <w:rPr>
                <w:rFonts w:cs="Arial"/>
                <w:bCs/>
                <w:szCs w:val="19"/>
              </w:rPr>
            </w:pPr>
            <w:r w:rsidRPr="00945761">
              <w:rPr>
                <w:rFonts w:cs="Arial"/>
                <w:bCs/>
                <w:sz w:val="16"/>
                <w:szCs w:val="16"/>
              </w:rPr>
              <w:t>[new indication]</w:t>
            </w:r>
          </w:p>
        </w:tc>
      </w:tr>
      <w:tr w:rsidR="00754EC6" w:rsidRPr="00862949" w14:paraId="64EE93B5" w14:textId="77777777" w:rsidTr="00F62679">
        <w:tc>
          <w:tcPr>
            <w:tcW w:w="5000" w:type="pct"/>
            <w:gridSpan w:val="2"/>
            <w:tcMar>
              <w:top w:w="0" w:type="dxa"/>
              <w:bottom w:w="0" w:type="dxa"/>
            </w:tcMar>
          </w:tcPr>
          <w:p w14:paraId="4EEC93CA" w14:textId="77777777" w:rsidR="00754EC6" w:rsidRPr="00862949" w:rsidRDefault="00754EC6" w:rsidP="00754EC6">
            <w:pPr>
              <w:rPr>
                <w:rFonts w:cs="Arial"/>
                <w:b/>
                <w:noProof/>
                <w:sz w:val="8"/>
                <w:szCs w:val="8"/>
              </w:rPr>
            </w:pPr>
          </w:p>
        </w:tc>
      </w:tr>
      <w:tr w:rsidR="00754EC6" w:rsidRPr="00862949" w14:paraId="793D78F2" w14:textId="77777777" w:rsidTr="00F62679">
        <w:tc>
          <w:tcPr>
            <w:tcW w:w="5000" w:type="pct"/>
            <w:gridSpan w:val="2"/>
            <w:shd w:val="clear" w:color="auto" w:fill="DAEEF3"/>
            <w:tcMar>
              <w:top w:w="0" w:type="dxa"/>
              <w:bottom w:w="0" w:type="dxa"/>
            </w:tcMar>
          </w:tcPr>
          <w:p w14:paraId="2FA5731A" w14:textId="77777777" w:rsidR="00754EC6" w:rsidRPr="00862949" w:rsidRDefault="00754EC6" w:rsidP="00754EC6">
            <w:pPr>
              <w:rPr>
                <w:rFonts w:cs="Arial"/>
                <w:b/>
                <w:i/>
                <w:noProof/>
                <w:sz w:val="8"/>
                <w:szCs w:val="8"/>
              </w:rPr>
            </w:pPr>
          </w:p>
        </w:tc>
      </w:tr>
    </w:tbl>
    <w:p w14:paraId="11800523" w14:textId="77777777" w:rsidR="000F00F8" w:rsidRDefault="000F00F8">
      <w:pPr>
        <w:rPr>
          <w:sz w:val="8"/>
          <w:szCs w:val="16"/>
        </w:rPr>
      </w:pPr>
    </w:p>
    <w:p w14:paraId="29C851AE" w14:textId="77777777" w:rsidR="001F0305" w:rsidRDefault="001F0305">
      <w:pPr>
        <w:rPr>
          <w:sz w:val="8"/>
          <w:szCs w:val="16"/>
        </w:rPr>
      </w:pPr>
    </w:p>
    <w:p w14:paraId="5C98A2E2" w14:textId="05D8C3EA" w:rsidR="001F0305" w:rsidRDefault="001F0305">
      <w:pPr>
        <w:rPr>
          <w:sz w:val="8"/>
          <w:szCs w:val="16"/>
        </w:rPr>
      </w:pPr>
      <w:r>
        <w:rPr>
          <w:sz w:val="8"/>
          <w:szCs w:val="16"/>
        </w:rPr>
        <w:br w:type="page"/>
      </w:r>
    </w:p>
    <w:p w14:paraId="67E089F3" w14:textId="77777777" w:rsidR="001F0305" w:rsidRDefault="001F0305">
      <w:pPr>
        <w:rPr>
          <w:sz w:val="8"/>
          <w:szCs w:val="16"/>
        </w:rPr>
      </w:pPr>
    </w:p>
    <w:p w14:paraId="2B6E601B" w14:textId="77777777" w:rsidR="001F0305" w:rsidRDefault="001F0305">
      <w:pPr>
        <w:rPr>
          <w:sz w:val="8"/>
          <w:szCs w:val="16"/>
        </w:rPr>
      </w:pPr>
    </w:p>
    <w:p w14:paraId="2446F73A" w14:textId="77777777" w:rsidR="001F0305" w:rsidRDefault="001F0305">
      <w:pPr>
        <w:rPr>
          <w:sz w:val="8"/>
          <w:szCs w:val="16"/>
        </w:rPr>
      </w:pPr>
    </w:p>
    <w:p w14:paraId="4A0B35ED" w14:textId="77777777" w:rsidR="001F0305" w:rsidRDefault="001F0305">
      <w:pPr>
        <w:rPr>
          <w:sz w:val="8"/>
          <w:szCs w:val="16"/>
        </w:rPr>
      </w:pPr>
    </w:p>
    <w:tbl>
      <w:tblPr>
        <w:tblW w:w="5170" w:type="pct"/>
        <w:tblInd w:w="-176" w:type="dxa"/>
        <w:tblLayout w:type="fixed"/>
        <w:tblLook w:val="01E0" w:firstRow="1" w:lastRow="1" w:firstColumn="1" w:lastColumn="1" w:noHBand="0" w:noVBand="0"/>
      </w:tblPr>
      <w:tblGrid>
        <w:gridCol w:w="3193"/>
        <w:gridCol w:w="7358"/>
      </w:tblGrid>
      <w:tr w:rsidR="001F0305" w:rsidRPr="00862949" w14:paraId="1BE0417C" w14:textId="77777777" w:rsidTr="002E23B3">
        <w:tc>
          <w:tcPr>
            <w:tcW w:w="5000" w:type="pct"/>
            <w:gridSpan w:val="2"/>
            <w:shd w:val="clear" w:color="auto" w:fill="0070C0"/>
            <w:tcMar>
              <w:top w:w="85" w:type="dxa"/>
              <w:bottom w:w="85" w:type="dxa"/>
            </w:tcMar>
            <w:vAlign w:val="bottom"/>
          </w:tcPr>
          <w:p w14:paraId="2B209426" w14:textId="77777777" w:rsidR="001F0305" w:rsidRPr="00862949" w:rsidRDefault="001F0305" w:rsidP="002E23B3">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1F0305" w:rsidRPr="00862949" w14:paraId="0EDEB918" w14:textId="77777777" w:rsidTr="002E23B3">
        <w:tc>
          <w:tcPr>
            <w:tcW w:w="5000" w:type="pct"/>
            <w:gridSpan w:val="2"/>
            <w:shd w:val="clear" w:color="auto" w:fill="DAEEF3"/>
            <w:tcMar>
              <w:top w:w="0" w:type="dxa"/>
              <w:bottom w:w="0" w:type="dxa"/>
            </w:tcMar>
          </w:tcPr>
          <w:p w14:paraId="053CF70F" w14:textId="77777777" w:rsidR="001F0305" w:rsidRPr="00862949" w:rsidRDefault="001F0305" w:rsidP="002E23B3">
            <w:pPr>
              <w:rPr>
                <w:rFonts w:cs="Arial"/>
                <w:b/>
                <w:bCs/>
                <w:i/>
                <w:iCs/>
                <w:color w:val="000000"/>
                <w:sz w:val="8"/>
                <w:szCs w:val="8"/>
                <w:lang w:val="en-US"/>
              </w:rPr>
            </w:pPr>
          </w:p>
        </w:tc>
      </w:tr>
      <w:tr w:rsidR="001F0305" w:rsidRPr="00862949" w14:paraId="7CE1B6A9" w14:textId="77777777" w:rsidTr="002E23B3">
        <w:tc>
          <w:tcPr>
            <w:tcW w:w="5000" w:type="pct"/>
            <w:gridSpan w:val="2"/>
            <w:shd w:val="clear" w:color="auto" w:fill="008232"/>
            <w:tcMar>
              <w:top w:w="57" w:type="dxa"/>
              <w:bottom w:w="57" w:type="dxa"/>
            </w:tcMar>
          </w:tcPr>
          <w:p w14:paraId="116F7B81" w14:textId="1E4EAF6F" w:rsidR="001F0305" w:rsidRPr="00433D3E" w:rsidRDefault="001F0305" w:rsidP="002E23B3">
            <w:pPr>
              <w:rPr>
                <w:rFonts w:cs="Arial"/>
                <w:color w:val="FFFFFF"/>
                <w:sz w:val="20"/>
                <w:szCs w:val="20"/>
              </w:rPr>
            </w:pPr>
            <w:r w:rsidRPr="00433D3E">
              <w:rPr>
                <w:rFonts w:cs="Arial"/>
                <w:b/>
                <w:bCs/>
                <w:i/>
                <w:iCs/>
                <w:color w:val="FFFFFF"/>
                <w:sz w:val="22"/>
                <w:szCs w:val="20"/>
                <w:lang w:val="en-US"/>
              </w:rPr>
              <w:t>Launched in the UK (or licence change for existing products)</w:t>
            </w:r>
            <w:r w:rsidR="002E3ABC">
              <w:rPr>
                <w:rFonts w:cs="Arial"/>
                <w:b/>
                <w:bCs/>
                <w:i/>
                <w:iCs/>
                <w:color w:val="FFFFFF"/>
                <w:sz w:val="22"/>
                <w:szCs w:val="20"/>
                <w:lang w:val="en-US"/>
              </w:rPr>
              <w:t xml:space="preserve"> </w:t>
            </w:r>
            <w:r w:rsidR="002E3ABC" w:rsidRPr="002E3ABC">
              <w:rPr>
                <w:rFonts w:cs="Arial"/>
                <w:b/>
                <w:bCs/>
                <w:color w:val="FFFFFF"/>
                <w:sz w:val="16"/>
                <w:szCs w:val="16"/>
                <w:lang w:val="en-US"/>
              </w:rPr>
              <w:t>(continued)</w:t>
            </w:r>
          </w:p>
        </w:tc>
      </w:tr>
      <w:tr w:rsidR="002E3ABC" w14:paraId="2C279989" w14:textId="77777777" w:rsidTr="002E23B3">
        <w:tc>
          <w:tcPr>
            <w:tcW w:w="1513" w:type="pct"/>
            <w:tcMar>
              <w:top w:w="57" w:type="dxa"/>
              <w:left w:w="170" w:type="dxa"/>
              <w:bottom w:w="57" w:type="dxa"/>
              <w:right w:w="170" w:type="dxa"/>
            </w:tcMar>
          </w:tcPr>
          <w:p w14:paraId="3739FB31" w14:textId="77777777" w:rsidR="002E3ABC" w:rsidRDefault="002E3ABC" w:rsidP="002E3ABC">
            <w:pPr>
              <w:rPr>
                <w:rFonts w:cs="Arial"/>
                <w:szCs w:val="19"/>
              </w:rPr>
            </w:pPr>
            <w:r>
              <w:rPr>
                <w:rFonts w:cs="Arial"/>
                <w:szCs w:val="19"/>
              </w:rPr>
              <w:t>Palopegteriparatide (</w:t>
            </w:r>
            <w:r w:rsidRPr="000627FC">
              <w:rPr>
                <w:rFonts w:cs="Arial"/>
                <w:i/>
                <w:iCs/>
                <w:szCs w:val="19"/>
              </w:rPr>
              <w:t>Yorvipath</w:t>
            </w:r>
            <w:r>
              <w:rPr>
                <w:rFonts w:cs="Arial"/>
                <w:szCs w:val="19"/>
              </w:rPr>
              <w:t>)</w:t>
            </w:r>
          </w:p>
          <w:p w14:paraId="1CCFEA8C" w14:textId="46665D91" w:rsidR="002E3ABC" w:rsidRDefault="002E3ABC" w:rsidP="002E3ABC">
            <w:pPr>
              <w:rPr>
                <w:rFonts w:cs="Arial"/>
                <w:szCs w:val="19"/>
              </w:rPr>
            </w:pPr>
            <w:r w:rsidRPr="005E2F6C">
              <w:rPr>
                <w:rFonts w:cs="Arial"/>
                <w:sz w:val="16"/>
                <w:szCs w:val="16"/>
              </w:rPr>
              <w:t>168micrograms in 0.56mL,  294micrograms in 0.98mL and 420micrograms in 1.4mL prefilled pens</w:t>
            </w:r>
          </w:p>
        </w:tc>
        <w:tc>
          <w:tcPr>
            <w:tcW w:w="3487" w:type="pct"/>
            <w:tcMar>
              <w:top w:w="57" w:type="dxa"/>
              <w:left w:w="170" w:type="dxa"/>
              <w:bottom w:w="57" w:type="dxa"/>
              <w:right w:w="170" w:type="dxa"/>
            </w:tcMar>
          </w:tcPr>
          <w:p w14:paraId="6F65B6ED" w14:textId="0F9EA3F9" w:rsidR="002E3ABC" w:rsidRPr="002B65CC" w:rsidRDefault="00E91B30" w:rsidP="002E3ABC">
            <w:pPr>
              <w:tabs>
                <w:tab w:val="center" w:pos="3152"/>
              </w:tabs>
              <w:rPr>
                <w:rFonts w:cs="Arial"/>
                <w:bCs/>
                <w:szCs w:val="19"/>
              </w:rPr>
            </w:pPr>
            <w:r w:rsidRPr="00E91B30">
              <w:rPr>
                <w:rFonts w:cs="Arial"/>
                <w:bCs/>
                <w:szCs w:val="19"/>
              </w:rPr>
              <w:t>P</w:t>
            </w:r>
            <w:r w:rsidRPr="00E91B30">
              <w:rPr>
                <w:rFonts w:cs="Arial"/>
                <w:bCs/>
                <w:szCs w:val="19"/>
              </w:rPr>
              <w:t>arathyroid hormone replacement therapy for the treatment of adults with chronic hypoparathyroidism</w:t>
            </w:r>
          </w:p>
        </w:tc>
      </w:tr>
      <w:tr w:rsidR="002E3ABC" w14:paraId="0A227C6A" w14:textId="77777777" w:rsidTr="002E23B3">
        <w:tc>
          <w:tcPr>
            <w:tcW w:w="1513" w:type="pct"/>
            <w:tcMar>
              <w:top w:w="57" w:type="dxa"/>
              <w:left w:w="170" w:type="dxa"/>
              <w:bottom w:w="57" w:type="dxa"/>
              <w:right w:w="170" w:type="dxa"/>
            </w:tcMar>
          </w:tcPr>
          <w:p w14:paraId="4108478B" w14:textId="77777777" w:rsidR="002E3ABC" w:rsidRDefault="002E3ABC" w:rsidP="002E3ABC">
            <w:pPr>
              <w:rPr>
                <w:rFonts w:cs="Arial"/>
                <w:szCs w:val="19"/>
              </w:rPr>
            </w:pPr>
            <w:r>
              <w:rPr>
                <w:rFonts w:cs="Arial"/>
                <w:szCs w:val="19"/>
              </w:rPr>
              <w:t>Pembrolizumab (</w:t>
            </w:r>
            <w:r>
              <w:rPr>
                <w:rFonts w:cs="Arial"/>
                <w:i/>
                <w:iCs/>
                <w:szCs w:val="19"/>
              </w:rPr>
              <w:t>Keytruda</w:t>
            </w:r>
            <w:r>
              <w:rPr>
                <w:rFonts w:cs="Arial"/>
                <w:szCs w:val="19"/>
              </w:rPr>
              <w:t>)</w:t>
            </w:r>
          </w:p>
          <w:p w14:paraId="1274DD46" w14:textId="75AD7AAE" w:rsidR="002E3ABC" w:rsidRPr="00D36A64" w:rsidRDefault="002E3ABC" w:rsidP="002E3ABC">
            <w:pPr>
              <w:rPr>
                <w:rFonts w:cs="Arial"/>
                <w:szCs w:val="19"/>
              </w:rPr>
            </w:pPr>
            <w:r w:rsidRPr="00DA75DB">
              <w:rPr>
                <w:rFonts w:cs="Arial"/>
                <w:sz w:val="16"/>
                <w:szCs w:val="16"/>
              </w:rPr>
              <w:t>100mg in 4ml vial</w:t>
            </w:r>
          </w:p>
        </w:tc>
        <w:tc>
          <w:tcPr>
            <w:tcW w:w="3487" w:type="pct"/>
            <w:tcMar>
              <w:top w:w="57" w:type="dxa"/>
              <w:left w:w="170" w:type="dxa"/>
              <w:bottom w:w="57" w:type="dxa"/>
              <w:right w:w="170" w:type="dxa"/>
            </w:tcMar>
          </w:tcPr>
          <w:p w14:paraId="28596FCB" w14:textId="43BAC16E" w:rsidR="002E3ABC" w:rsidRPr="00EC4479" w:rsidRDefault="002E3ABC" w:rsidP="002E3ABC">
            <w:pPr>
              <w:tabs>
                <w:tab w:val="center" w:pos="3152"/>
              </w:tabs>
              <w:rPr>
                <w:rFonts w:cs="Arial"/>
                <w:szCs w:val="19"/>
                <w:lang w:val="en-US"/>
              </w:rPr>
            </w:pPr>
            <w:r w:rsidRPr="002B65CC">
              <w:rPr>
                <w:rFonts w:cs="Arial"/>
                <w:bCs/>
                <w:szCs w:val="19"/>
              </w:rPr>
              <w:t>Use in combination with pemetrexed and platinum chemotherapy for the first-line treatment of adults with unresectable non-epithelioid malignant pleural mesothelioma</w:t>
            </w:r>
            <w:r>
              <w:rPr>
                <w:rFonts w:cs="Arial"/>
                <w:bCs/>
                <w:szCs w:val="19"/>
              </w:rPr>
              <w:t xml:space="preserve"> </w:t>
            </w:r>
            <w:r w:rsidRPr="002B65CC">
              <w:rPr>
                <w:rFonts w:cs="Arial"/>
                <w:bCs/>
                <w:sz w:val="16"/>
                <w:szCs w:val="16"/>
              </w:rPr>
              <w:t>[new indication]</w:t>
            </w:r>
          </w:p>
        </w:tc>
      </w:tr>
      <w:tr w:rsidR="002E3ABC" w14:paraId="50D74726" w14:textId="77777777" w:rsidTr="002E23B3">
        <w:tc>
          <w:tcPr>
            <w:tcW w:w="1513" w:type="pct"/>
            <w:tcMar>
              <w:top w:w="57" w:type="dxa"/>
              <w:left w:w="170" w:type="dxa"/>
              <w:bottom w:w="57" w:type="dxa"/>
              <w:right w:w="170" w:type="dxa"/>
            </w:tcMar>
          </w:tcPr>
          <w:p w14:paraId="0B4416D2" w14:textId="77777777" w:rsidR="002E3ABC" w:rsidRDefault="002E3ABC" w:rsidP="002E3ABC">
            <w:pPr>
              <w:rPr>
                <w:rFonts w:cs="Arial"/>
                <w:szCs w:val="19"/>
              </w:rPr>
            </w:pPr>
            <w:r w:rsidRPr="00D36A64">
              <w:rPr>
                <w:rFonts w:cs="Arial"/>
                <w:szCs w:val="19"/>
              </w:rPr>
              <w:t>Tarlatamab</w:t>
            </w:r>
            <w:r>
              <w:rPr>
                <w:rFonts w:cs="Arial"/>
                <w:szCs w:val="19"/>
              </w:rPr>
              <w:t xml:space="preserve"> (</w:t>
            </w:r>
            <w:r>
              <w:rPr>
                <w:rFonts w:cs="Arial"/>
                <w:i/>
                <w:iCs/>
                <w:szCs w:val="19"/>
              </w:rPr>
              <w:t>Imdyllytra</w:t>
            </w:r>
            <w:r>
              <w:rPr>
                <w:rFonts w:cs="Arial"/>
                <w:szCs w:val="19"/>
              </w:rPr>
              <w:t>)</w:t>
            </w:r>
          </w:p>
          <w:p w14:paraId="4E2C1DDA" w14:textId="77777777" w:rsidR="002E3ABC" w:rsidRPr="00D36A64" w:rsidRDefault="002E3ABC" w:rsidP="002E3ABC">
            <w:pPr>
              <w:rPr>
                <w:rFonts w:cs="Arial"/>
                <w:szCs w:val="19"/>
              </w:rPr>
            </w:pPr>
            <w:r>
              <w:rPr>
                <w:rFonts w:cs="Arial"/>
                <w:szCs w:val="19"/>
              </w:rPr>
              <w:t>1mg and 10mg vials</w:t>
            </w:r>
          </w:p>
        </w:tc>
        <w:tc>
          <w:tcPr>
            <w:tcW w:w="3487" w:type="pct"/>
            <w:tcMar>
              <w:top w:w="57" w:type="dxa"/>
              <w:left w:w="170" w:type="dxa"/>
              <w:bottom w:w="57" w:type="dxa"/>
              <w:right w:w="170" w:type="dxa"/>
            </w:tcMar>
          </w:tcPr>
          <w:p w14:paraId="0D820A71" w14:textId="77777777" w:rsidR="002E3ABC" w:rsidRPr="00B367CC" w:rsidRDefault="002E3ABC" w:rsidP="002E3ABC">
            <w:pPr>
              <w:tabs>
                <w:tab w:val="center" w:pos="3152"/>
              </w:tabs>
              <w:rPr>
                <w:rFonts w:cs="Arial"/>
                <w:szCs w:val="19"/>
                <w:lang w:val="en-US"/>
              </w:rPr>
            </w:pPr>
            <w:r w:rsidRPr="00EC4479">
              <w:rPr>
                <w:rFonts w:cs="Arial"/>
                <w:szCs w:val="19"/>
                <w:lang w:val="en-US"/>
              </w:rPr>
              <w:t>Treatment of adults with small cell lung cancer with disease progression on or after platinum-based chemotherapy</w:t>
            </w:r>
            <w:r>
              <w:rPr>
                <w:rFonts w:cs="Arial"/>
                <w:szCs w:val="19"/>
                <w:lang w:val="en-US"/>
              </w:rPr>
              <w:t xml:space="preserve"> </w:t>
            </w:r>
            <w:r w:rsidRPr="0092347C">
              <w:rPr>
                <w:rFonts w:cs="Arial"/>
                <w:sz w:val="16"/>
                <w:szCs w:val="16"/>
                <w:lang w:val="en-US"/>
              </w:rPr>
              <w:t>[licence change from use only in adults with disease progression on or after at least two prior lines of therapy including platinum-based chemotherapy]</w:t>
            </w:r>
          </w:p>
        </w:tc>
      </w:tr>
      <w:tr w:rsidR="002E3ABC" w14:paraId="210303D4" w14:textId="77777777" w:rsidTr="002E23B3">
        <w:tc>
          <w:tcPr>
            <w:tcW w:w="1513" w:type="pct"/>
            <w:tcMar>
              <w:top w:w="57" w:type="dxa"/>
              <w:left w:w="170" w:type="dxa"/>
              <w:bottom w:w="57" w:type="dxa"/>
              <w:right w:w="170" w:type="dxa"/>
            </w:tcMar>
          </w:tcPr>
          <w:p w14:paraId="6DD15C30" w14:textId="77777777" w:rsidR="002E3ABC" w:rsidRDefault="002E3ABC" w:rsidP="002E3ABC">
            <w:pPr>
              <w:rPr>
                <w:rFonts w:cs="Arial"/>
                <w:szCs w:val="19"/>
              </w:rPr>
            </w:pPr>
            <w:r>
              <w:rPr>
                <w:rFonts w:cs="Arial"/>
                <w:szCs w:val="19"/>
              </w:rPr>
              <w:t>Teplizumab (</w:t>
            </w:r>
            <w:r>
              <w:rPr>
                <w:rFonts w:cs="Arial"/>
                <w:i/>
                <w:iCs/>
                <w:szCs w:val="19"/>
              </w:rPr>
              <w:t>Tzield</w:t>
            </w:r>
            <w:r>
              <w:rPr>
                <w:rFonts w:cs="Arial"/>
                <w:szCs w:val="19"/>
              </w:rPr>
              <w:t>)</w:t>
            </w:r>
          </w:p>
          <w:p w14:paraId="13CA800C" w14:textId="77777777" w:rsidR="002E3ABC" w:rsidRPr="00A075A3" w:rsidRDefault="002E3ABC" w:rsidP="002E3ABC">
            <w:pPr>
              <w:rPr>
                <w:rFonts w:cs="Arial"/>
                <w:szCs w:val="19"/>
              </w:rPr>
            </w:pPr>
            <w:r w:rsidRPr="00B367CC">
              <w:rPr>
                <w:rFonts w:cs="Arial"/>
                <w:sz w:val="16"/>
                <w:szCs w:val="16"/>
              </w:rPr>
              <w:t>2mg in 2mL vial</w:t>
            </w:r>
          </w:p>
        </w:tc>
        <w:tc>
          <w:tcPr>
            <w:tcW w:w="3487" w:type="pct"/>
            <w:tcMar>
              <w:top w:w="57" w:type="dxa"/>
              <w:left w:w="170" w:type="dxa"/>
              <w:bottom w:w="57" w:type="dxa"/>
              <w:right w:w="170" w:type="dxa"/>
            </w:tcMar>
          </w:tcPr>
          <w:p w14:paraId="5A9F0155" w14:textId="77777777" w:rsidR="002E3ABC" w:rsidRPr="00A075A3" w:rsidRDefault="002E3ABC" w:rsidP="002E3ABC">
            <w:pPr>
              <w:tabs>
                <w:tab w:val="center" w:pos="3152"/>
              </w:tabs>
              <w:rPr>
                <w:rFonts w:cs="Arial"/>
                <w:szCs w:val="19"/>
                <w:lang w:val="en-US"/>
              </w:rPr>
            </w:pPr>
            <w:r w:rsidRPr="00B367CC">
              <w:rPr>
                <w:rFonts w:cs="Arial"/>
                <w:szCs w:val="19"/>
                <w:lang w:val="en-US"/>
              </w:rPr>
              <w:t>To delay the onset of Stage 3 type 1 diabetes in adult and paediatric</w:t>
            </w:r>
            <w:r>
              <w:rPr>
                <w:rFonts w:cs="Arial"/>
                <w:szCs w:val="19"/>
                <w:lang w:val="en-US"/>
              </w:rPr>
              <w:t xml:space="preserve"> </w:t>
            </w:r>
            <w:r w:rsidRPr="00B367CC">
              <w:rPr>
                <w:rFonts w:cs="Arial"/>
                <w:szCs w:val="19"/>
                <w:lang w:val="en-US"/>
              </w:rPr>
              <w:t xml:space="preserve">patients </w:t>
            </w:r>
            <w:r>
              <w:rPr>
                <w:rFonts w:cs="Arial"/>
                <w:szCs w:val="19"/>
                <w:lang w:val="en-US"/>
              </w:rPr>
              <w:t xml:space="preserve">aged </w:t>
            </w:r>
            <w:r w:rsidRPr="00B367CC">
              <w:rPr>
                <w:rFonts w:cs="Arial"/>
                <w:szCs w:val="19"/>
                <w:lang w:val="en-US"/>
              </w:rPr>
              <w:t>8 years</w:t>
            </w:r>
            <w:r>
              <w:rPr>
                <w:rFonts w:cs="Arial"/>
                <w:szCs w:val="19"/>
                <w:lang w:val="en-US"/>
              </w:rPr>
              <w:t xml:space="preserve"> and older</w:t>
            </w:r>
            <w:r w:rsidRPr="00B367CC">
              <w:rPr>
                <w:rFonts w:cs="Arial"/>
                <w:szCs w:val="19"/>
                <w:lang w:val="en-US"/>
              </w:rPr>
              <w:t xml:space="preserve"> with Stage 2 type 1 diabetes</w:t>
            </w:r>
          </w:p>
        </w:tc>
      </w:tr>
      <w:tr w:rsidR="002E3ABC" w14:paraId="4507C71B" w14:textId="77777777" w:rsidTr="002E23B3">
        <w:tc>
          <w:tcPr>
            <w:tcW w:w="1513" w:type="pct"/>
            <w:tcMar>
              <w:top w:w="57" w:type="dxa"/>
              <w:left w:w="170" w:type="dxa"/>
              <w:bottom w:w="57" w:type="dxa"/>
              <w:right w:w="170" w:type="dxa"/>
            </w:tcMar>
          </w:tcPr>
          <w:p w14:paraId="0BB6AFB7" w14:textId="77777777" w:rsidR="002E3ABC" w:rsidRPr="00FD67E6" w:rsidRDefault="002E3ABC" w:rsidP="002E3ABC">
            <w:pPr>
              <w:rPr>
                <w:rFonts w:cs="Arial"/>
                <w:szCs w:val="19"/>
              </w:rPr>
            </w:pPr>
            <w:r w:rsidRPr="00FD67E6">
              <w:rPr>
                <w:rFonts w:cs="Arial"/>
                <w:szCs w:val="19"/>
              </w:rPr>
              <w:t>Tezepelumab (</w:t>
            </w:r>
            <w:r w:rsidRPr="00FD67E6">
              <w:rPr>
                <w:rFonts w:cs="Arial"/>
                <w:i/>
                <w:iCs/>
                <w:szCs w:val="19"/>
              </w:rPr>
              <w:t>Tezspire</w:t>
            </w:r>
            <w:r w:rsidRPr="00FD67E6">
              <w:rPr>
                <w:rFonts w:cs="Arial"/>
                <w:szCs w:val="19"/>
              </w:rPr>
              <w:t>)</w:t>
            </w:r>
          </w:p>
          <w:p w14:paraId="7A7FAED5" w14:textId="77777777" w:rsidR="002E3ABC" w:rsidRPr="00FD67E6" w:rsidRDefault="002E3ABC" w:rsidP="002E3ABC">
            <w:pPr>
              <w:rPr>
                <w:rFonts w:cs="Arial"/>
                <w:sz w:val="16"/>
                <w:szCs w:val="16"/>
              </w:rPr>
            </w:pPr>
            <w:r w:rsidRPr="00F16EA7">
              <w:rPr>
                <w:rFonts w:cs="Arial"/>
                <w:sz w:val="16"/>
                <w:szCs w:val="16"/>
              </w:rPr>
              <w:t>210mg in 1.19mL prefilled pen and</w:t>
            </w:r>
            <w:r>
              <w:rPr>
                <w:rFonts w:cs="Arial"/>
                <w:sz w:val="16"/>
                <w:szCs w:val="16"/>
              </w:rPr>
              <w:t xml:space="preserve"> prefilled</w:t>
            </w:r>
            <w:r w:rsidRPr="00F16EA7">
              <w:rPr>
                <w:rFonts w:cs="Arial"/>
                <w:sz w:val="16"/>
                <w:szCs w:val="16"/>
              </w:rPr>
              <w:t xml:space="preserve"> syringe</w:t>
            </w:r>
          </w:p>
        </w:tc>
        <w:tc>
          <w:tcPr>
            <w:tcW w:w="3487" w:type="pct"/>
            <w:tcMar>
              <w:top w:w="57" w:type="dxa"/>
              <w:left w:w="170" w:type="dxa"/>
              <w:bottom w:w="57" w:type="dxa"/>
              <w:right w:w="170" w:type="dxa"/>
            </w:tcMar>
          </w:tcPr>
          <w:p w14:paraId="0F6319CB" w14:textId="77777777" w:rsidR="002E3ABC" w:rsidRDefault="002E3ABC" w:rsidP="002E3ABC">
            <w:pPr>
              <w:tabs>
                <w:tab w:val="center" w:pos="3152"/>
              </w:tabs>
              <w:rPr>
                <w:rFonts w:cs="Arial"/>
                <w:color w:val="000000"/>
                <w:szCs w:val="19"/>
                <w:lang w:val="en-US"/>
              </w:rPr>
            </w:pPr>
            <w:r w:rsidRPr="00826D01">
              <w:rPr>
                <w:rFonts w:cs="Arial"/>
                <w:color w:val="000000"/>
                <w:szCs w:val="19"/>
                <w:lang w:val="en-US"/>
              </w:rPr>
              <w:t xml:space="preserve">Use as an add-on therapy with intranasal corticosteroids for the treatment of adults with severe </w:t>
            </w:r>
            <w:r w:rsidRPr="00F33D60">
              <w:rPr>
                <w:rFonts w:cs="Arial"/>
                <w:color w:val="000000"/>
                <w:szCs w:val="19"/>
              </w:rPr>
              <w:t>chronic rhinosinusitis with nasal polyps</w:t>
            </w:r>
            <w:r>
              <w:rPr>
                <w:rFonts w:cs="Arial"/>
                <w:color w:val="000000"/>
                <w:szCs w:val="19"/>
              </w:rPr>
              <w:t xml:space="preserve"> </w:t>
            </w:r>
            <w:r w:rsidRPr="00826D01">
              <w:rPr>
                <w:rFonts w:cs="Arial"/>
                <w:color w:val="000000"/>
                <w:szCs w:val="19"/>
                <w:lang w:val="en-US"/>
              </w:rPr>
              <w:t xml:space="preserve">for whom therapy with systemic corticosteroids, and/or surgery </w:t>
            </w:r>
            <w:proofErr w:type="gramStart"/>
            <w:r w:rsidRPr="00826D01">
              <w:rPr>
                <w:rFonts w:cs="Arial"/>
                <w:color w:val="000000"/>
                <w:szCs w:val="19"/>
                <w:lang w:val="en-US"/>
              </w:rPr>
              <w:t>do</w:t>
            </w:r>
            <w:proofErr w:type="gramEnd"/>
            <w:r w:rsidRPr="00826D01">
              <w:rPr>
                <w:rFonts w:cs="Arial"/>
                <w:color w:val="000000"/>
                <w:szCs w:val="19"/>
                <w:lang w:val="en-US"/>
              </w:rPr>
              <w:t xml:space="preserve"> not provide adequate disease control</w:t>
            </w:r>
            <w:r>
              <w:rPr>
                <w:rFonts w:cs="Arial"/>
                <w:color w:val="000000"/>
                <w:szCs w:val="19"/>
                <w:lang w:val="en-US"/>
              </w:rPr>
              <w:t xml:space="preserve"> </w:t>
            </w:r>
          </w:p>
          <w:p w14:paraId="67E13053" w14:textId="77777777" w:rsidR="002E3ABC" w:rsidRPr="00826D01" w:rsidRDefault="002E3ABC" w:rsidP="002E3ABC">
            <w:pPr>
              <w:tabs>
                <w:tab w:val="center" w:pos="3152"/>
              </w:tabs>
              <w:rPr>
                <w:rFonts w:cs="Arial"/>
                <w:color w:val="000000"/>
                <w:szCs w:val="19"/>
                <w:lang w:val="en-US"/>
              </w:rPr>
            </w:pPr>
            <w:r w:rsidRPr="002B65CC">
              <w:rPr>
                <w:rFonts w:cs="Arial"/>
                <w:bCs/>
                <w:sz w:val="16"/>
                <w:szCs w:val="16"/>
              </w:rPr>
              <w:t>[new indication]</w:t>
            </w:r>
          </w:p>
        </w:tc>
      </w:tr>
      <w:tr w:rsidR="002E3ABC" w14:paraId="2E2B92A4" w14:textId="77777777" w:rsidTr="002E23B3">
        <w:tc>
          <w:tcPr>
            <w:tcW w:w="1513" w:type="pct"/>
            <w:tcMar>
              <w:top w:w="57" w:type="dxa"/>
              <w:left w:w="170" w:type="dxa"/>
              <w:bottom w:w="57" w:type="dxa"/>
              <w:right w:w="170" w:type="dxa"/>
            </w:tcMar>
          </w:tcPr>
          <w:p w14:paraId="566E2050" w14:textId="77777777" w:rsidR="002E3ABC" w:rsidRDefault="002E3ABC" w:rsidP="002E3ABC">
            <w:pPr>
              <w:rPr>
                <w:rFonts w:cs="Arial"/>
                <w:szCs w:val="19"/>
              </w:rPr>
            </w:pPr>
            <w:r>
              <w:rPr>
                <w:rFonts w:cs="Arial"/>
                <w:szCs w:val="19"/>
              </w:rPr>
              <w:t>Thalidomide (</w:t>
            </w:r>
            <w:r>
              <w:rPr>
                <w:rFonts w:cs="Arial"/>
                <w:i/>
                <w:iCs/>
                <w:szCs w:val="19"/>
              </w:rPr>
              <w:t>Myrin</w:t>
            </w:r>
            <w:r>
              <w:rPr>
                <w:rFonts w:cs="Arial"/>
                <w:szCs w:val="19"/>
              </w:rPr>
              <w:t>)</w:t>
            </w:r>
          </w:p>
          <w:p w14:paraId="59DA7E2B" w14:textId="77777777" w:rsidR="002E3ABC" w:rsidRPr="00923945" w:rsidRDefault="002E3ABC" w:rsidP="002E3ABC">
            <w:pPr>
              <w:rPr>
                <w:rFonts w:cs="Arial"/>
                <w:sz w:val="16"/>
                <w:szCs w:val="16"/>
              </w:rPr>
            </w:pPr>
            <w:r w:rsidRPr="00A74CE9">
              <w:rPr>
                <w:rFonts w:cs="Arial"/>
                <w:sz w:val="16"/>
                <w:szCs w:val="16"/>
              </w:rPr>
              <w:t>100mg tablet</w:t>
            </w:r>
          </w:p>
        </w:tc>
        <w:tc>
          <w:tcPr>
            <w:tcW w:w="3487" w:type="pct"/>
            <w:tcMar>
              <w:top w:w="57" w:type="dxa"/>
              <w:left w:w="170" w:type="dxa"/>
              <w:bottom w:w="57" w:type="dxa"/>
              <w:right w:w="170" w:type="dxa"/>
            </w:tcMar>
          </w:tcPr>
          <w:p w14:paraId="2E27210C" w14:textId="77777777" w:rsidR="002E3ABC" w:rsidRPr="00D40444" w:rsidRDefault="002E3ABC" w:rsidP="002E3ABC">
            <w:pPr>
              <w:tabs>
                <w:tab w:val="center" w:pos="3152"/>
              </w:tabs>
              <w:rPr>
                <w:rFonts w:cs="Arial"/>
                <w:color w:val="000000"/>
                <w:szCs w:val="19"/>
                <w:lang w:val="en-US"/>
              </w:rPr>
            </w:pPr>
            <w:r w:rsidRPr="00D40444">
              <w:rPr>
                <w:rFonts w:cs="Arial"/>
                <w:color w:val="000000"/>
                <w:szCs w:val="19"/>
                <w:lang w:val="en-US"/>
              </w:rPr>
              <w:t xml:space="preserve">Use </w:t>
            </w:r>
            <w:r w:rsidRPr="00D40444">
              <w:rPr>
                <w:rFonts w:cs="Arial"/>
                <w:color w:val="000000"/>
                <w:szCs w:val="19"/>
              </w:rPr>
              <w:t>in combination with melphalan and prednisone as first</w:t>
            </w:r>
            <w:r>
              <w:rPr>
                <w:rFonts w:cs="Arial"/>
                <w:color w:val="000000"/>
                <w:szCs w:val="19"/>
              </w:rPr>
              <w:t>-</w:t>
            </w:r>
            <w:r w:rsidRPr="00D40444">
              <w:rPr>
                <w:rFonts w:cs="Arial"/>
                <w:color w:val="000000"/>
                <w:szCs w:val="19"/>
              </w:rPr>
              <w:t>line treatment of patients with untreated multiple myeloma, aged 65 years and older or ineligible for high dose chemotherapy</w:t>
            </w:r>
            <w:r>
              <w:rPr>
                <w:rFonts w:cs="Arial"/>
                <w:color w:val="000000"/>
                <w:sz w:val="18"/>
                <w:szCs w:val="18"/>
              </w:rPr>
              <w:t xml:space="preserve"> </w:t>
            </w:r>
            <w:r w:rsidRPr="00D40444">
              <w:rPr>
                <w:rFonts w:cs="Arial"/>
                <w:color w:val="000000"/>
                <w:sz w:val="16"/>
                <w:szCs w:val="16"/>
              </w:rPr>
              <w:t>[new tablet formulation]</w:t>
            </w:r>
          </w:p>
        </w:tc>
      </w:tr>
      <w:tr w:rsidR="002E3ABC" w14:paraId="06FDBCE6" w14:textId="77777777" w:rsidTr="002E23B3">
        <w:tc>
          <w:tcPr>
            <w:tcW w:w="1513" w:type="pct"/>
            <w:tcMar>
              <w:top w:w="57" w:type="dxa"/>
              <w:left w:w="170" w:type="dxa"/>
              <w:bottom w:w="57" w:type="dxa"/>
              <w:right w:w="170" w:type="dxa"/>
            </w:tcMar>
          </w:tcPr>
          <w:p w14:paraId="2A7D2AC8" w14:textId="77777777" w:rsidR="0021206E" w:rsidRDefault="002E3ABC" w:rsidP="002E3ABC">
            <w:pPr>
              <w:rPr>
                <w:rFonts w:cs="Arial"/>
                <w:szCs w:val="19"/>
              </w:rPr>
            </w:pPr>
            <w:r>
              <w:rPr>
                <w:rFonts w:cs="Arial"/>
                <w:szCs w:val="19"/>
              </w:rPr>
              <w:t xml:space="preserve">Varenicline </w:t>
            </w:r>
          </w:p>
          <w:p w14:paraId="5CD7ED14" w14:textId="69DEFC2D" w:rsidR="002E3ABC" w:rsidRDefault="002E3ABC" w:rsidP="002E3ABC">
            <w:pPr>
              <w:rPr>
                <w:rFonts w:cs="Arial"/>
                <w:szCs w:val="19"/>
              </w:rPr>
            </w:pPr>
            <w:r w:rsidRPr="00923945">
              <w:rPr>
                <w:rFonts w:cs="Arial"/>
                <w:sz w:val="16"/>
                <w:szCs w:val="16"/>
              </w:rPr>
              <w:t>0.5mg and 1mg tablets</w:t>
            </w:r>
          </w:p>
        </w:tc>
        <w:tc>
          <w:tcPr>
            <w:tcW w:w="3487" w:type="pct"/>
            <w:tcMar>
              <w:top w:w="57" w:type="dxa"/>
              <w:left w:w="170" w:type="dxa"/>
              <w:bottom w:w="57" w:type="dxa"/>
              <w:right w:w="170" w:type="dxa"/>
            </w:tcMar>
          </w:tcPr>
          <w:p w14:paraId="62AF06C8" w14:textId="77777777" w:rsidR="002E3ABC" w:rsidRDefault="002E3ABC" w:rsidP="002E3ABC">
            <w:pPr>
              <w:tabs>
                <w:tab w:val="center" w:pos="3152"/>
              </w:tabs>
              <w:rPr>
                <w:rFonts w:cs="Arial"/>
                <w:color w:val="000000"/>
                <w:szCs w:val="19"/>
                <w:lang w:val="en-US"/>
              </w:rPr>
            </w:pPr>
            <w:r w:rsidRPr="003C1038">
              <w:rPr>
                <w:rFonts w:cs="Arial"/>
                <w:color w:val="000000"/>
                <w:szCs w:val="19"/>
                <w:lang w:val="en-US"/>
              </w:rPr>
              <w:t>Smoking cessation in adults</w:t>
            </w:r>
            <w:r>
              <w:rPr>
                <w:rFonts w:cs="Arial"/>
                <w:color w:val="000000"/>
                <w:szCs w:val="19"/>
                <w:lang w:val="en-US"/>
              </w:rPr>
              <w:t xml:space="preserve"> </w:t>
            </w:r>
          </w:p>
          <w:p w14:paraId="6FA423C9" w14:textId="77777777" w:rsidR="002E3ABC" w:rsidRPr="00D40444" w:rsidRDefault="002E3ABC" w:rsidP="002E3ABC">
            <w:pPr>
              <w:tabs>
                <w:tab w:val="center" w:pos="3152"/>
              </w:tabs>
              <w:rPr>
                <w:rFonts w:cs="Arial"/>
                <w:color w:val="000000"/>
                <w:szCs w:val="19"/>
                <w:lang w:val="en-US"/>
              </w:rPr>
            </w:pPr>
            <w:r w:rsidRPr="00905F15">
              <w:rPr>
                <w:rFonts w:cs="Arial"/>
                <w:color w:val="000000"/>
                <w:sz w:val="16"/>
                <w:szCs w:val="16"/>
                <w:lang w:val="en-US"/>
              </w:rPr>
              <w:t>[new</w:t>
            </w:r>
            <w:r>
              <w:rPr>
                <w:rFonts w:cs="Arial"/>
                <w:color w:val="000000"/>
                <w:sz w:val="16"/>
                <w:szCs w:val="16"/>
                <w:lang w:val="en-US"/>
              </w:rPr>
              <w:t xml:space="preserve"> Brancaster Pharma</w:t>
            </w:r>
            <w:r w:rsidRPr="00905F15">
              <w:rPr>
                <w:rFonts w:cs="Arial"/>
                <w:color w:val="000000"/>
                <w:sz w:val="16"/>
                <w:szCs w:val="16"/>
                <w:lang w:val="en-US"/>
              </w:rPr>
              <w:t xml:space="preserve"> formulation with </w:t>
            </w:r>
            <w:r w:rsidRPr="00905F15">
              <w:rPr>
                <w:rFonts w:cs="Arial"/>
                <w:color w:val="000000"/>
                <w:sz w:val="16"/>
                <w:szCs w:val="16"/>
              </w:rPr>
              <w:t>&lt;37ng/day nitrosamine]</w:t>
            </w:r>
          </w:p>
        </w:tc>
      </w:tr>
      <w:tr w:rsidR="002E3ABC" w:rsidRPr="00862949" w14:paraId="12DBE575" w14:textId="77777777" w:rsidTr="002E23B3">
        <w:tc>
          <w:tcPr>
            <w:tcW w:w="5000" w:type="pct"/>
            <w:gridSpan w:val="2"/>
            <w:tcMar>
              <w:top w:w="0" w:type="dxa"/>
              <w:bottom w:w="0" w:type="dxa"/>
            </w:tcMar>
          </w:tcPr>
          <w:p w14:paraId="4F44862A" w14:textId="77777777" w:rsidR="002E3ABC" w:rsidRPr="00862949" w:rsidRDefault="002E3ABC" w:rsidP="002E3ABC">
            <w:pPr>
              <w:rPr>
                <w:rFonts w:cs="Arial"/>
                <w:b/>
                <w:noProof/>
                <w:sz w:val="8"/>
                <w:szCs w:val="8"/>
              </w:rPr>
            </w:pPr>
          </w:p>
        </w:tc>
      </w:tr>
      <w:tr w:rsidR="002E3ABC" w:rsidRPr="00862949" w14:paraId="755117B6" w14:textId="77777777" w:rsidTr="002E23B3">
        <w:tc>
          <w:tcPr>
            <w:tcW w:w="5000" w:type="pct"/>
            <w:gridSpan w:val="2"/>
            <w:shd w:val="clear" w:color="auto" w:fill="DAEEF3"/>
            <w:tcMar>
              <w:top w:w="0" w:type="dxa"/>
              <w:bottom w:w="0" w:type="dxa"/>
            </w:tcMar>
          </w:tcPr>
          <w:p w14:paraId="18FE7812" w14:textId="77777777" w:rsidR="002E3ABC" w:rsidRPr="00862949" w:rsidRDefault="002E3ABC" w:rsidP="002E3ABC">
            <w:pPr>
              <w:rPr>
                <w:rFonts w:cs="Arial"/>
                <w:b/>
                <w:i/>
                <w:noProof/>
                <w:sz w:val="8"/>
                <w:szCs w:val="8"/>
              </w:rPr>
            </w:pPr>
          </w:p>
        </w:tc>
      </w:tr>
    </w:tbl>
    <w:p w14:paraId="2EFFCDC0" w14:textId="1F61EA76" w:rsidR="001F0305" w:rsidRDefault="001F0305">
      <w:pPr>
        <w:rPr>
          <w:sz w:val="8"/>
          <w:szCs w:val="16"/>
        </w:rPr>
      </w:pPr>
    </w:p>
    <w:p w14:paraId="7B2FD730" w14:textId="77777777" w:rsidR="001F0305" w:rsidRDefault="001F0305">
      <w:pPr>
        <w:rPr>
          <w:sz w:val="8"/>
          <w:szCs w:val="16"/>
        </w:rPr>
      </w:pPr>
    </w:p>
    <w:p w14:paraId="65A42EF5" w14:textId="77777777" w:rsidR="001F0305" w:rsidRDefault="001F0305">
      <w:pPr>
        <w:rPr>
          <w:sz w:val="8"/>
          <w:szCs w:val="16"/>
        </w:rPr>
      </w:pPr>
    </w:p>
    <w:p w14:paraId="0D9CACF2" w14:textId="77777777" w:rsidR="003402BF" w:rsidRDefault="003402BF">
      <w:pPr>
        <w:rPr>
          <w:sz w:val="8"/>
          <w:szCs w:val="16"/>
        </w:rPr>
      </w:pPr>
    </w:p>
    <w:p w14:paraId="14FFBB8D" w14:textId="77777777" w:rsidR="003402BF" w:rsidRDefault="003402BF">
      <w:pPr>
        <w:rPr>
          <w:sz w:val="8"/>
          <w:szCs w:val="16"/>
        </w:rPr>
      </w:pPr>
    </w:p>
    <w:p w14:paraId="32B3A15C" w14:textId="77777777" w:rsidR="001F0305" w:rsidRDefault="001F0305">
      <w:pPr>
        <w:rPr>
          <w:sz w:val="8"/>
          <w:szCs w:val="16"/>
        </w:rPr>
      </w:pPr>
    </w:p>
    <w:p w14:paraId="70FC9D1E" w14:textId="77777777" w:rsidR="001F0305" w:rsidRDefault="001F0305">
      <w:pPr>
        <w:rPr>
          <w:sz w:val="8"/>
          <w:szCs w:val="16"/>
        </w:rPr>
      </w:pPr>
    </w:p>
    <w:p w14:paraId="68504F69" w14:textId="77777777" w:rsidR="002E3ABC" w:rsidRDefault="002E3ABC">
      <w:pPr>
        <w:rPr>
          <w:sz w:val="8"/>
          <w:szCs w:val="16"/>
        </w:rPr>
      </w:pPr>
    </w:p>
    <w:tbl>
      <w:tblPr>
        <w:tblW w:w="5170" w:type="pct"/>
        <w:tblInd w:w="-176" w:type="dxa"/>
        <w:tblLayout w:type="fixed"/>
        <w:tblLook w:val="01E0" w:firstRow="1" w:lastRow="1" w:firstColumn="1" w:lastColumn="1" w:noHBand="0" w:noVBand="0"/>
      </w:tblPr>
      <w:tblGrid>
        <w:gridCol w:w="2431"/>
        <w:gridCol w:w="863"/>
        <w:gridCol w:w="7257"/>
      </w:tblGrid>
      <w:tr w:rsidR="002E3ABC" w:rsidRPr="00862949" w14:paraId="4125FB24" w14:textId="77777777" w:rsidTr="002E23B3">
        <w:tc>
          <w:tcPr>
            <w:tcW w:w="5000" w:type="pct"/>
            <w:gridSpan w:val="3"/>
            <w:shd w:val="clear" w:color="auto" w:fill="0070C0"/>
            <w:tcMar>
              <w:top w:w="85" w:type="dxa"/>
              <w:bottom w:w="85" w:type="dxa"/>
            </w:tcMar>
            <w:vAlign w:val="bottom"/>
          </w:tcPr>
          <w:p w14:paraId="39425790" w14:textId="77777777" w:rsidR="002E3ABC" w:rsidRPr="00862949" w:rsidRDefault="002E3ABC" w:rsidP="002E23B3">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2E3ABC" w:rsidRPr="00862949" w14:paraId="1B1D2DF2" w14:textId="77777777" w:rsidTr="002E23B3">
        <w:tc>
          <w:tcPr>
            <w:tcW w:w="5000" w:type="pct"/>
            <w:gridSpan w:val="3"/>
            <w:shd w:val="clear" w:color="auto" w:fill="DAEEF3"/>
            <w:tcMar>
              <w:top w:w="0" w:type="dxa"/>
              <w:bottom w:w="0" w:type="dxa"/>
            </w:tcMar>
          </w:tcPr>
          <w:p w14:paraId="69206706" w14:textId="77777777" w:rsidR="002E3ABC" w:rsidRPr="00862949" w:rsidRDefault="002E3ABC" w:rsidP="002E23B3">
            <w:pPr>
              <w:rPr>
                <w:rFonts w:cs="Arial"/>
                <w:b/>
                <w:bCs/>
                <w:i/>
                <w:iCs/>
                <w:color w:val="000000"/>
                <w:sz w:val="8"/>
                <w:szCs w:val="8"/>
                <w:lang w:val="en-US"/>
              </w:rPr>
            </w:pPr>
          </w:p>
        </w:tc>
      </w:tr>
      <w:tr w:rsidR="002E3ABC" w:rsidRPr="00433D3E" w14:paraId="26F3268A" w14:textId="77777777" w:rsidTr="002E23B3">
        <w:tc>
          <w:tcPr>
            <w:tcW w:w="5000" w:type="pct"/>
            <w:gridSpan w:val="3"/>
            <w:shd w:val="clear" w:color="auto" w:fill="008232"/>
            <w:tcMar>
              <w:top w:w="57" w:type="dxa"/>
              <w:bottom w:w="57" w:type="dxa"/>
            </w:tcMar>
          </w:tcPr>
          <w:p w14:paraId="49784B72" w14:textId="77777777" w:rsidR="002E3ABC" w:rsidRPr="00433D3E" w:rsidRDefault="002E3ABC" w:rsidP="002E23B3">
            <w:pPr>
              <w:rPr>
                <w:rFonts w:cs="Arial"/>
                <w:color w:val="FFFFFF"/>
                <w:sz w:val="20"/>
                <w:szCs w:val="20"/>
              </w:rPr>
            </w:pPr>
            <w:r w:rsidRPr="00433D3E">
              <w:rPr>
                <w:rFonts w:cs="Arial"/>
                <w:b/>
                <w:bCs/>
                <w:i/>
                <w:iCs/>
                <w:color w:val="FFFFFF"/>
                <w:sz w:val="22"/>
                <w:szCs w:val="20"/>
                <w:lang w:val="en-US"/>
              </w:rPr>
              <w:t xml:space="preserve">Approved in the </w:t>
            </w:r>
            <w:r>
              <w:rPr>
                <w:rFonts w:cs="Arial"/>
                <w:b/>
                <w:bCs/>
                <w:i/>
                <w:iCs/>
                <w:color w:val="FFFFFF"/>
                <w:sz w:val="22"/>
                <w:szCs w:val="20"/>
                <w:lang w:val="en-US"/>
              </w:rPr>
              <w:t>UK</w:t>
            </w:r>
          </w:p>
        </w:tc>
      </w:tr>
      <w:tr w:rsidR="002E3ABC" w:rsidRPr="00900CE0" w14:paraId="1A6291C3" w14:textId="77777777" w:rsidTr="002E23B3">
        <w:tc>
          <w:tcPr>
            <w:tcW w:w="1561" w:type="pct"/>
            <w:gridSpan w:val="2"/>
            <w:tcMar>
              <w:top w:w="57" w:type="dxa"/>
              <w:bottom w:w="57" w:type="dxa"/>
            </w:tcMar>
          </w:tcPr>
          <w:p w14:paraId="591A329B" w14:textId="77777777" w:rsidR="002E3ABC" w:rsidRDefault="002E3ABC" w:rsidP="002E23B3">
            <w:pPr>
              <w:rPr>
                <w:rFonts w:cs="Arial"/>
                <w:szCs w:val="19"/>
              </w:rPr>
            </w:pPr>
            <w:r>
              <w:rPr>
                <w:rFonts w:cs="Arial"/>
                <w:szCs w:val="19"/>
              </w:rPr>
              <w:t>Denosumab biosimilar (</w:t>
            </w:r>
            <w:r>
              <w:rPr>
                <w:rFonts w:cs="Arial"/>
                <w:i/>
                <w:iCs/>
                <w:szCs w:val="19"/>
              </w:rPr>
              <w:t>Acvybra</w:t>
            </w:r>
            <w:r>
              <w:rPr>
                <w:rFonts w:cs="Arial"/>
                <w:szCs w:val="19"/>
              </w:rPr>
              <w:t>)</w:t>
            </w:r>
          </w:p>
          <w:p w14:paraId="5D14402B" w14:textId="77777777" w:rsidR="002E3ABC" w:rsidRDefault="002E3ABC" w:rsidP="002E23B3">
            <w:pPr>
              <w:rPr>
                <w:rFonts w:cs="Arial"/>
                <w:szCs w:val="19"/>
              </w:rPr>
            </w:pPr>
            <w:r w:rsidRPr="00BF40A6">
              <w:rPr>
                <w:rFonts w:cs="Arial"/>
                <w:sz w:val="16"/>
                <w:szCs w:val="16"/>
              </w:rPr>
              <w:t>60mg in 1mL prefilled syringe</w:t>
            </w:r>
          </w:p>
        </w:tc>
        <w:tc>
          <w:tcPr>
            <w:tcW w:w="3439" w:type="pct"/>
            <w:tcMar>
              <w:top w:w="57" w:type="dxa"/>
              <w:bottom w:w="57" w:type="dxa"/>
            </w:tcMar>
          </w:tcPr>
          <w:p w14:paraId="6CEEA5FB" w14:textId="77777777" w:rsidR="002E3ABC" w:rsidRPr="00900CE0" w:rsidRDefault="002E3ABC" w:rsidP="002E23B3">
            <w:pPr>
              <w:tabs>
                <w:tab w:val="center" w:pos="3152"/>
              </w:tabs>
              <w:rPr>
                <w:rFonts w:cs="Arial"/>
                <w:szCs w:val="19"/>
              </w:rPr>
            </w:pPr>
            <w:r w:rsidRPr="00900CE0">
              <w:rPr>
                <w:rFonts w:cs="Arial"/>
                <w:szCs w:val="19"/>
              </w:rPr>
              <w:t>Treatment of osteoporosis in postmenopausal women and in men at increased risk of</w:t>
            </w:r>
            <w:r>
              <w:rPr>
                <w:rFonts w:cs="Arial"/>
                <w:szCs w:val="19"/>
              </w:rPr>
              <w:t xml:space="preserve"> f</w:t>
            </w:r>
            <w:r w:rsidRPr="00900CE0">
              <w:rPr>
                <w:rFonts w:cs="Arial"/>
                <w:szCs w:val="19"/>
              </w:rPr>
              <w:t>ractures</w:t>
            </w:r>
            <w:r>
              <w:rPr>
                <w:rFonts w:cs="Arial"/>
                <w:szCs w:val="19"/>
              </w:rPr>
              <w:t>, t</w:t>
            </w:r>
            <w:r w:rsidRPr="00900CE0">
              <w:rPr>
                <w:rFonts w:cs="Arial"/>
                <w:szCs w:val="19"/>
              </w:rPr>
              <w:t>reatment of bone loss associated with hormone ablation in men with prostate cancer</w:t>
            </w:r>
            <w:r>
              <w:rPr>
                <w:rFonts w:cs="Arial"/>
                <w:szCs w:val="19"/>
              </w:rPr>
              <w:t xml:space="preserve"> </w:t>
            </w:r>
            <w:r w:rsidRPr="00900CE0">
              <w:rPr>
                <w:rFonts w:cs="Arial"/>
                <w:szCs w:val="19"/>
              </w:rPr>
              <w:t>at increased risk of fractures</w:t>
            </w:r>
            <w:r>
              <w:rPr>
                <w:rFonts w:cs="Arial"/>
                <w:szCs w:val="19"/>
              </w:rPr>
              <w:t>, and t</w:t>
            </w:r>
            <w:r w:rsidRPr="00900CE0">
              <w:rPr>
                <w:rFonts w:cs="Arial"/>
                <w:szCs w:val="19"/>
              </w:rPr>
              <w:t>reatment of bone loss associated with long-term systemic glucocorticoid therapy in</w:t>
            </w:r>
            <w:r>
              <w:rPr>
                <w:rFonts w:cs="Arial"/>
                <w:szCs w:val="19"/>
              </w:rPr>
              <w:t xml:space="preserve"> </w:t>
            </w:r>
            <w:r w:rsidRPr="00900CE0">
              <w:rPr>
                <w:rFonts w:cs="Arial"/>
                <w:szCs w:val="19"/>
              </w:rPr>
              <w:t>adults at increased risk of fracture</w:t>
            </w:r>
          </w:p>
        </w:tc>
      </w:tr>
      <w:tr w:rsidR="002E3ABC" w:rsidRPr="002B10C1" w14:paraId="423A3E21" w14:textId="77777777" w:rsidTr="002E23B3">
        <w:tc>
          <w:tcPr>
            <w:tcW w:w="1561" w:type="pct"/>
            <w:gridSpan w:val="2"/>
            <w:tcMar>
              <w:top w:w="57" w:type="dxa"/>
              <w:bottom w:w="57" w:type="dxa"/>
            </w:tcMar>
          </w:tcPr>
          <w:p w14:paraId="527E97D1" w14:textId="77777777" w:rsidR="002E3ABC" w:rsidRDefault="002E3ABC" w:rsidP="002E23B3">
            <w:pPr>
              <w:rPr>
                <w:rFonts w:cs="Arial"/>
                <w:szCs w:val="19"/>
              </w:rPr>
            </w:pPr>
            <w:r>
              <w:rPr>
                <w:rFonts w:cs="Arial"/>
                <w:szCs w:val="19"/>
              </w:rPr>
              <w:t>Denosumab biosimilar (</w:t>
            </w:r>
            <w:r>
              <w:rPr>
                <w:rFonts w:cs="Arial"/>
                <w:i/>
                <w:iCs/>
                <w:szCs w:val="19"/>
              </w:rPr>
              <w:t>Kefdensis</w:t>
            </w:r>
            <w:r>
              <w:rPr>
                <w:rFonts w:cs="Arial"/>
                <w:szCs w:val="19"/>
              </w:rPr>
              <w:t>)</w:t>
            </w:r>
          </w:p>
          <w:p w14:paraId="5D930CAF" w14:textId="77777777" w:rsidR="002E3ABC" w:rsidRPr="00247547" w:rsidRDefault="002E3ABC" w:rsidP="002E23B3">
            <w:pPr>
              <w:rPr>
                <w:rFonts w:cs="Arial"/>
                <w:szCs w:val="19"/>
              </w:rPr>
            </w:pPr>
            <w:r w:rsidRPr="00BF40A6">
              <w:rPr>
                <w:rFonts w:cs="Arial"/>
                <w:sz w:val="16"/>
                <w:szCs w:val="16"/>
              </w:rPr>
              <w:t>60mg in 1mL prefilled syringe</w:t>
            </w:r>
          </w:p>
        </w:tc>
        <w:tc>
          <w:tcPr>
            <w:tcW w:w="3439" w:type="pct"/>
            <w:tcMar>
              <w:top w:w="57" w:type="dxa"/>
              <w:bottom w:w="57" w:type="dxa"/>
            </w:tcMar>
          </w:tcPr>
          <w:p w14:paraId="6D5A74A8" w14:textId="77777777" w:rsidR="002E3ABC" w:rsidRPr="002B10C1" w:rsidRDefault="002E3ABC" w:rsidP="002E23B3">
            <w:pPr>
              <w:tabs>
                <w:tab w:val="center" w:pos="3152"/>
              </w:tabs>
              <w:rPr>
                <w:rFonts w:cs="Arial"/>
                <w:szCs w:val="19"/>
                <w:lang w:val="en-US"/>
              </w:rPr>
            </w:pPr>
            <w:r w:rsidRPr="00900CE0">
              <w:rPr>
                <w:rFonts w:cs="Arial"/>
                <w:szCs w:val="19"/>
              </w:rPr>
              <w:t>Treatment of osteoporosis in postmenopausal women and in men at increased risk of</w:t>
            </w:r>
            <w:r>
              <w:rPr>
                <w:rFonts w:cs="Arial"/>
                <w:szCs w:val="19"/>
              </w:rPr>
              <w:t xml:space="preserve"> f</w:t>
            </w:r>
            <w:r w:rsidRPr="00900CE0">
              <w:rPr>
                <w:rFonts w:cs="Arial"/>
                <w:szCs w:val="19"/>
              </w:rPr>
              <w:t>ractures</w:t>
            </w:r>
            <w:r>
              <w:rPr>
                <w:rFonts w:cs="Arial"/>
                <w:szCs w:val="19"/>
              </w:rPr>
              <w:t>, t</w:t>
            </w:r>
            <w:r w:rsidRPr="00900CE0">
              <w:rPr>
                <w:rFonts w:cs="Arial"/>
                <w:szCs w:val="19"/>
              </w:rPr>
              <w:t>reatment of bone loss associated with hormone ablation in men with prostate cancer</w:t>
            </w:r>
            <w:r>
              <w:rPr>
                <w:rFonts w:cs="Arial"/>
                <w:szCs w:val="19"/>
              </w:rPr>
              <w:t xml:space="preserve"> </w:t>
            </w:r>
            <w:r w:rsidRPr="00900CE0">
              <w:rPr>
                <w:rFonts w:cs="Arial"/>
                <w:szCs w:val="19"/>
              </w:rPr>
              <w:t>at increased risk of fractures</w:t>
            </w:r>
            <w:r>
              <w:rPr>
                <w:rFonts w:cs="Arial"/>
                <w:szCs w:val="19"/>
              </w:rPr>
              <w:t>, and t</w:t>
            </w:r>
            <w:r w:rsidRPr="00900CE0">
              <w:rPr>
                <w:rFonts w:cs="Arial"/>
                <w:szCs w:val="19"/>
              </w:rPr>
              <w:t>reatment of bone loss associated with long-term systemic glucocorticoid therapy in</w:t>
            </w:r>
            <w:r>
              <w:rPr>
                <w:rFonts w:cs="Arial"/>
                <w:szCs w:val="19"/>
              </w:rPr>
              <w:t xml:space="preserve"> </w:t>
            </w:r>
            <w:r w:rsidRPr="00900CE0">
              <w:rPr>
                <w:rFonts w:cs="Arial"/>
                <w:szCs w:val="19"/>
              </w:rPr>
              <w:t>adults at increased risk of fracture</w:t>
            </w:r>
          </w:p>
        </w:tc>
      </w:tr>
      <w:tr w:rsidR="002E3ABC" w14:paraId="73E93D96" w14:textId="77777777" w:rsidTr="002E23B3">
        <w:tc>
          <w:tcPr>
            <w:tcW w:w="1561" w:type="pct"/>
            <w:gridSpan w:val="2"/>
            <w:tcMar>
              <w:top w:w="57" w:type="dxa"/>
              <w:bottom w:w="57" w:type="dxa"/>
            </w:tcMar>
          </w:tcPr>
          <w:p w14:paraId="4F6E3D72" w14:textId="77777777" w:rsidR="002E3ABC" w:rsidRDefault="002E3ABC" w:rsidP="002E23B3">
            <w:pPr>
              <w:rPr>
                <w:rFonts w:cs="Arial"/>
                <w:szCs w:val="19"/>
              </w:rPr>
            </w:pPr>
            <w:r>
              <w:rPr>
                <w:rFonts w:cs="Arial"/>
                <w:szCs w:val="19"/>
              </w:rPr>
              <w:t>Denosumab biosimilar (</w:t>
            </w:r>
            <w:r>
              <w:rPr>
                <w:rFonts w:cs="Arial"/>
                <w:i/>
                <w:iCs/>
                <w:szCs w:val="19"/>
              </w:rPr>
              <w:t>Ponlimsi</w:t>
            </w:r>
            <w:r>
              <w:rPr>
                <w:rFonts w:cs="Arial"/>
                <w:szCs w:val="19"/>
              </w:rPr>
              <w:t>)</w:t>
            </w:r>
          </w:p>
          <w:p w14:paraId="533826DD" w14:textId="77777777" w:rsidR="002E3ABC" w:rsidRPr="002B10C1" w:rsidRDefault="002E3ABC" w:rsidP="002E23B3">
            <w:pPr>
              <w:rPr>
                <w:rFonts w:cs="Arial"/>
                <w:szCs w:val="19"/>
              </w:rPr>
            </w:pPr>
            <w:r w:rsidRPr="00BF40A6">
              <w:rPr>
                <w:rFonts w:cs="Arial"/>
                <w:sz w:val="16"/>
                <w:szCs w:val="16"/>
              </w:rPr>
              <w:t>60mg in 1mL prefilled syringe</w:t>
            </w:r>
          </w:p>
        </w:tc>
        <w:tc>
          <w:tcPr>
            <w:tcW w:w="3439" w:type="pct"/>
            <w:tcMar>
              <w:top w:w="57" w:type="dxa"/>
              <w:bottom w:w="57" w:type="dxa"/>
            </w:tcMar>
          </w:tcPr>
          <w:p w14:paraId="2C37CE11" w14:textId="77777777" w:rsidR="002E3ABC" w:rsidRDefault="002E3ABC" w:rsidP="002E23B3">
            <w:pPr>
              <w:tabs>
                <w:tab w:val="center" w:pos="3152"/>
              </w:tabs>
              <w:rPr>
                <w:rFonts w:cs="Arial"/>
                <w:sz w:val="18"/>
                <w:szCs w:val="18"/>
                <w:lang w:val="en-US"/>
              </w:rPr>
            </w:pPr>
            <w:r w:rsidRPr="00900CE0">
              <w:rPr>
                <w:rFonts w:cs="Arial"/>
                <w:szCs w:val="19"/>
              </w:rPr>
              <w:t>Treatment of osteoporosis in postmenopausal women and in men at increased risk of</w:t>
            </w:r>
            <w:r>
              <w:rPr>
                <w:rFonts w:cs="Arial"/>
                <w:szCs w:val="19"/>
              </w:rPr>
              <w:t xml:space="preserve"> f</w:t>
            </w:r>
            <w:r w:rsidRPr="00900CE0">
              <w:rPr>
                <w:rFonts w:cs="Arial"/>
                <w:szCs w:val="19"/>
              </w:rPr>
              <w:t>ractures</w:t>
            </w:r>
            <w:r>
              <w:rPr>
                <w:rFonts w:cs="Arial"/>
                <w:szCs w:val="19"/>
              </w:rPr>
              <w:t>, t</w:t>
            </w:r>
            <w:r w:rsidRPr="00900CE0">
              <w:rPr>
                <w:rFonts w:cs="Arial"/>
                <w:szCs w:val="19"/>
              </w:rPr>
              <w:t>reatment of bone loss associated with hormone ablation in men with prostate cancer</w:t>
            </w:r>
            <w:r>
              <w:rPr>
                <w:rFonts w:cs="Arial"/>
                <w:szCs w:val="19"/>
              </w:rPr>
              <w:t xml:space="preserve"> </w:t>
            </w:r>
            <w:r w:rsidRPr="00900CE0">
              <w:rPr>
                <w:rFonts w:cs="Arial"/>
                <w:szCs w:val="19"/>
              </w:rPr>
              <w:t>at increased risk of fractures</w:t>
            </w:r>
            <w:r>
              <w:rPr>
                <w:rFonts w:cs="Arial"/>
                <w:szCs w:val="19"/>
              </w:rPr>
              <w:t>, and t</w:t>
            </w:r>
            <w:r w:rsidRPr="00900CE0">
              <w:rPr>
                <w:rFonts w:cs="Arial"/>
                <w:szCs w:val="19"/>
              </w:rPr>
              <w:t>reatment of bone loss associated with long-term systemic glucocorticoid therapy in</w:t>
            </w:r>
            <w:r>
              <w:rPr>
                <w:rFonts w:cs="Arial"/>
                <w:szCs w:val="19"/>
              </w:rPr>
              <w:t xml:space="preserve"> </w:t>
            </w:r>
            <w:r w:rsidRPr="00900CE0">
              <w:rPr>
                <w:rFonts w:cs="Arial"/>
                <w:szCs w:val="19"/>
              </w:rPr>
              <w:t>adults at increased risk of fracture</w:t>
            </w:r>
          </w:p>
        </w:tc>
      </w:tr>
      <w:tr w:rsidR="002E3ABC" w:rsidRPr="00900CE0" w14:paraId="74DBFEC0" w14:textId="77777777" w:rsidTr="002E23B3">
        <w:tc>
          <w:tcPr>
            <w:tcW w:w="1561" w:type="pct"/>
            <w:gridSpan w:val="2"/>
            <w:tcMar>
              <w:top w:w="57" w:type="dxa"/>
              <w:bottom w:w="57" w:type="dxa"/>
            </w:tcMar>
          </w:tcPr>
          <w:p w14:paraId="55EC9468" w14:textId="77777777" w:rsidR="002E3ABC" w:rsidRDefault="002E3ABC" w:rsidP="002E23B3">
            <w:pPr>
              <w:rPr>
                <w:rFonts w:cs="Arial"/>
                <w:szCs w:val="19"/>
              </w:rPr>
            </w:pPr>
            <w:r>
              <w:rPr>
                <w:rFonts w:cs="Arial"/>
                <w:szCs w:val="19"/>
              </w:rPr>
              <w:t>Denosumab biosimilar (</w:t>
            </w:r>
            <w:r>
              <w:rPr>
                <w:rFonts w:cs="Arial"/>
                <w:i/>
                <w:iCs/>
                <w:szCs w:val="19"/>
              </w:rPr>
              <w:t>Zvogra</w:t>
            </w:r>
            <w:r>
              <w:rPr>
                <w:rFonts w:cs="Arial"/>
                <w:szCs w:val="19"/>
              </w:rPr>
              <w:t>)</w:t>
            </w:r>
          </w:p>
          <w:p w14:paraId="70064FCA" w14:textId="77777777" w:rsidR="002E3ABC" w:rsidRPr="007F724B" w:rsidRDefault="002E3ABC" w:rsidP="002E23B3">
            <w:pPr>
              <w:rPr>
                <w:rFonts w:cs="Arial"/>
                <w:sz w:val="16"/>
                <w:szCs w:val="16"/>
              </w:rPr>
            </w:pPr>
            <w:r w:rsidRPr="007F724B">
              <w:rPr>
                <w:rFonts w:cs="Arial"/>
                <w:sz w:val="16"/>
                <w:szCs w:val="16"/>
              </w:rPr>
              <w:t>120mg in 1.7mL vial</w:t>
            </w:r>
          </w:p>
        </w:tc>
        <w:tc>
          <w:tcPr>
            <w:tcW w:w="3439" w:type="pct"/>
            <w:tcMar>
              <w:top w:w="57" w:type="dxa"/>
              <w:bottom w:w="57" w:type="dxa"/>
            </w:tcMar>
          </w:tcPr>
          <w:p w14:paraId="3D2FFBCF" w14:textId="77777777" w:rsidR="002E3ABC" w:rsidRPr="00900CE0" w:rsidRDefault="002E3ABC" w:rsidP="002E23B3">
            <w:pPr>
              <w:tabs>
                <w:tab w:val="center" w:pos="3152"/>
              </w:tabs>
              <w:rPr>
                <w:rFonts w:cs="Arial"/>
                <w:szCs w:val="19"/>
              </w:rPr>
            </w:pPr>
            <w:r w:rsidRPr="007002DE">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2E3ABC" w:rsidRPr="00862949" w14:paraId="15026DD8" w14:textId="77777777" w:rsidTr="002E23B3">
        <w:tc>
          <w:tcPr>
            <w:tcW w:w="5000" w:type="pct"/>
            <w:gridSpan w:val="3"/>
            <w:tcMar>
              <w:top w:w="0" w:type="dxa"/>
              <w:bottom w:w="0" w:type="dxa"/>
            </w:tcMar>
          </w:tcPr>
          <w:p w14:paraId="1E2538D8" w14:textId="77777777" w:rsidR="002E3ABC" w:rsidRPr="00862949" w:rsidRDefault="002E3ABC" w:rsidP="002E23B3">
            <w:pPr>
              <w:jc w:val="center"/>
              <w:rPr>
                <w:rFonts w:cs="Arial"/>
                <w:noProof/>
                <w:sz w:val="8"/>
                <w:szCs w:val="8"/>
              </w:rPr>
            </w:pPr>
          </w:p>
        </w:tc>
      </w:tr>
      <w:tr w:rsidR="002E3ABC" w:rsidRPr="000F19E1" w14:paraId="77F4A7DE" w14:textId="77777777" w:rsidTr="002E23B3">
        <w:tc>
          <w:tcPr>
            <w:tcW w:w="1152" w:type="pct"/>
            <w:shd w:val="clear" w:color="auto" w:fill="DAEEF3"/>
            <w:tcMar>
              <w:top w:w="0" w:type="dxa"/>
              <w:bottom w:w="0" w:type="dxa"/>
            </w:tcMar>
          </w:tcPr>
          <w:p w14:paraId="193CB3DD" w14:textId="77777777" w:rsidR="002E3ABC" w:rsidRPr="000F19E1" w:rsidRDefault="002E3ABC" w:rsidP="002E23B3">
            <w:pPr>
              <w:rPr>
                <w:rFonts w:cs="Arial"/>
                <w:bCs/>
                <w:sz w:val="8"/>
                <w:szCs w:val="8"/>
              </w:rPr>
            </w:pPr>
          </w:p>
        </w:tc>
        <w:tc>
          <w:tcPr>
            <w:tcW w:w="3848" w:type="pct"/>
            <w:gridSpan w:val="2"/>
            <w:shd w:val="clear" w:color="auto" w:fill="DAEEF3"/>
            <w:tcMar>
              <w:top w:w="0" w:type="dxa"/>
              <w:bottom w:w="0" w:type="dxa"/>
            </w:tcMar>
          </w:tcPr>
          <w:p w14:paraId="48CCE832" w14:textId="77777777" w:rsidR="002E3ABC" w:rsidRPr="000F19E1" w:rsidRDefault="002E3ABC" w:rsidP="002E23B3">
            <w:pPr>
              <w:tabs>
                <w:tab w:val="center" w:pos="3152"/>
              </w:tabs>
              <w:rPr>
                <w:rFonts w:cs="Arial"/>
                <w:sz w:val="8"/>
                <w:szCs w:val="8"/>
                <w:lang w:val="en-US"/>
              </w:rPr>
            </w:pPr>
          </w:p>
        </w:tc>
      </w:tr>
    </w:tbl>
    <w:p w14:paraId="5A8B9E3C" w14:textId="77777777" w:rsidR="002E3ABC" w:rsidRDefault="002E3ABC">
      <w:pPr>
        <w:rPr>
          <w:sz w:val="8"/>
          <w:szCs w:val="16"/>
        </w:rPr>
      </w:pPr>
    </w:p>
    <w:p w14:paraId="3B513FBC" w14:textId="77777777" w:rsidR="002E3ABC" w:rsidRDefault="002E3ABC">
      <w:pPr>
        <w:rPr>
          <w:sz w:val="8"/>
          <w:szCs w:val="16"/>
        </w:rPr>
      </w:pPr>
    </w:p>
    <w:p w14:paraId="1FEE2C98" w14:textId="77777777" w:rsidR="002E3ABC" w:rsidRDefault="002E3ABC">
      <w:pPr>
        <w:rPr>
          <w:sz w:val="8"/>
          <w:szCs w:val="16"/>
        </w:rPr>
      </w:pPr>
    </w:p>
    <w:p w14:paraId="0521F8FF" w14:textId="77777777" w:rsidR="006E2ECB" w:rsidRDefault="006E2ECB">
      <w:pPr>
        <w:rPr>
          <w:sz w:val="8"/>
          <w:szCs w:val="16"/>
        </w:rPr>
      </w:pPr>
    </w:p>
    <w:p w14:paraId="6C70CF3F" w14:textId="77777777" w:rsidR="002E3ABC" w:rsidRDefault="002E3ABC" w:rsidP="00EB3E6F">
      <w:pPr>
        <w:tabs>
          <w:tab w:val="left" w:pos="2087"/>
        </w:tabs>
      </w:pPr>
    </w:p>
    <w:p w14:paraId="4DD2D548" w14:textId="13097240" w:rsidR="00A81694" w:rsidRDefault="00EB3E6F" w:rsidP="00EB3E6F">
      <w:pPr>
        <w:tabs>
          <w:tab w:val="left" w:pos="2087"/>
        </w:tabs>
      </w:pPr>
      <w:r>
        <w:tab/>
      </w:r>
    </w:p>
    <w:tbl>
      <w:tblPr>
        <w:tblW w:w="5170" w:type="pct"/>
        <w:tblInd w:w="-176" w:type="dxa"/>
        <w:tblLayout w:type="fixed"/>
        <w:tblLook w:val="01E0" w:firstRow="1" w:lastRow="1" w:firstColumn="1" w:lastColumn="1" w:noHBand="0" w:noVBand="0"/>
      </w:tblPr>
      <w:tblGrid>
        <w:gridCol w:w="2431"/>
        <w:gridCol w:w="863"/>
        <w:gridCol w:w="7257"/>
      </w:tblGrid>
      <w:tr w:rsidR="005A7E09" w:rsidRPr="00862949" w14:paraId="20ABC8FC" w14:textId="77777777" w:rsidTr="005A7E09">
        <w:tc>
          <w:tcPr>
            <w:tcW w:w="5000" w:type="pct"/>
            <w:gridSpan w:val="3"/>
            <w:shd w:val="clear" w:color="auto" w:fill="0070C0"/>
            <w:tcMar>
              <w:top w:w="85" w:type="dxa"/>
              <w:bottom w:w="85" w:type="dxa"/>
            </w:tcMar>
            <w:vAlign w:val="bottom"/>
          </w:tcPr>
          <w:p w14:paraId="2C4CFDA7" w14:textId="77777777" w:rsidR="005A7E09" w:rsidRPr="00862949" w:rsidRDefault="005A7E09" w:rsidP="005A7E09">
            <w:pPr>
              <w:rPr>
                <w:rFonts w:cs="Arial"/>
                <w:color w:val="FFFFFF"/>
                <w:sz w:val="15"/>
                <w:szCs w:val="15"/>
              </w:rPr>
            </w:pPr>
            <w:r w:rsidRPr="00862949">
              <w:rPr>
                <w:rFonts w:cs="Arial"/>
                <w:b/>
                <w:bCs/>
                <w:iCs/>
                <w:color w:val="FFFFFF"/>
                <w:sz w:val="28"/>
                <w:szCs w:val="28"/>
                <w:lang w:val="en-US"/>
              </w:rPr>
              <w:t xml:space="preserve">Regulatory changes in the </w:t>
            </w:r>
            <w:r w:rsidR="00AA1F49">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5A7E09" w:rsidRPr="00862949" w14:paraId="2E8BD8B6" w14:textId="77777777" w:rsidTr="005A7E09">
        <w:tc>
          <w:tcPr>
            <w:tcW w:w="5000" w:type="pct"/>
            <w:gridSpan w:val="3"/>
            <w:shd w:val="clear" w:color="auto" w:fill="DAEEF3"/>
            <w:tcMar>
              <w:top w:w="0" w:type="dxa"/>
              <w:bottom w:w="0" w:type="dxa"/>
            </w:tcMar>
          </w:tcPr>
          <w:p w14:paraId="794A32CD" w14:textId="77777777" w:rsidR="005A7E09" w:rsidRPr="00862949" w:rsidRDefault="005A7E09" w:rsidP="005A7E09">
            <w:pPr>
              <w:rPr>
                <w:rFonts w:cs="Arial"/>
                <w:b/>
                <w:bCs/>
                <w:i/>
                <w:iCs/>
                <w:color w:val="000000"/>
                <w:sz w:val="8"/>
                <w:szCs w:val="8"/>
                <w:lang w:val="en-US"/>
              </w:rPr>
            </w:pPr>
          </w:p>
        </w:tc>
      </w:tr>
      <w:tr w:rsidR="005A7E09" w:rsidRPr="00862949" w14:paraId="5D86FBFD" w14:textId="77777777" w:rsidTr="00562CE4">
        <w:tc>
          <w:tcPr>
            <w:tcW w:w="5000" w:type="pct"/>
            <w:gridSpan w:val="3"/>
            <w:shd w:val="clear" w:color="auto" w:fill="008232"/>
            <w:tcMar>
              <w:top w:w="57" w:type="dxa"/>
              <w:bottom w:w="57" w:type="dxa"/>
            </w:tcMar>
          </w:tcPr>
          <w:p w14:paraId="460589DF" w14:textId="61C7EC6D" w:rsidR="005A7E09" w:rsidRPr="00433D3E" w:rsidRDefault="005A7E09" w:rsidP="00EB3E6F">
            <w:pPr>
              <w:rPr>
                <w:rFonts w:cs="Arial"/>
                <w:color w:val="FFFFFF"/>
                <w:sz w:val="20"/>
                <w:szCs w:val="20"/>
              </w:rPr>
            </w:pPr>
            <w:r w:rsidRPr="00433D3E">
              <w:rPr>
                <w:rFonts w:cs="Arial"/>
                <w:b/>
                <w:bCs/>
                <w:i/>
                <w:iCs/>
                <w:color w:val="FFFFFF"/>
                <w:sz w:val="22"/>
                <w:szCs w:val="20"/>
                <w:lang w:val="en-US"/>
              </w:rPr>
              <w:t xml:space="preserve">Approved in the </w:t>
            </w:r>
            <w:r w:rsidR="0048777D">
              <w:rPr>
                <w:rFonts w:cs="Arial"/>
                <w:b/>
                <w:bCs/>
                <w:i/>
                <w:iCs/>
                <w:color w:val="FFFFFF"/>
                <w:sz w:val="22"/>
                <w:szCs w:val="20"/>
                <w:lang w:val="en-US"/>
              </w:rPr>
              <w:t>UK</w:t>
            </w:r>
            <w:r w:rsidR="00B15D78">
              <w:rPr>
                <w:rFonts w:cs="Arial"/>
                <w:b/>
                <w:bCs/>
                <w:i/>
                <w:iCs/>
                <w:color w:val="FFFFFF"/>
                <w:sz w:val="22"/>
                <w:szCs w:val="20"/>
                <w:lang w:val="en-US"/>
              </w:rPr>
              <w:t xml:space="preserve"> </w:t>
            </w:r>
            <w:r w:rsidR="00B15D78" w:rsidRPr="002E3ABC">
              <w:rPr>
                <w:rFonts w:cs="Arial"/>
                <w:b/>
                <w:bCs/>
                <w:color w:val="FFFFFF"/>
                <w:sz w:val="16"/>
                <w:szCs w:val="16"/>
                <w:lang w:val="en-US"/>
              </w:rPr>
              <w:t>(continued)</w:t>
            </w:r>
          </w:p>
        </w:tc>
      </w:tr>
      <w:tr w:rsidR="002C0146" w14:paraId="76EED02B" w14:textId="77777777" w:rsidTr="00507EE4">
        <w:tc>
          <w:tcPr>
            <w:tcW w:w="1561" w:type="pct"/>
            <w:gridSpan w:val="2"/>
            <w:tcMar>
              <w:top w:w="57" w:type="dxa"/>
              <w:bottom w:w="57" w:type="dxa"/>
            </w:tcMar>
          </w:tcPr>
          <w:p w14:paraId="6F8E0FCA" w14:textId="77777777" w:rsidR="002C0146" w:rsidRDefault="002C0146" w:rsidP="002C0146">
            <w:pPr>
              <w:rPr>
                <w:rFonts w:cs="Arial"/>
                <w:szCs w:val="19"/>
              </w:rPr>
            </w:pPr>
            <w:r w:rsidRPr="00DB0B24">
              <w:rPr>
                <w:rFonts w:cs="Arial"/>
                <w:szCs w:val="19"/>
              </w:rPr>
              <w:t>Depemokimab</w:t>
            </w:r>
            <w:r>
              <w:rPr>
                <w:rFonts w:cs="Arial"/>
                <w:szCs w:val="19"/>
              </w:rPr>
              <w:t xml:space="preserve"> (</w:t>
            </w:r>
            <w:r w:rsidRPr="00285D4D">
              <w:rPr>
                <w:rFonts w:cs="Arial"/>
                <w:i/>
                <w:iCs/>
                <w:szCs w:val="19"/>
              </w:rPr>
              <w:t>Exdensur</w:t>
            </w:r>
            <w:r>
              <w:rPr>
                <w:rFonts w:cs="Arial"/>
                <w:szCs w:val="19"/>
              </w:rPr>
              <w:t>)</w:t>
            </w:r>
          </w:p>
          <w:p w14:paraId="4ABA4B84" w14:textId="349220C7" w:rsidR="00C34ABC" w:rsidRPr="00C34ABC" w:rsidRDefault="00C34ABC" w:rsidP="002C0146">
            <w:pPr>
              <w:rPr>
                <w:rFonts w:cs="Arial"/>
                <w:sz w:val="16"/>
                <w:szCs w:val="16"/>
              </w:rPr>
            </w:pPr>
            <w:r w:rsidRPr="00C34ABC">
              <w:rPr>
                <w:rFonts w:cs="Arial"/>
                <w:sz w:val="16"/>
                <w:szCs w:val="16"/>
              </w:rPr>
              <w:t>100mg in 1mL prefilled pen and syringe</w:t>
            </w:r>
          </w:p>
        </w:tc>
        <w:tc>
          <w:tcPr>
            <w:tcW w:w="3439" w:type="pct"/>
            <w:tcMar>
              <w:top w:w="57" w:type="dxa"/>
              <w:bottom w:w="57" w:type="dxa"/>
            </w:tcMar>
          </w:tcPr>
          <w:p w14:paraId="67EFD5ED" w14:textId="2403B4B4" w:rsidR="002C0146" w:rsidRPr="00A075A3" w:rsidRDefault="002C0146" w:rsidP="002C0146">
            <w:pPr>
              <w:tabs>
                <w:tab w:val="center" w:pos="3152"/>
              </w:tabs>
              <w:rPr>
                <w:rFonts w:cs="Arial"/>
                <w:szCs w:val="19"/>
                <w:lang w:val="en-US"/>
              </w:rPr>
            </w:pPr>
            <w:r>
              <w:rPr>
                <w:rFonts w:cs="Arial"/>
                <w:szCs w:val="19"/>
                <w:lang w:val="en-US"/>
              </w:rPr>
              <w:t xml:space="preserve">Use </w:t>
            </w:r>
            <w:r w:rsidRPr="00367F31">
              <w:rPr>
                <w:rFonts w:cs="Arial"/>
                <w:szCs w:val="19"/>
                <w:lang w:val="en-US"/>
              </w:rPr>
              <w:t>as an add-on maintenance treatment of asthma in adult and</w:t>
            </w:r>
            <w:r>
              <w:rPr>
                <w:rFonts w:cs="Arial"/>
                <w:szCs w:val="19"/>
                <w:lang w:val="en-US"/>
              </w:rPr>
              <w:t xml:space="preserve"> </w:t>
            </w:r>
            <w:r w:rsidRPr="00367F31">
              <w:rPr>
                <w:rFonts w:cs="Arial"/>
                <w:szCs w:val="19"/>
                <w:lang w:val="en-US"/>
              </w:rPr>
              <w:t>adolescent patients aged 12 years and older with type 2 inflammation characterised by</w:t>
            </w:r>
            <w:r>
              <w:rPr>
                <w:rFonts w:cs="Arial"/>
                <w:szCs w:val="19"/>
                <w:lang w:val="en-US"/>
              </w:rPr>
              <w:t xml:space="preserve"> </w:t>
            </w:r>
            <w:r w:rsidRPr="00367F31">
              <w:rPr>
                <w:rFonts w:cs="Arial"/>
                <w:szCs w:val="19"/>
                <w:lang w:val="en-US"/>
              </w:rPr>
              <w:t>an eosinophilic phenotype who are inadequately controlled on maximum moderate</w:t>
            </w:r>
            <w:r>
              <w:rPr>
                <w:rFonts w:cs="Arial"/>
                <w:szCs w:val="19"/>
                <w:lang w:val="en-US"/>
              </w:rPr>
              <w:t>-</w:t>
            </w:r>
            <w:r w:rsidRPr="00367F31">
              <w:rPr>
                <w:rFonts w:cs="Arial"/>
                <w:szCs w:val="19"/>
                <w:lang w:val="en-US"/>
              </w:rPr>
              <w:t>dose or high-dose inhaled corticosteroids plus another asthma controller</w:t>
            </w:r>
          </w:p>
        </w:tc>
      </w:tr>
      <w:tr w:rsidR="002C0146" w14:paraId="6F0B9750" w14:textId="77777777" w:rsidTr="00507EE4">
        <w:tc>
          <w:tcPr>
            <w:tcW w:w="1561" w:type="pct"/>
            <w:gridSpan w:val="2"/>
            <w:tcMar>
              <w:top w:w="57" w:type="dxa"/>
              <w:bottom w:w="57" w:type="dxa"/>
            </w:tcMar>
          </w:tcPr>
          <w:p w14:paraId="5F3D9D6F" w14:textId="77777777" w:rsidR="002C0146" w:rsidRDefault="002C0146" w:rsidP="002C0146">
            <w:pPr>
              <w:rPr>
                <w:rFonts w:cs="Arial"/>
                <w:szCs w:val="19"/>
              </w:rPr>
            </w:pPr>
            <w:r>
              <w:rPr>
                <w:rFonts w:cs="Arial"/>
                <w:szCs w:val="19"/>
              </w:rPr>
              <w:t>Depemokimab (</w:t>
            </w:r>
            <w:r>
              <w:rPr>
                <w:rFonts w:cs="Arial"/>
                <w:i/>
                <w:iCs/>
                <w:szCs w:val="19"/>
              </w:rPr>
              <w:t>Exdensur</w:t>
            </w:r>
            <w:r>
              <w:rPr>
                <w:rFonts w:cs="Arial"/>
                <w:szCs w:val="19"/>
              </w:rPr>
              <w:t>)</w:t>
            </w:r>
          </w:p>
          <w:p w14:paraId="1B8FCA31" w14:textId="59CDA335" w:rsidR="00C34ABC" w:rsidRPr="000A7968" w:rsidRDefault="00C34ABC" w:rsidP="002C0146">
            <w:pPr>
              <w:rPr>
                <w:rFonts w:cs="Arial"/>
                <w:szCs w:val="19"/>
              </w:rPr>
            </w:pPr>
            <w:r w:rsidRPr="00C34ABC">
              <w:rPr>
                <w:rFonts w:cs="Arial"/>
                <w:sz w:val="16"/>
                <w:szCs w:val="16"/>
              </w:rPr>
              <w:t>100mg in 1mL prefilled pen and syringe</w:t>
            </w:r>
          </w:p>
        </w:tc>
        <w:tc>
          <w:tcPr>
            <w:tcW w:w="3439" w:type="pct"/>
            <w:tcMar>
              <w:top w:w="57" w:type="dxa"/>
              <w:bottom w:w="57" w:type="dxa"/>
            </w:tcMar>
          </w:tcPr>
          <w:p w14:paraId="50AFAFC9" w14:textId="4FDBBEE8" w:rsidR="002C0146" w:rsidRPr="00580DB1" w:rsidRDefault="002C0146" w:rsidP="002C0146">
            <w:pPr>
              <w:tabs>
                <w:tab w:val="num" w:pos="720"/>
                <w:tab w:val="center" w:pos="3152"/>
              </w:tabs>
              <w:rPr>
                <w:rFonts w:cs="Arial"/>
                <w:szCs w:val="19"/>
                <w:lang w:val="en-US"/>
              </w:rPr>
            </w:pPr>
            <w:r w:rsidRPr="00580DB1">
              <w:rPr>
                <w:rFonts w:cs="Arial"/>
                <w:szCs w:val="19"/>
                <w:lang w:val="en-US"/>
              </w:rPr>
              <w:t xml:space="preserve">Use as an add-on therapy with intranasal corticosteroids for the treatment of adults with severe </w:t>
            </w:r>
            <w:r w:rsidRPr="00587F0E">
              <w:rPr>
                <w:rFonts w:cs="Arial"/>
                <w:szCs w:val="19"/>
              </w:rPr>
              <w:t>chronic rhinosinusitis with nasal polyps</w:t>
            </w:r>
            <w:r>
              <w:rPr>
                <w:rFonts w:cs="Arial"/>
                <w:szCs w:val="19"/>
              </w:rPr>
              <w:t xml:space="preserve"> </w:t>
            </w:r>
            <w:r w:rsidRPr="00580DB1">
              <w:rPr>
                <w:rFonts w:cs="Arial"/>
                <w:szCs w:val="19"/>
                <w:lang w:val="en-US"/>
              </w:rPr>
              <w:t>for whom therapy with systemic</w:t>
            </w:r>
          </w:p>
          <w:p w14:paraId="764C7AB0" w14:textId="7EF7A422" w:rsidR="002C0146" w:rsidRPr="00F61072" w:rsidRDefault="002C0146" w:rsidP="002C0146">
            <w:pPr>
              <w:tabs>
                <w:tab w:val="num" w:pos="720"/>
                <w:tab w:val="center" w:pos="3152"/>
              </w:tabs>
              <w:rPr>
                <w:rFonts w:cs="Arial"/>
                <w:szCs w:val="19"/>
                <w:lang w:val="en-US"/>
              </w:rPr>
            </w:pPr>
            <w:r w:rsidRPr="00580DB1">
              <w:rPr>
                <w:rFonts w:cs="Arial"/>
                <w:szCs w:val="19"/>
                <w:lang w:val="en-US"/>
              </w:rPr>
              <w:t>corticosteroids and/or surgery do not provide adequate control</w:t>
            </w:r>
          </w:p>
        </w:tc>
      </w:tr>
      <w:tr w:rsidR="00F3525B" w14:paraId="06BABEA4" w14:textId="77777777" w:rsidTr="00507EE4">
        <w:tc>
          <w:tcPr>
            <w:tcW w:w="1561" w:type="pct"/>
            <w:gridSpan w:val="2"/>
            <w:tcMar>
              <w:top w:w="57" w:type="dxa"/>
              <w:bottom w:w="57" w:type="dxa"/>
            </w:tcMar>
          </w:tcPr>
          <w:p w14:paraId="5781B2D7" w14:textId="77777777" w:rsidR="00F3525B" w:rsidRDefault="00F3525B" w:rsidP="00722413">
            <w:pPr>
              <w:rPr>
                <w:rFonts w:cs="Arial"/>
                <w:szCs w:val="19"/>
              </w:rPr>
            </w:pPr>
            <w:r w:rsidRPr="00F3525B">
              <w:rPr>
                <w:rFonts w:cs="Arial"/>
                <w:szCs w:val="19"/>
              </w:rPr>
              <w:t>Efgartigimod alfa </w:t>
            </w:r>
            <w:r>
              <w:rPr>
                <w:rFonts w:cs="Arial"/>
                <w:szCs w:val="19"/>
              </w:rPr>
              <w:t>(</w:t>
            </w:r>
            <w:r w:rsidR="003236F6">
              <w:rPr>
                <w:rFonts w:cs="Arial"/>
                <w:i/>
                <w:iCs/>
                <w:szCs w:val="19"/>
              </w:rPr>
              <w:t>Vyvgart</w:t>
            </w:r>
            <w:r w:rsidR="003236F6">
              <w:rPr>
                <w:rFonts w:cs="Arial"/>
                <w:szCs w:val="19"/>
              </w:rPr>
              <w:t>)</w:t>
            </w:r>
          </w:p>
          <w:p w14:paraId="59888F80" w14:textId="3C2BDD8E" w:rsidR="003236F6" w:rsidRPr="003236F6" w:rsidRDefault="003236F6" w:rsidP="00722413">
            <w:pPr>
              <w:rPr>
                <w:rFonts w:cs="Arial"/>
                <w:sz w:val="16"/>
                <w:szCs w:val="16"/>
              </w:rPr>
            </w:pPr>
            <w:r w:rsidRPr="003236F6">
              <w:rPr>
                <w:rFonts w:cs="Arial"/>
                <w:sz w:val="16"/>
                <w:szCs w:val="16"/>
              </w:rPr>
              <w:t>1,000mg vial</w:t>
            </w:r>
          </w:p>
        </w:tc>
        <w:tc>
          <w:tcPr>
            <w:tcW w:w="3439" w:type="pct"/>
            <w:tcMar>
              <w:top w:w="57" w:type="dxa"/>
              <w:bottom w:w="57" w:type="dxa"/>
            </w:tcMar>
          </w:tcPr>
          <w:p w14:paraId="66F60215" w14:textId="67FBE0FE" w:rsidR="00F3525B" w:rsidRPr="00C442FB" w:rsidRDefault="00B50745" w:rsidP="00722413">
            <w:pPr>
              <w:tabs>
                <w:tab w:val="num" w:pos="720"/>
                <w:tab w:val="center" w:pos="3152"/>
              </w:tabs>
              <w:rPr>
                <w:rFonts w:cs="Arial"/>
                <w:szCs w:val="19"/>
              </w:rPr>
            </w:pPr>
            <w:r>
              <w:rPr>
                <w:rFonts w:cs="Arial"/>
                <w:szCs w:val="19"/>
              </w:rPr>
              <w:t xml:space="preserve">Use </w:t>
            </w:r>
            <w:r w:rsidRPr="00B50745">
              <w:rPr>
                <w:rFonts w:cs="Arial"/>
                <w:szCs w:val="19"/>
              </w:rPr>
              <w:t>as monotherapy for the treatment of adults with progressive or relapsing active chronic inflammatory demyelinating polyneuropathy after prior treatment with corticosteroids or immunoglobulins</w:t>
            </w:r>
            <w:r>
              <w:rPr>
                <w:rFonts w:cs="Arial"/>
                <w:szCs w:val="19"/>
              </w:rPr>
              <w:t xml:space="preserve"> </w:t>
            </w:r>
            <w:r w:rsidRPr="00B50745">
              <w:rPr>
                <w:rFonts w:cs="Arial"/>
                <w:sz w:val="16"/>
                <w:szCs w:val="16"/>
              </w:rPr>
              <w:t>[new indication]</w:t>
            </w:r>
          </w:p>
        </w:tc>
      </w:tr>
      <w:tr w:rsidR="00285B60" w14:paraId="04C88686" w14:textId="77777777" w:rsidTr="00507EE4">
        <w:tc>
          <w:tcPr>
            <w:tcW w:w="1561" w:type="pct"/>
            <w:gridSpan w:val="2"/>
            <w:tcMar>
              <w:top w:w="57" w:type="dxa"/>
              <w:bottom w:w="57" w:type="dxa"/>
            </w:tcMar>
          </w:tcPr>
          <w:p w14:paraId="597FC743" w14:textId="5993E037" w:rsidR="00563229" w:rsidRDefault="00285B60" w:rsidP="00722413">
            <w:pPr>
              <w:rPr>
                <w:rFonts w:cs="Arial"/>
                <w:szCs w:val="19"/>
              </w:rPr>
            </w:pPr>
            <w:r w:rsidRPr="00285B60">
              <w:rPr>
                <w:rFonts w:cs="Arial"/>
                <w:szCs w:val="19"/>
              </w:rPr>
              <w:t>Histamine dihydrochloride</w:t>
            </w:r>
            <w:r w:rsidR="00635F92">
              <w:rPr>
                <w:rFonts w:cs="Arial"/>
                <w:szCs w:val="19"/>
              </w:rPr>
              <w:t xml:space="preserve"> (</w:t>
            </w:r>
            <w:r w:rsidR="00635F92" w:rsidRPr="00635F92">
              <w:rPr>
                <w:rFonts w:cs="Arial"/>
                <w:i/>
                <w:iCs/>
                <w:szCs w:val="19"/>
              </w:rPr>
              <w:t>Histamine dihydrochloride 0.5mg/0.5mL solution for injection</w:t>
            </w:r>
            <w:r w:rsidR="00635F92">
              <w:rPr>
                <w:rFonts w:cs="Arial"/>
                <w:szCs w:val="19"/>
              </w:rPr>
              <w:t>)</w:t>
            </w:r>
            <w:r w:rsidRPr="00285B60">
              <w:rPr>
                <w:rFonts w:cs="Arial"/>
                <w:szCs w:val="19"/>
              </w:rPr>
              <w:t> </w:t>
            </w:r>
            <w:r w:rsidR="00563229" w:rsidRPr="00563229">
              <w:rPr>
                <w:rFonts w:cs="Arial"/>
                <w:szCs w:val="19"/>
              </w:rPr>
              <w:t xml:space="preserve"> </w:t>
            </w:r>
          </w:p>
          <w:p w14:paraId="1A1AE60B" w14:textId="4C010ECA" w:rsidR="00285B60" w:rsidRPr="00563229" w:rsidRDefault="00563229" w:rsidP="00722413">
            <w:pPr>
              <w:rPr>
                <w:rFonts w:cs="Arial"/>
                <w:sz w:val="16"/>
                <w:szCs w:val="16"/>
              </w:rPr>
            </w:pPr>
            <w:r w:rsidRPr="00563229">
              <w:rPr>
                <w:rFonts w:cs="Arial"/>
                <w:sz w:val="16"/>
                <w:szCs w:val="16"/>
              </w:rPr>
              <w:t>0.5mg in 0.5mL vial</w:t>
            </w:r>
          </w:p>
        </w:tc>
        <w:tc>
          <w:tcPr>
            <w:tcW w:w="3439" w:type="pct"/>
            <w:tcMar>
              <w:top w:w="57" w:type="dxa"/>
              <w:bottom w:w="57" w:type="dxa"/>
            </w:tcMar>
          </w:tcPr>
          <w:p w14:paraId="14F7E2E7" w14:textId="3077A19A" w:rsidR="00285B60" w:rsidRDefault="00C442FB" w:rsidP="00722413">
            <w:pPr>
              <w:tabs>
                <w:tab w:val="num" w:pos="720"/>
                <w:tab w:val="center" w:pos="3152"/>
              </w:tabs>
              <w:rPr>
                <w:rFonts w:cs="Arial"/>
                <w:szCs w:val="19"/>
              </w:rPr>
            </w:pPr>
            <w:r w:rsidRPr="00C442FB">
              <w:rPr>
                <w:rFonts w:cs="Arial"/>
                <w:szCs w:val="19"/>
              </w:rPr>
              <w:t>Use as maintenance therapy for adults with acute myeloid leukaemia in first remission concomitantly treated with interleukin-2 (</w:t>
            </w:r>
            <w:r>
              <w:rPr>
                <w:rFonts w:cs="Arial"/>
                <w:szCs w:val="19"/>
              </w:rPr>
              <w:t>t</w:t>
            </w:r>
            <w:r w:rsidRPr="00C442FB">
              <w:rPr>
                <w:rFonts w:cs="Arial"/>
                <w:szCs w:val="19"/>
              </w:rPr>
              <w:t>he efficacy of Histamine dihydrochloride 0.5 mg/0.5 mL solution for injection has not been fully demonstrated in patients older than age 60</w:t>
            </w:r>
            <w:r>
              <w:rPr>
                <w:rFonts w:cs="Arial"/>
                <w:szCs w:val="19"/>
              </w:rPr>
              <w:t xml:space="preserve"> years)</w:t>
            </w:r>
          </w:p>
        </w:tc>
      </w:tr>
      <w:tr w:rsidR="00722413" w14:paraId="68E8566E" w14:textId="77777777" w:rsidTr="00507EE4">
        <w:tc>
          <w:tcPr>
            <w:tcW w:w="1561" w:type="pct"/>
            <w:gridSpan w:val="2"/>
            <w:tcMar>
              <w:top w:w="57" w:type="dxa"/>
              <w:bottom w:w="57" w:type="dxa"/>
            </w:tcMar>
          </w:tcPr>
          <w:p w14:paraId="2A6AC58A" w14:textId="77777777" w:rsidR="00722413" w:rsidRDefault="00722413" w:rsidP="00722413">
            <w:pPr>
              <w:rPr>
                <w:rFonts w:cs="Arial"/>
                <w:szCs w:val="19"/>
              </w:rPr>
            </w:pPr>
            <w:r w:rsidRPr="00D34D41">
              <w:rPr>
                <w:rFonts w:cs="Arial"/>
                <w:szCs w:val="19"/>
              </w:rPr>
              <w:t>Lenacapavir</w:t>
            </w:r>
            <w:r>
              <w:rPr>
                <w:rFonts w:cs="Arial"/>
                <w:szCs w:val="19"/>
              </w:rPr>
              <w:t xml:space="preserve"> (</w:t>
            </w:r>
            <w:r>
              <w:rPr>
                <w:rFonts w:cs="Arial"/>
                <w:i/>
                <w:iCs/>
                <w:szCs w:val="19"/>
              </w:rPr>
              <w:t>Yeytuo</w:t>
            </w:r>
            <w:r>
              <w:rPr>
                <w:rFonts w:cs="Arial"/>
                <w:szCs w:val="19"/>
              </w:rPr>
              <w:t>)</w:t>
            </w:r>
          </w:p>
          <w:p w14:paraId="58136F4E" w14:textId="707D4D39" w:rsidR="00722413" w:rsidRPr="00722413" w:rsidRDefault="00722413" w:rsidP="00722413">
            <w:pPr>
              <w:rPr>
                <w:rFonts w:cs="Arial"/>
                <w:sz w:val="16"/>
                <w:szCs w:val="16"/>
              </w:rPr>
            </w:pPr>
            <w:r w:rsidRPr="00722413">
              <w:rPr>
                <w:rFonts w:cs="Arial"/>
                <w:sz w:val="16"/>
                <w:szCs w:val="16"/>
              </w:rPr>
              <w:t>300mg tablet</w:t>
            </w:r>
          </w:p>
        </w:tc>
        <w:tc>
          <w:tcPr>
            <w:tcW w:w="3439" w:type="pct"/>
            <w:tcMar>
              <w:top w:w="57" w:type="dxa"/>
              <w:bottom w:w="57" w:type="dxa"/>
            </w:tcMar>
          </w:tcPr>
          <w:p w14:paraId="7CA1DEAC" w14:textId="09BE3E39" w:rsidR="00722413" w:rsidRPr="00E21F8E" w:rsidRDefault="00722413" w:rsidP="00507EE4">
            <w:pPr>
              <w:tabs>
                <w:tab w:val="num" w:pos="720"/>
                <w:tab w:val="center" w:pos="3152"/>
              </w:tabs>
              <w:rPr>
                <w:rFonts w:cs="Arial"/>
                <w:szCs w:val="19"/>
              </w:rPr>
            </w:pPr>
            <w:r>
              <w:rPr>
                <w:rFonts w:cs="Arial"/>
                <w:szCs w:val="19"/>
              </w:rPr>
              <w:t>U</w:t>
            </w:r>
            <w:r w:rsidRPr="00E21F8E">
              <w:rPr>
                <w:rFonts w:cs="Arial"/>
                <w:szCs w:val="19"/>
              </w:rPr>
              <w:t>se in combination with safer sex practices for pre</w:t>
            </w:r>
            <w:r w:rsidR="00C34ABC">
              <w:rPr>
                <w:rFonts w:cs="Arial"/>
                <w:szCs w:val="19"/>
              </w:rPr>
              <w:t>-</w:t>
            </w:r>
            <w:r w:rsidRPr="00E21F8E">
              <w:rPr>
                <w:rFonts w:cs="Arial"/>
                <w:szCs w:val="19"/>
              </w:rPr>
              <w:t>exposure prophylaxis</w:t>
            </w:r>
            <w:r>
              <w:rPr>
                <w:rFonts w:cs="Arial"/>
                <w:szCs w:val="19"/>
              </w:rPr>
              <w:t xml:space="preserve"> </w:t>
            </w:r>
            <w:r w:rsidRPr="00E21F8E">
              <w:rPr>
                <w:rFonts w:cs="Arial"/>
                <w:szCs w:val="19"/>
              </w:rPr>
              <w:t>to reduce the risk of sexually acquired HIV-1 infection in adults and adolescents with increased HIV 1 acquisition risk, weighing at least 35kg for oral loading or oral bridging</w:t>
            </w:r>
            <w:r w:rsidR="00CF6DB4">
              <w:rPr>
                <w:rFonts w:cs="Arial"/>
                <w:szCs w:val="19"/>
              </w:rPr>
              <w:t xml:space="preserve"> </w:t>
            </w:r>
            <w:r w:rsidR="00CF6DB4" w:rsidRPr="00CF6DB4">
              <w:rPr>
                <w:rFonts w:cs="Arial"/>
                <w:sz w:val="16"/>
                <w:szCs w:val="16"/>
              </w:rPr>
              <w:t>[new formulation with new indication]</w:t>
            </w:r>
          </w:p>
        </w:tc>
      </w:tr>
      <w:tr w:rsidR="00722413" w14:paraId="476FAA65" w14:textId="77777777" w:rsidTr="00507EE4">
        <w:tc>
          <w:tcPr>
            <w:tcW w:w="1561" w:type="pct"/>
            <w:gridSpan w:val="2"/>
            <w:tcMar>
              <w:top w:w="57" w:type="dxa"/>
              <w:bottom w:w="57" w:type="dxa"/>
            </w:tcMar>
          </w:tcPr>
          <w:p w14:paraId="2000EF54" w14:textId="77777777" w:rsidR="00722413" w:rsidRDefault="00722413" w:rsidP="00722413">
            <w:pPr>
              <w:rPr>
                <w:rFonts w:cs="Arial"/>
                <w:szCs w:val="19"/>
              </w:rPr>
            </w:pPr>
            <w:r w:rsidRPr="00D34D41">
              <w:rPr>
                <w:rFonts w:cs="Arial"/>
                <w:szCs w:val="19"/>
              </w:rPr>
              <w:t>Lenacapavir</w:t>
            </w:r>
            <w:r>
              <w:rPr>
                <w:rFonts w:cs="Arial"/>
                <w:szCs w:val="19"/>
              </w:rPr>
              <w:t xml:space="preserve"> (</w:t>
            </w:r>
            <w:r>
              <w:rPr>
                <w:rFonts w:cs="Arial"/>
                <w:i/>
                <w:iCs/>
                <w:szCs w:val="19"/>
              </w:rPr>
              <w:t>Yeytuo</w:t>
            </w:r>
            <w:r>
              <w:rPr>
                <w:rFonts w:cs="Arial"/>
                <w:szCs w:val="19"/>
              </w:rPr>
              <w:t>)</w:t>
            </w:r>
          </w:p>
          <w:p w14:paraId="39DE6C4D" w14:textId="777CE5D9" w:rsidR="00722413" w:rsidRPr="003161A6" w:rsidRDefault="00722413" w:rsidP="00722413">
            <w:pPr>
              <w:rPr>
                <w:rFonts w:cs="Arial"/>
                <w:sz w:val="16"/>
                <w:szCs w:val="16"/>
              </w:rPr>
            </w:pPr>
            <w:r w:rsidRPr="003161A6">
              <w:rPr>
                <w:rFonts w:cs="Arial"/>
                <w:sz w:val="16"/>
                <w:szCs w:val="16"/>
              </w:rPr>
              <w:t>463.5mg in 1.5mL vial</w:t>
            </w:r>
          </w:p>
        </w:tc>
        <w:tc>
          <w:tcPr>
            <w:tcW w:w="3439" w:type="pct"/>
            <w:tcMar>
              <w:top w:w="57" w:type="dxa"/>
              <w:bottom w:w="57" w:type="dxa"/>
            </w:tcMar>
          </w:tcPr>
          <w:p w14:paraId="24ED8763" w14:textId="6265D723" w:rsidR="00722413" w:rsidRPr="00F61072" w:rsidRDefault="00722413" w:rsidP="00722413">
            <w:pPr>
              <w:tabs>
                <w:tab w:val="num" w:pos="720"/>
                <w:tab w:val="center" w:pos="3152"/>
              </w:tabs>
              <w:rPr>
                <w:rFonts w:cs="Arial"/>
                <w:szCs w:val="19"/>
                <w:lang w:val="en-US"/>
              </w:rPr>
            </w:pPr>
            <w:r w:rsidRPr="00E21F8E">
              <w:rPr>
                <w:rFonts w:cs="Arial"/>
                <w:szCs w:val="19"/>
              </w:rPr>
              <w:t>Use in combination with safer sex practices for pre</w:t>
            </w:r>
            <w:r w:rsidR="00C34ABC">
              <w:rPr>
                <w:rFonts w:cs="Arial"/>
                <w:szCs w:val="19"/>
              </w:rPr>
              <w:t>-</w:t>
            </w:r>
            <w:r w:rsidRPr="00E21F8E">
              <w:rPr>
                <w:rFonts w:cs="Arial"/>
                <w:szCs w:val="19"/>
              </w:rPr>
              <w:t>exposure prophylaxis</w:t>
            </w:r>
            <w:r>
              <w:rPr>
                <w:rFonts w:cs="Arial"/>
                <w:szCs w:val="19"/>
              </w:rPr>
              <w:t xml:space="preserve"> </w:t>
            </w:r>
            <w:r w:rsidRPr="00E21F8E">
              <w:rPr>
                <w:rFonts w:cs="Arial"/>
                <w:szCs w:val="19"/>
              </w:rPr>
              <w:t>to reduce the risk of sexually acquired HIV-1 infection in adults and adolescents with increased HIV 1 acquisition risk, weighing at least 35kg</w:t>
            </w:r>
            <w:r w:rsidR="00CF6DB4">
              <w:rPr>
                <w:rFonts w:cs="Arial"/>
                <w:szCs w:val="19"/>
              </w:rPr>
              <w:t xml:space="preserve"> </w:t>
            </w:r>
            <w:r w:rsidR="00CF6DB4" w:rsidRPr="00CF6DB4">
              <w:rPr>
                <w:rFonts w:cs="Arial"/>
                <w:sz w:val="16"/>
                <w:szCs w:val="16"/>
              </w:rPr>
              <w:t>[new formulation with new indication]</w:t>
            </w:r>
          </w:p>
        </w:tc>
      </w:tr>
      <w:tr w:rsidR="00722413" w14:paraId="446284ED" w14:textId="77777777" w:rsidTr="00507EE4">
        <w:tc>
          <w:tcPr>
            <w:tcW w:w="1561" w:type="pct"/>
            <w:gridSpan w:val="2"/>
            <w:tcMar>
              <w:top w:w="57" w:type="dxa"/>
              <w:bottom w:w="57" w:type="dxa"/>
            </w:tcMar>
          </w:tcPr>
          <w:p w14:paraId="06C7993A" w14:textId="77777777" w:rsidR="00722413" w:rsidRDefault="00722413" w:rsidP="00722413">
            <w:pPr>
              <w:rPr>
                <w:rFonts w:cs="Arial"/>
                <w:szCs w:val="19"/>
              </w:rPr>
            </w:pPr>
            <w:r w:rsidRPr="00A24ECF">
              <w:rPr>
                <w:rFonts w:cs="Arial"/>
                <w:szCs w:val="19"/>
              </w:rPr>
              <w:t>Mirdametinib</w:t>
            </w:r>
            <w:r>
              <w:rPr>
                <w:rFonts w:cs="Arial"/>
                <w:szCs w:val="19"/>
              </w:rPr>
              <w:t xml:space="preserve"> (</w:t>
            </w:r>
            <w:r w:rsidRPr="00ED1285">
              <w:rPr>
                <w:rFonts w:cs="Arial"/>
                <w:i/>
                <w:iCs/>
                <w:szCs w:val="19"/>
              </w:rPr>
              <w:t>Ezmekly</w:t>
            </w:r>
            <w:r>
              <w:rPr>
                <w:rFonts w:cs="Arial"/>
                <w:szCs w:val="19"/>
              </w:rPr>
              <w:t>)</w:t>
            </w:r>
          </w:p>
          <w:p w14:paraId="42B4F11D" w14:textId="297337B4" w:rsidR="00722413" w:rsidRPr="00E70162" w:rsidRDefault="00722413" w:rsidP="00722413">
            <w:pPr>
              <w:rPr>
                <w:rFonts w:cs="Arial"/>
                <w:sz w:val="16"/>
                <w:szCs w:val="16"/>
              </w:rPr>
            </w:pPr>
            <w:r w:rsidRPr="00E70162">
              <w:rPr>
                <w:rFonts w:cs="Arial"/>
                <w:sz w:val="16"/>
                <w:szCs w:val="16"/>
              </w:rPr>
              <w:t>1mg and 2mg capsules and 1mg dispersible tablets</w:t>
            </w:r>
          </w:p>
        </w:tc>
        <w:tc>
          <w:tcPr>
            <w:tcW w:w="3439" w:type="pct"/>
            <w:tcMar>
              <w:top w:w="57" w:type="dxa"/>
              <w:bottom w:w="57" w:type="dxa"/>
            </w:tcMar>
          </w:tcPr>
          <w:p w14:paraId="3292CA2A" w14:textId="2B60FE4F" w:rsidR="00722413" w:rsidRPr="00A075A3" w:rsidRDefault="00722413" w:rsidP="00722413">
            <w:pPr>
              <w:tabs>
                <w:tab w:val="num" w:pos="720"/>
                <w:tab w:val="center" w:pos="3152"/>
              </w:tabs>
              <w:rPr>
                <w:rFonts w:cs="Arial"/>
                <w:szCs w:val="19"/>
                <w:lang w:val="en-US"/>
              </w:rPr>
            </w:pPr>
            <w:r w:rsidRPr="00F61072">
              <w:rPr>
                <w:rFonts w:cs="Arial"/>
                <w:szCs w:val="19"/>
                <w:lang w:val="en-US"/>
              </w:rPr>
              <w:t>Use as monotherapy for the treatment of symptomatic, inoperable plexiform neurofibromas in paediatric and adult patients with neurofibromatosis type 1 aged 2 years and above</w:t>
            </w:r>
          </w:p>
        </w:tc>
      </w:tr>
      <w:tr w:rsidR="00722413" w14:paraId="4B9B5135" w14:textId="77777777" w:rsidTr="00507EE4">
        <w:tc>
          <w:tcPr>
            <w:tcW w:w="1561" w:type="pct"/>
            <w:gridSpan w:val="2"/>
            <w:tcMar>
              <w:top w:w="57" w:type="dxa"/>
              <w:bottom w:w="57" w:type="dxa"/>
            </w:tcMar>
          </w:tcPr>
          <w:p w14:paraId="7E97AD93" w14:textId="2CB61012" w:rsidR="00722413" w:rsidRDefault="00722413" w:rsidP="00722413">
            <w:pPr>
              <w:rPr>
                <w:rFonts w:cs="Arial"/>
                <w:szCs w:val="19"/>
              </w:rPr>
            </w:pPr>
            <w:r>
              <w:rPr>
                <w:rFonts w:cs="Arial"/>
                <w:szCs w:val="19"/>
              </w:rPr>
              <w:t>Pembrolizumab (</w:t>
            </w:r>
            <w:r w:rsidRPr="002A0481">
              <w:rPr>
                <w:rFonts w:cs="Arial"/>
                <w:i/>
                <w:iCs/>
                <w:szCs w:val="19"/>
              </w:rPr>
              <w:t>Keytruda SC</w:t>
            </w:r>
            <w:r>
              <w:rPr>
                <w:rFonts w:cs="Arial"/>
                <w:szCs w:val="19"/>
              </w:rPr>
              <w:t>)</w:t>
            </w:r>
          </w:p>
          <w:p w14:paraId="12923F82" w14:textId="15CEABE1" w:rsidR="00722413" w:rsidRPr="00A65185" w:rsidRDefault="00722413" w:rsidP="00722413">
            <w:pPr>
              <w:rPr>
                <w:rFonts w:cs="Arial"/>
                <w:sz w:val="16"/>
                <w:szCs w:val="16"/>
              </w:rPr>
            </w:pPr>
            <w:r w:rsidRPr="00A65185">
              <w:rPr>
                <w:rFonts w:cs="Arial"/>
                <w:sz w:val="16"/>
                <w:szCs w:val="16"/>
              </w:rPr>
              <w:t>395mg in 2.4mL and 790mg in 4.8mL vials</w:t>
            </w:r>
          </w:p>
        </w:tc>
        <w:tc>
          <w:tcPr>
            <w:tcW w:w="3439" w:type="pct"/>
            <w:tcMar>
              <w:top w:w="57" w:type="dxa"/>
              <w:bottom w:w="57" w:type="dxa"/>
            </w:tcMar>
          </w:tcPr>
          <w:p w14:paraId="0F9B15AD" w14:textId="6240CCEC" w:rsidR="00722413" w:rsidRPr="009E2949" w:rsidRDefault="00722413" w:rsidP="00722413">
            <w:pPr>
              <w:tabs>
                <w:tab w:val="center" w:pos="3152"/>
              </w:tabs>
              <w:rPr>
                <w:rFonts w:cs="Arial"/>
                <w:color w:val="000000"/>
                <w:szCs w:val="19"/>
                <w:lang w:val="en-US"/>
              </w:rPr>
            </w:pPr>
            <w:r w:rsidRPr="009E2949">
              <w:rPr>
                <w:rFonts w:cs="Arial"/>
                <w:color w:val="000000"/>
                <w:szCs w:val="19"/>
                <w:lang w:val="en-US"/>
              </w:rPr>
              <w:t xml:space="preserve">Treatment of melanoma, non-small cell lung carcinoma, classical Hodgkin lymphoma, urothelial carcinoma, head and neck squamous cell carcinoma, renal cell carcinoma, microsatellite instability high or mismatch repair deficient cancers, oesophageal carcinoma, triple-negative breast cancer, endometrial carcinoma, cervical cancer, gastric or gastro-oesophageal junction adenocarcinoma, and biliary tract carcinoma </w:t>
            </w:r>
            <w:r w:rsidR="00034EB0" w:rsidRPr="00034EB0">
              <w:rPr>
                <w:rFonts w:cs="Arial"/>
                <w:i/>
                <w:iCs/>
                <w:color w:val="000000"/>
                <w:sz w:val="16"/>
                <w:szCs w:val="16"/>
                <w:lang w:val="en-US"/>
              </w:rPr>
              <w:t>Note: F</w:t>
            </w:r>
            <w:r w:rsidRPr="00034EB0">
              <w:rPr>
                <w:rFonts w:cs="Arial"/>
                <w:i/>
                <w:iCs/>
                <w:color w:val="000000"/>
                <w:sz w:val="16"/>
                <w:szCs w:val="16"/>
                <w:lang w:val="en-US"/>
              </w:rPr>
              <w:t xml:space="preserve">or full indication, see </w:t>
            </w:r>
            <w:hyperlink r:id="rId18" w:history="1">
              <w:r w:rsidRPr="00034EB0">
                <w:rPr>
                  <w:rStyle w:val="Hyperlink"/>
                  <w:rFonts w:ascii="Arial" w:hAnsi="Arial" w:cs="Arial"/>
                  <w:i/>
                  <w:iCs/>
                  <w:sz w:val="16"/>
                  <w:szCs w:val="16"/>
                  <w:lang w:val="en-US"/>
                </w:rPr>
                <w:t>SmPC</w:t>
              </w:r>
            </w:hyperlink>
          </w:p>
        </w:tc>
      </w:tr>
      <w:tr w:rsidR="00722413" w14:paraId="11D9C536" w14:textId="77777777" w:rsidTr="00507EE4">
        <w:tc>
          <w:tcPr>
            <w:tcW w:w="1561" w:type="pct"/>
            <w:gridSpan w:val="2"/>
            <w:tcMar>
              <w:top w:w="57" w:type="dxa"/>
              <w:bottom w:w="57" w:type="dxa"/>
            </w:tcMar>
          </w:tcPr>
          <w:p w14:paraId="2431DB92" w14:textId="77777777" w:rsidR="00722413" w:rsidRDefault="00722413" w:rsidP="00722413">
            <w:pPr>
              <w:rPr>
                <w:rFonts w:cs="Arial"/>
                <w:szCs w:val="19"/>
              </w:rPr>
            </w:pPr>
            <w:r w:rsidRPr="0098077D">
              <w:rPr>
                <w:rFonts w:cs="Arial"/>
                <w:szCs w:val="19"/>
              </w:rPr>
              <w:t>Tisotumab vedotin (</w:t>
            </w:r>
            <w:r w:rsidRPr="0098077D">
              <w:rPr>
                <w:rFonts w:cs="Arial"/>
                <w:i/>
                <w:iCs/>
                <w:szCs w:val="19"/>
              </w:rPr>
              <w:t>Tivdak</w:t>
            </w:r>
            <w:r w:rsidRPr="0098077D">
              <w:rPr>
                <w:rFonts w:cs="Arial"/>
                <w:szCs w:val="19"/>
              </w:rPr>
              <w:t>)</w:t>
            </w:r>
          </w:p>
          <w:p w14:paraId="20874369" w14:textId="27C13A85" w:rsidR="00722413" w:rsidRPr="00E02DC9" w:rsidRDefault="00722413" w:rsidP="00722413">
            <w:pPr>
              <w:rPr>
                <w:rFonts w:cs="Arial"/>
                <w:szCs w:val="19"/>
              </w:rPr>
            </w:pPr>
            <w:r w:rsidRPr="00BA4B10">
              <w:rPr>
                <w:rFonts w:cs="Arial"/>
                <w:sz w:val="16"/>
                <w:szCs w:val="16"/>
              </w:rPr>
              <w:t>40mg vial</w:t>
            </w:r>
          </w:p>
        </w:tc>
        <w:tc>
          <w:tcPr>
            <w:tcW w:w="3439" w:type="pct"/>
            <w:tcMar>
              <w:top w:w="57" w:type="dxa"/>
              <w:bottom w:w="57" w:type="dxa"/>
            </w:tcMar>
          </w:tcPr>
          <w:p w14:paraId="0031CEDE" w14:textId="759EDFF2" w:rsidR="00722413" w:rsidRPr="00A075A3" w:rsidRDefault="00722413" w:rsidP="00722413">
            <w:pPr>
              <w:tabs>
                <w:tab w:val="center" w:pos="3152"/>
              </w:tabs>
              <w:rPr>
                <w:rFonts w:cs="Arial"/>
                <w:szCs w:val="19"/>
                <w:lang w:val="en-US"/>
              </w:rPr>
            </w:pPr>
            <w:r w:rsidRPr="00BA4B10">
              <w:rPr>
                <w:rFonts w:cs="Arial"/>
                <w:szCs w:val="19"/>
                <w:lang w:val="en-US"/>
              </w:rPr>
              <w:t>Us</w:t>
            </w:r>
            <w:r>
              <w:rPr>
                <w:rFonts w:cs="Arial"/>
                <w:szCs w:val="19"/>
                <w:lang w:val="en-US"/>
              </w:rPr>
              <w:t>e</w:t>
            </w:r>
            <w:r w:rsidRPr="00BA4B10">
              <w:rPr>
                <w:rFonts w:cs="Arial"/>
                <w:szCs w:val="19"/>
                <w:lang w:val="en-US"/>
              </w:rPr>
              <w:t xml:space="preserve"> as monotherapy for the treatment of adult</w:t>
            </w:r>
            <w:r>
              <w:rPr>
                <w:rFonts w:cs="Arial"/>
                <w:szCs w:val="19"/>
                <w:lang w:val="en-US"/>
              </w:rPr>
              <w:t xml:space="preserve">s </w:t>
            </w:r>
            <w:r w:rsidRPr="00BA4B10">
              <w:rPr>
                <w:rFonts w:cs="Arial"/>
                <w:szCs w:val="19"/>
                <w:lang w:val="en-US"/>
              </w:rPr>
              <w:t>with recurrent or metastatic cervical cancer with disease progression on or after systemic therapy</w:t>
            </w:r>
          </w:p>
        </w:tc>
      </w:tr>
      <w:tr w:rsidR="00722413" w14:paraId="36852951" w14:textId="77777777" w:rsidTr="00507EE4">
        <w:tc>
          <w:tcPr>
            <w:tcW w:w="1561" w:type="pct"/>
            <w:gridSpan w:val="2"/>
            <w:tcMar>
              <w:top w:w="57" w:type="dxa"/>
              <w:bottom w:w="57" w:type="dxa"/>
            </w:tcMar>
          </w:tcPr>
          <w:p w14:paraId="46ABD34F" w14:textId="77777777" w:rsidR="00722413" w:rsidRDefault="00722413" w:rsidP="00722413">
            <w:pPr>
              <w:rPr>
                <w:rFonts w:cs="Arial"/>
                <w:szCs w:val="19"/>
              </w:rPr>
            </w:pPr>
            <w:r w:rsidRPr="0046046C">
              <w:rPr>
                <w:rFonts w:cs="Arial"/>
                <w:szCs w:val="19"/>
              </w:rPr>
              <w:t>Ustekinumab biosimilar (</w:t>
            </w:r>
            <w:r w:rsidRPr="00F025F6">
              <w:rPr>
                <w:rFonts w:cs="Arial"/>
                <w:i/>
                <w:iCs/>
                <w:szCs w:val="19"/>
              </w:rPr>
              <w:t>Steqeyma</w:t>
            </w:r>
            <w:r w:rsidRPr="0046046C">
              <w:rPr>
                <w:rFonts w:cs="Arial"/>
                <w:szCs w:val="19"/>
              </w:rPr>
              <w:t>) </w:t>
            </w:r>
          </w:p>
          <w:p w14:paraId="6A6F62B0" w14:textId="12D586FA" w:rsidR="00722413" w:rsidRPr="00F025F6" w:rsidRDefault="00722413" w:rsidP="00722413">
            <w:pPr>
              <w:rPr>
                <w:rFonts w:cs="Arial"/>
                <w:sz w:val="16"/>
                <w:szCs w:val="16"/>
              </w:rPr>
            </w:pPr>
            <w:r w:rsidRPr="00F025F6">
              <w:rPr>
                <w:rFonts w:cs="Arial"/>
                <w:sz w:val="16"/>
                <w:szCs w:val="16"/>
              </w:rPr>
              <w:t>45mg in 0.5mL vial</w:t>
            </w:r>
          </w:p>
        </w:tc>
        <w:tc>
          <w:tcPr>
            <w:tcW w:w="3439" w:type="pct"/>
            <w:tcMar>
              <w:top w:w="57" w:type="dxa"/>
              <w:bottom w:w="57" w:type="dxa"/>
            </w:tcMar>
          </w:tcPr>
          <w:p w14:paraId="4E29D960" w14:textId="4E1941D7" w:rsidR="00722413" w:rsidRPr="003242EB" w:rsidRDefault="00722413" w:rsidP="00722413">
            <w:pPr>
              <w:tabs>
                <w:tab w:val="center" w:pos="3152"/>
              </w:tabs>
              <w:rPr>
                <w:rFonts w:cs="Arial"/>
                <w:szCs w:val="19"/>
                <w:highlight w:val="yellow"/>
                <w:lang w:val="en-US"/>
              </w:rPr>
            </w:pPr>
            <w:r w:rsidRPr="002E23E2">
              <w:rPr>
                <w:rFonts w:cs="Arial"/>
                <w:szCs w:val="19"/>
                <w:lang w:val="en-US"/>
              </w:rPr>
              <w:t xml:space="preserve">Treatment of moderate to severe plaque psoriasis in adults who failed to respond to, or who have a contraindication to, or are intolerant to other systemic therapies including </w:t>
            </w:r>
            <w:r w:rsidRPr="0077008F">
              <w:rPr>
                <w:rFonts w:cs="Arial"/>
                <w:szCs w:val="19"/>
                <w:lang w:val="en-US"/>
              </w:rPr>
              <w:t xml:space="preserve">ciclosporin, methotrexate (MTX) or PUVA (psoralen and ultraviolet A); treatment of moderate to severe plaque psoriasis in children and adolescent patients aged 6 years and older, who are inadequately controlled by, or are intolerant to, </w:t>
            </w:r>
            <w:r w:rsidRPr="00EB56E5">
              <w:rPr>
                <w:rFonts w:cs="Arial"/>
                <w:szCs w:val="19"/>
                <w:lang w:val="en-US"/>
              </w:rPr>
              <w:t xml:space="preserve">other systemic therapies or phototherapies; use alone or in combination with MTX; treatment of active psoriatic arthritis in adults when the response to previous nonbiological disease-modifying anti-rheumatic drug therapy has been </w:t>
            </w:r>
            <w:r w:rsidRPr="001F3F92">
              <w:rPr>
                <w:rFonts w:cs="Arial"/>
                <w:szCs w:val="19"/>
                <w:lang w:val="en-US"/>
              </w:rPr>
              <w:t xml:space="preserve">inadequate; treatment of adults with moderately to severely active Crohn’s disease who </w:t>
            </w:r>
            <w:r w:rsidRPr="000D59A0">
              <w:rPr>
                <w:rFonts w:cs="Arial"/>
                <w:szCs w:val="19"/>
                <w:lang w:val="en-US"/>
              </w:rPr>
              <w:t xml:space="preserve">have had an inadequate response with, lost response to, or were intolerant to either conventional therapy or a TNFα antagonist or have medical contraindications to such therapies; treatment of adults with moderately to severely active ulcerative colitis who have had an inadequate response with, lost response to, or were intolerant to either conventional therapy or a biologic or have medical contraindications to such therapies </w:t>
            </w:r>
            <w:r w:rsidRPr="000D59A0">
              <w:rPr>
                <w:rFonts w:cs="Arial"/>
                <w:sz w:val="16"/>
                <w:szCs w:val="16"/>
                <w:lang w:val="en-US"/>
              </w:rPr>
              <w:t>[new vial formulation]</w:t>
            </w:r>
          </w:p>
        </w:tc>
      </w:tr>
      <w:tr w:rsidR="00722413" w:rsidRPr="00862949" w14:paraId="5D90DC1D" w14:textId="77777777" w:rsidTr="005A7E09">
        <w:tc>
          <w:tcPr>
            <w:tcW w:w="5000" w:type="pct"/>
            <w:gridSpan w:val="3"/>
            <w:tcMar>
              <w:top w:w="0" w:type="dxa"/>
              <w:bottom w:w="0" w:type="dxa"/>
            </w:tcMar>
          </w:tcPr>
          <w:p w14:paraId="2D8EE26B" w14:textId="77777777" w:rsidR="00722413" w:rsidRPr="00862949" w:rsidRDefault="00722413" w:rsidP="00722413">
            <w:pPr>
              <w:jc w:val="center"/>
              <w:rPr>
                <w:rFonts w:cs="Arial"/>
                <w:noProof/>
                <w:sz w:val="8"/>
                <w:szCs w:val="8"/>
              </w:rPr>
            </w:pPr>
          </w:p>
        </w:tc>
      </w:tr>
      <w:tr w:rsidR="00B15D78" w:rsidRPr="000F19E1" w14:paraId="059F8863" w14:textId="77777777" w:rsidTr="00155BD9">
        <w:tc>
          <w:tcPr>
            <w:tcW w:w="1152" w:type="pct"/>
            <w:shd w:val="clear" w:color="auto" w:fill="DAEEF3"/>
            <w:tcMar>
              <w:top w:w="0" w:type="dxa"/>
              <w:bottom w:w="0" w:type="dxa"/>
            </w:tcMar>
          </w:tcPr>
          <w:p w14:paraId="72738402" w14:textId="77777777" w:rsidR="00B15D78" w:rsidRPr="000F19E1" w:rsidRDefault="00B15D78" w:rsidP="00722413">
            <w:pPr>
              <w:rPr>
                <w:rFonts w:cs="Arial"/>
                <w:bCs/>
                <w:sz w:val="8"/>
                <w:szCs w:val="8"/>
              </w:rPr>
            </w:pPr>
          </w:p>
        </w:tc>
        <w:tc>
          <w:tcPr>
            <w:tcW w:w="3848" w:type="pct"/>
            <w:gridSpan w:val="2"/>
            <w:shd w:val="clear" w:color="auto" w:fill="DAEEF3"/>
            <w:tcMar>
              <w:top w:w="0" w:type="dxa"/>
              <w:bottom w:w="0" w:type="dxa"/>
            </w:tcMar>
          </w:tcPr>
          <w:p w14:paraId="549C2761" w14:textId="77777777" w:rsidR="00B15D78" w:rsidRPr="000F19E1" w:rsidRDefault="00B15D78" w:rsidP="00722413">
            <w:pPr>
              <w:tabs>
                <w:tab w:val="center" w:pos="3152"/>
              </w:tabs>
              <w:rPr>
                <w:rFonts w:cs="Arial"/>
                <w:sz w:val="8"/>
                <w:szCs w:val="8"/>
                <w:lang w:val="en-US"/>
              </w:rPr>
            </w:pPr>
          </w:p>
        </w:tc>
      </w:tr>
    </w:tbl>
    <w:p w14:paraId="34046EE3" w14:textId="77777777" w:rsidR="00B15D78" w:rsidRDefault="00B15D78">
      <w:r>
        <w:br w:type="page"/>
      </w:r>
    </w:p>
    <w:p w14:paraId="1E8168FC" w14:textId="77777777" w:rsidR="00B15D78" w:rsidRDefault="00B15D78"/>
    <w:p w14:paraId="12131C77" w14:textId="77777777" w:rsidR="00B15D78" w:rsidRDefault="00B15D78"/>
    <w:tbl>
      <w:tblPr>
        <w:tblW w:w="5170" w:type="pct"/>
        <w:tblInd w:w="-176" w:type="dxa"/>
        <w:tblLayout w:type="fixed"/>
        <w:tblLook w:val="01E0" w:firstRow="1" w:lastRow="1" w:firstColumn="1" w:lastColumn="1" w:noHBand="0" w:noVBand="0"/>
      </w:tblPr>
      <w:tblGrid>
        <w:gridCol w:w="2430"/>
        <w:gridCol w:w="298"/>
        <w:gridCol w:w="7823"/>
      </w:tblGrid>
      <w:tr w:rsidR="00B15D78" w:rsidRPr="00862949" w14:paraId="52B0D61E" w14:textId="77777777" w:rsidTr="002E23B3">
        <w:tc>
          <w:tcPr>
            <w:tcW w:w="5000" w:type="pct"/>
            <w:gridSpan w:val="3"/>
            <w:shd w:val="clear" w:color="auto" w:fill="0070C0"/>
            <w:tcMar>
              <w:top w:w="85" w:type="dxa"/>
              <w:bottom w:w="85" w:type="dxa"/>
            </w:tcMar>
            <w:vAlign w:val="bottom"/>
          </w:tcPr>
          <w:p w14:paraId="0D0D4F88" w14:textId="77777777" w:rsidR="00B15D78" w:rsidRPr="00862949" w:rsidRDefault="00B15D78" w:rsidP="002E23B3">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B15D78" w:rsidRPr="00862949" w14:paraId="2A13EE8C" w14:textId="77777777" w:rsidTr="002E23B3">
        <w:tc>
          <w:tcPr>
            <w:tcW w:w="5000" w:type="pct"/>
            <w:gridSpan w:val="3"/>
            <w:shd w:val="clear" w:color="auto" w:fill="DAEEF3"/>
            <w:tcMar>
              <w:top w:w="0" w:type="dxa"/>
              <w:bottom w:w="0" w:type="dxa"/>
            </w:tcMar>
          </w:tcPr>
          <w:p w14:paraId="65132233" w14:textId="77777777" w:rsidR="00B15D78" w:rsidRPr="00862949" w:rsidRDefault="00B15D78" w:rsidP="002E23B3">
            <w:pPr>
              <w:rPr>
                <w:rFonts w:cs="Arial"/>
                <w:b/>
                <w:bCs/>
                <w:i/>
                <w:iCs/>
                <w:color w:val="000000"/>
                <w:sz w:val="8"/>
                <w:szCs w:val="8"/>
                <w:lang w:val="en-US"/>
              </w:rPr>
            </w:pPr>
          </w:p>
        </w:tc>
      </w:tr>
      <w:tr w:rsidR="00722413" w:rsidRPr="00831779" w14:paraId="6A1BE131" w14:textId="77777777" w:rsidTr="00562CE4">
        <w:tc>
          <w:tcPr>
            <w:tcW w:w="5000" w:type="pct"/>
            <w:gridSpan w:val="3"/>
            <w:shd w:val="clear" w:color="auto" w:fill="008232"/>
            <w:tcMar>
              <w:top w:w="57" w:type="dxa"/>
              <w:bottom w:w="57" w:type="dxa"/>
            </w:tcMar>
          </w:tcPr>
          <w:p w14:paraId="17D1E3C6" w14:textId="77777777" w:rsidR="00722413" w:rsidRPr="00831779" w:rsidRDefault="00722413" w:rsidP="00722413">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722413" w:rsidRPr="00A075A3" w14:paraId="1ADEC8D5" w14:textId="77777777" w:rsidTr="00B15D78">
        <w:tc>
          <w:tcPr>
            <w:tcW w:w="1293" w:type="pct"/>
            <w:gridSpan w:val="2"/>
            <w:tcMar>
              <w:top w:w="57" w:type="dxa"/>
              <w:bottom w:w="57" w:type="dxa"/>
            </w:tcMar>
          </w:tcPr>
          <w:p w14:paraId="4A9B12D4" w14:textId="66F13E18" w:rsidR="00722413" w:rsidRPr="00813950" w:rsidRDefault="00722413" w:rsidP="00722413">
            <w:pPr>
              <w:rPr>
                <w:rFonts w:cs="Arial"/>
                <w:szCs w:val="19"/>
              </w:rPr>
            </w:pPr>
            <w:r>
              <w:rPr>
                <w:rFonts w:cs="Arial"/>
                <w:szCs w:val="19"/>
              </w:rPr>
              <w:t>Aficamten (</w:t>
            </w:r>
            <w:r w:rsidRPr="00B25E4D">
              <w:rPr>
                <w:rFonts w:cs="Arial"/>
                <w:i/>
                <w:iCs/>
                <w:szCs w:val="19"/>
              </w:rPr>
              <w:t>Myqorzo</w:t>
            </w:r>
            <w:r>
              <w:rPr>
                <w:rFonts w:cs="Arial"/>
                <w:szCs w:val="19"/>
              </w:rPr>
              <w:t>)</w:t>
            </w:r>
          </w:p>
        </w:tc>
        <w:tc>
          <w:tcPr>
            <w:tcW w:w="3707" w:type="pct"/>
            <w:tcMar>
              <w:top w:w="57" w:type="dxa"/>
              <w:bottom w:w="57" w:type="dxa"/>
            </w:tcMar>
          </w:tcPr>
          <w:p w14:paraId="3A2E3CC9" w14:textId="6D04E6B2" w:rsidR="00722413" w:rsidRPr="00A075A3" w:rsidRDefault="00722413" w:rsidP="00722413">
            <w:pPr>
              <w:tabs>
                <w:tab w:val="center" w:pos="3152"/>
              </w:tabs>
              <w:rPr>
                <w:rFonts w:cs="Arial"/>
                <w:szCs w:val="19"/>
                <w:lang w:val="en-US"/>
              </w:rPr>
            </w:pPr>
            <w:r w:rsidRPr="009E01D1">
              <w:rPr>
                <w:rFonts w:cs="Arial"/>
                <w:szCs w:val="19"/>
                <w:lang w:val="en-US"/>
              </w:rPr>
              <w:t>Treatment of symptomatic (New York Heart Association, NYHA, class II-III) obstructive hypertrophic cardiomyopathy in adult</w:t>
            </w:r>
            <w:r>
              <w:rPr>
                <w:rFonts w:cs="Arial"/>
                <w:szCs w:val="19"/>
                <w:lang w:val="en-US"/>
              </w:rPr>
              <w:t xml:space="preserve">s </w:t>
            </w:r>
            <w:r w:rsidRPr="009E01D1">
              <w:rPr>
                <w:rFonts w:cs="Arial"/>
                <w:sz w:val="16"/>
                <w:szCs w:val="16"/>
                <w:lang w:val="en-US"/>
              </w:rPr>
              <w:t>[EU]</w:t>
            </w:r>
          </w:p>
        </w:tc>
      </w:tr>
      <w:tr w:rsidR="00722413" w:rsidRPr="00A075A3" w14:paraId="7E323203" w14:textId="77777777" w:rsidTr="00B15D78">
        <w:tc>
          <w:tcPr>
            <w:tcW w:w="1293" w:type="pct"/>
            <w:gridSpan w:val="2"/>
            <w:tcMar>
              <w:top w:w="57" w:type="dxa"/>
              <w:bottom w:w="57" w:type="dxa"/>
            </w:tcMar>
          </w:tcPr>
          <w:p w14:paraId="269911D0" w14:textId="661DEDD8" w:rsidR="00722413" w:rsidRPr="00012BF5" w:rsidRDefault="00722413" w:rsidP="00722413">
            <w:pPr>
              <w:rPr>
                <w:rFonts w:cs="Arial"/>
                <w:szCs w:val="19"/>
              </w:rPr>
            </w:pPr>
            <w:r>
              <w:rPr>
                <w:rFonts w:cs="Arial"/>
                <w:szCs w:val="19"/>
              </w:rPr>
              <w:t>Aflibercept (</w:t>
            </w:r>
            <w:r>
              <w:rPr>
                <w:rFonts w:cs="Arial"/>
                <w:i/>
                <w:iCs/>
                <w:szCs w:val="19"/>
              </w:rPr>
              <w:t>Eylea</w:t>
            </w:r>
            <w:r>
              <w:rPr>
                <w:rFonts w:cs="Arial"/>
                <w:szCs w:val="19"/>
              </w:rPr>
              <w:t>)</w:t>
            </w:r>
          </w:p>
        </w:tc>
        <w:tc>
          <w:tcPr>
            <w:tcW w:w="3707" w:type="pct"/>
            <w:tcMar>
              <w:top w:w="57" w:type="dxa"/>
              <w:bottom w:w="57" w:type="dxa"/>
            </w:tcMar>
          </w:tcPr>
          <w:p w14:paraId="594D1BD9" w14:textId="2D4686E4" w:rsidR="00722413" w:rsidRDefault="00722413" w:rsidP="00722413">
            <w:pPr>
              <w:tabs>
                <w:tab w:val="center" w:pos="3152"/>
              </w:tabs>
              <w:rPr>
                <w:rFonts w:cs="Arial"/>
                <w:szCs w:val="19"/>
                <w:lang w:val="en-US"/>
              </w:rPr>
            </w:pPr>
            <w:r>
              <w:rPr>
                <w:rFonts w:cs="Arial"/>
                <w:szCs w:val="19"/>
                <w:lang w:val="en-US"/>
              </w:rPr>
              <w:t xml:space="preserve">Use </w:t>
            </w:r>
            <w:r w:rsidRPr="00974AE6">
              <w:rPr>
                <w:rFonts w:cs="Arial"/>
                <w:szCs w:val="19"/>
                <w:lang w:val="en-US"/>
              </w:rPr>
              <w:t>in adults for the treatment of</w:t>
            </w:r>
            <w:r>
              <w:rPr>
                <w:rFonts w:cs="Arial"/>
                <w:szCs w:val="19"/>
                <w:lang w:val="en-US"/>
              </w:rPr>
              <w:t xml:space="preserve"> </w:t>
            </w:r>
            <w:r w:rsidRPr="00974AE6">
              <w:rPr>
                <w:rFonts w:cs="Arial"/>
                <w:szCs w:val="19"/>
                <w:lang w:val="en-US"/>
              </w:rPr>
              <w:t>visual impairment due to macular oedema secondary to retinal vein occlusion (branch, central and hemiretinal RVO)</w:t>
            </w:r>
            <w:r w:rsidRPr="009E01D1">
              <w:rPr>
                <w:rFonts w:cs="Arial"/>
                <w:sz w:val="16"/>
                <w:szCs w:val="16"/>
                <w:lang w:val="en-US"/>
              </w:rPr>
              <w:t xml:space="preserve"> [EU]</w:t>
            </w:r>
            <w:r>
              <w:rPr>
                <w:rFonts w:cs="Arial"/>
                <w:sz w:val="16"/>
                <w:szCs w:val="16"/>
                <w:lang w:val="en-US"/>
              </w:rPr>
              <w:t xml:space="preserve"> [new indication]</w:t>
            </w:r>
          </w:p>
        </w:tc>
      </w:tr>
      <w:tr w:rsidR="00722413" w:rsidRPr="00A075A3" w14:paraId="26738ECC" w14:textId="77777777" w:rsidTr="00B15D78">
        <w:tc>
          <w:tcPr>
            <w:tcW w:w="1293" w:type="pct"/>
            <w:gridSpan w:val="2"/>
            <w:tcMar>
              <w:top w:w="57" w:type="dxa"/>
              <w:bottom w:w="57" w:type="dxa"/>
            </w:tcMar>
          </w:tcPr>
          <w:p w14:paraId="6FCB56BD" w14:textId="523596D7" w:rsidR="00722413" w:rsidRPr="00AF0080" w:rsidRDefault="00722413" w:rsidP="00722413">
            <w:pPr>
              <w:rPr>
                <w:rFonts w:cs="Arial"/>
                <w:szCs w:val="19"/>
              </w:rPr>
            </w:pPr>
            <w:r w:rsidRPr="009026F2">
              <w:rPr>
                <w:rFonts w:cs="Arial"/>
                <w:szCs w:val="19"/>
              </w:rPr>
              <w:t>Aumolertinib (</w:t>
            </w:r>
            <w:r w:rsidRPr="00764A5C">
              <w:rPr>
                <w:rFonts w:cs="Arial"/>
                <w:i/>
                <w:iCs/>
                <w:szCs w:val="19"/>
              </w:rPr>
              <w:t>Aumseqa</w:t>
            </w:r>
            <w:r>
              <w:rPr>
                <w:rFonts w:cs="Arial"/>
                <w:szCs w:val="19"/>
              </w:rPr>
              <w:t>)</w:t>
            </w:r>
          </w:p>
        </w:tc>
        <w:tc>
          <w:tcPr>
            <w:tcW w:w="3707" w:type="pct"/>
            <w:tcMar>
              <w:top w:w="57" w:type="dxa"/>
              <w:bottom w:w="57" w:type="dxa"/>
            </w:tcMar>
          </w:tcPr>
          <w:p w14:paraId="66CB75D0" w14:textId="339049F0" w:rsidR="00722413" w:rsidRPr="00A075A3" w:rsidRDefault="00722413" w:rsidP="00722413">
            <w:pPr>
              <w:tabs>
                <w:tab w:val="center" w:pos="3152"/>
              </w:tabs>
              <w:rPr>
                <w:rFonts w:cs="Arial"/>
                <w:szCs w:val="19"/>
                <w:lang w:val="en-US"/>
              </w:rPr>
            </w:pPr>
            <w:r>
              <w:rPr>
                <w:rFonts w:cs="Arial"/>
                <w:szCs w:val="19"/>
                <w:lang w:val="en-US"/>
              </w:rPr>
              <w:t xml:space="preserve">Use </w:t>
            </w:r>
            <w:r w:rsidRPr="00764A5C">
              <w:rPr>
                <w:rFonts w:cs="Arial"/>
                <w:szCs w:val="19"/>
                <w:lang w:val="en-US"/>
              </w:rPr>
              <w:t>as monotherapy for the first</w:t>
            </w:r>
            <w:r w:rsidRPr="00764A5C">
              <w:rPr>
                <w:rFonts w:ascii="Cambria Math" w:hAnsi="Cambria Math" w:cs="Cambria Math"/>
                <w:szCs w:val="19"/>
                <w:lang w:val="en-US"/>
              </w:rPr>
              <w:t>‑</w:t>
            </w:r>
            <w:r w:rsidRPr="00764A5C">
              <w:rPr>
                <w:rFonts w:cs="Arial"/>
                <w:szCs w:val="19"/>
                <w:lang w:val="en-US"/>
              </w:rPr>
              <w:t>line treatment of adults with advanced non</w:t>
            </w:r>
            <w:r w:rsidRPr="00764A5C">
              <w:rPr>
                <w:rFonts w:ascii="Cambria Math" w:hAnsi="Cambria Math" w:cs="Cambria Math"/>
                <w:szCs w:val="19"/>
                <w:lang w:val="en-US"/>
              </w:rPr>
              <w:t>‑</w:t>
            </w:r>
            <w:r w:rsidRPr="00764A5C">
              <w:rPr>
                <w:rFonts w:cs="Arial"/>
                <w:szCs w:val="19"/>
                <w:lang w:val="en-US"/>
              </w:rPr>
              <w:t>small cell lung cancer (NSCLC) whose tumours have EGFR exon 19 deletions or exon 21 (L858R) substitution mutations and the treatment of adult</w:t>
            </w:r>
            <w:r>
              <w:rPr>
                <w:rFonts w:cs="Arial"/>
                <w:szCs w:val="19"/>
                <w:lang w:val="en-US"/>
              </w:rPr>
              <w:t>s</w:t>
            </w:r>
            <w:r w:rsidRPr="00764A5C">
              <w:rPr>
                <w:rFonts w:cs="Arial"/>
                <w:szCs w:val="19"/>
                <w:lang w:val="en-US"/>
              </w:rPr>
              <w:t xml:space="preserve"> with advanced EGFR T790M mutation</w:t>
            </w:r>
            <w:r w:rsidRPr="00764A5C">
              <w:rPr>
                <w:rFonts w:ascii="Cambria Math" w:hAnsi="Cambria Math" w:cs="Cambria Math"/>
                <w:szCs w:val="19"/>
                <w:lang w:val="en-US"/>
              </w:rPr>
              <w:t>‑</w:t>
            </w:r>
            <w:r w:rsidRPr="00764A5C">
              <w:rPr>
                <w:rFonts w:cs="Arial"/>
                <w:szCs w:val="19"/>
                <w:lang w:val="en-US"/>
              </w:rPr>
              <w:t>positive NSCLC</w:t>
            </w:r>
            <w:r>
              <w:rPr>
                <w:rFonts w:cs="Arial"/>
                <w:szCs w:val="19"/>
                <w:lang w:val="en-US"/>
              </w:rPr>
              <w:t xml:space="preserve"> </w:t>
            </w:r>
            <w:r w:rsidRPr="00391CBB">
              <w:rPr>
                <w:rFonts w:cs="Arial"/>
                <w:sz w:val="16"/>
                <w:szCs w:val="16"/>
                <w:lang w:val="en-US"/>
              </w:rPr>
              <w:t>[EU]</w:t>
            </w:r>
          </w:p>
        </w:tc>
      </w:tr>
      <w:tr w:rsidR="00722413" w14:paraId="63B76A52" w14:textId="77777777" w:rsidTr="00B15D78">
        <w:tc>
          <w:tcPr>
            <w:tcW w:w="1293" w:type="pct"/>
            <w:gridSpan w:val="2"/>
            <w:tcMar>
              <w:top w:w="57" w:type="dxa"/>
              <w:bottom w:w="57" w:type="dxa"/>
            </w:tcMar>
          </w:tcPr>
          <w:p w14:paraId="3A39E09B" w14:textId="0E0F796F" w:rsidR="00722413" w:rsidRPr="00272180" w:rsidRDefault="00722413" w:rsidP="00722413">
            <w:pPr>
              <w:rPr>
                <w:rFonts w:cs="Arial"/>
                <w:szCs w:val="19"/>
              </w:rPr>
            </w:pPr>
            <w:r w:rsidRPr="00DB0B24">
              <w:rPr>
                <w:rFonts w:cs="Arial"/>
                <w:szCs w:val="19"/>
              </w:rPr>
              <w:t>Depemokimab</w:t>
            </w:r>
            <w:r>
              <w:rPr>
                <w:rFonts w:cs="Arial"/>
                <w:szCs w:val="19"/>
              </w:rPr>
              <w:t xml:space="preserve"> (</w:t>
            </w:r>
            <w:r w:rsidRPr="00285D4D">
              <w:rPr>
                <w:rFonts w:cs="Arial"/>
                <w:i/>
                <w:iCs/>
                <w:szCs w:val="19"/>
              </w:rPr>
              <w:t>Exdensur</w:t>
            </w:r>
            <w:r>
              <w:rPr>
                <w:rFonts w:cs="Arial"/>
                <w:szCs w:val="19"/>
              </w:rPr>
              <w:t>)</w:t>
            </w:r>
          </w:p>
        </w:tc>
        <w:tc>
          <w:tcPr>
            <w:tcW w:w="3707" w:type="pct"/>
            <w:tcMar>
              <w:top w:w="57" w:type="dxa"/>
              <w:bottom w:w="57" w:type="dxa"/>
            </w:tcMar>
          </w:tcPr>
          <w:p w14:paraId="596A727F" w14:textId="5E08B20C" w:rsidR="00722413" w:rsidRDefault="00722413" w:rsidP="00722413">
            <w:pPr>
              <w:tabs>
                <w:tab w:val="center" w:pos="3152"/>
              </w:tabs>
              <w:rPr>
                <w:rFonts w:cs="Arial"/>
                <w:szCs w:val="19"/>
                <w:lang w:val="en-US"/>
              </w:rPr>
            </w:pPr>
            <w:r w:rsidRPr="0009391C">
              <w:rPr>
                <w:rFonts w:cs="Arial"/>
                <w:szCs w:val="19"/>
                <w:lang w:val="en-US"/>
              </w:rPr>
              <w:t xml:space="preserve">Use as add-on maintenance treatment for severe asthma with type 2 inflammation characterised by blood eosinophil count in adults and adolescents </w:t>
            </w:r>
            <w:r>
              <w:rPr>
                <w:rFonts w:cs="Arial"/>
                <w:szCs w:val="19"/>
                <w:lang w:val="en-US"/>
              </w:rPr>
              <w:t xml:space="preserve">aged </w:t>
            </w:r>
            <w:r w:rsidRPr="0009391C">
              <w:rPr>
                <w:rFonts w:cs="Arial"/>
                <w:szCs w:val="19"/>
                <w:lang w:val="en-US"/>
              </w:rPr>
              <w:t>12 years and older who are inadequately controlled despite high dose inhaled corticosteroids plus another asthma controller</w:t>
            </w:r>
            <w:r>
              <w:rPr>
                <w:rFonts w:cs="Arial"/>
                <w:szCs w:val="19"/>
                <w:lang w:val="en-US"/>
              </w:rPr>
              <w:t xml:space="preserve"> </w:t>
            </w:r>
            <w:r w:rsidRPr="00391CBB">
              <w:rPr>
                <w:rFonts w:cs="Arial"/>
                <w:sz w:val="16"/>
                <w:szCs w:val="16"/>
                <w:lang w:val="en-US"/>
              </w:rPr>
              <w:t>[EU]</w:t>
            </w:r>
          </w:p>
        </w:tc>
      </w:tr>
      <w:tr w:rsidR="00722413" w14:paraId="0AE5E99B" w14:textId="77777777" w:rsidTr="00B15D78">
        <w:tc>
          <w:tcPr>
            <w:tcW w:w="1293" w:type="pct"/>
            <w:gridSpan w:val="2"/>
            <w:tcMar>
              <w:top w:w="57" w:type="dxa"/>
              <w:bottom w:w="57" w:type="dxa"/>
            </w:tcMar>
          </w:tcPr>
          <w:p w14:paraId="0E76B31E" w14:textId="0DB2CEBA" w:rsidR="00722413" w:rsidRPr="006276AF" w:rsidRDefault="00722413" w:rsidP="00722413">
            <w:pPr>
              <w:rPr>
                <w:rFonts w:cs="Arial"/>
                <w:szCs w:val="19"/>
              </w:rPr>
            </w:pPr>
            <w:r w:rsidRPr="00DB0B24">
              <w:rPr>
                <w:rFonts w:cs="Arial"/>
                <w:szCs w:val="19"/>
              </w:rPr>
              <w:t>Depemokimab</w:t>
            </w:r>
            <w:r>
              <w:rPr>
                <w:rFonts w:cs="Arial"/>
                <w:szCs w:val="19"/>
              </w:rPr>
              <w:t xml:space="preserve"> (</w:t>
            </w:r>
            <w:r w:rsidRPr="00285D4D">
              <w:rPr>
                <w:rFonts w:cs="Arial"/>
                <w:i/>
                <w:iCs/>
                <w:szCs w:val="19"/>
              </w:rPr>
              <w:t>Exdensur</w:t>
            </w:r>
            <w:r>
              <w:rPr>
                <w:rFonts w:cs="Arial"/>
                <w:szCs w:val="19"/>
              </w:rPr>
              <w:t>)</w:t>
            </w:r>
          </w:p>
        </w:tc>
        <w:tc>
          <w:tcPr>
            <w:tcW w:w="3707" w:type="pct"/>
            <w:tcMar>
              <w:top w:w="57" w:type="dxa"/>
              <w:bottom w:w="57" w:type="dxa"/>
            </w:tcMar>
          </w:tcPr>
          <w:p w14:paraId="7AC24BE1" w14:textId="5DE63725" w:rsidR="00722413" w:rsidRDefault="00722413" w:rsidP="00722413">
            <w:pPr>
              <w:tabs>
                <w:tab w:val="center" w:pos="3152"/>
              </w:tabs>
              <w:rPr>
                <w:rFonts w:cs="Arial"/>
                <w:szCs w:val="19"/>
                <w:lang w:val="en-US"/>
              </w:rPr>
            </w:pPr>
            <w:r w:rsidRPr="006B3EA7">
              <w:rPr>
                <w:rFonts w:cs="Arial"/>
                <w:szCs w:val="19"/>
                <w:lang w:val="en-US"/>
              </w:rPr>
              <w:t>Use a</w:t>
            </w:r>
            <w:r>
              <w:rPr>
                <w:rFonts w:cs="Arial"/>
                <w:szCs w:val="19"/>
                <w:lang w:val="en-US"/>
              </w:rPr>
              <w:t>s</w:t>
            </w:r>
            <w:r w:rsidRPr="006B3EA7">
              <w:rPr>
                <w:rFonts w:cs="Arial"/>
                <w:szCs w:val="19"/>
                <w:lang w:val="en-US"/>
              </w:rPr>
              <w:t xml:space="preserve"> an add-on therapy with intranasal corticosteroids for the treatment of adults with severe </w:t>
            </w:r>
            <w:r w:rsidRPr="005D668F">
              <w:rPr>
                <w:rFonts w:cs="Arial"/>
                <w:szCs w:val="19"/>
              </w:rPr>
              <w:t>chronic rhinosinusitis with nasal polyps </w:t>
            </w:r>
            <w:r w:rsidRPr="006B3EA7">
              <w:rPr>
                <w:rFonts w:cs="Arial"/>
                <w:szCs w:val="19"/>
                <w:lang w:val="en-US"/>
              </w:rPr>
              <w:t>for whom therapy with systemic corticosteroids and/or surgery do not provide adequate disease control</w:t>
            </w:r>
            <w:r>
              <w:rPr>
                <w:rFonts w:cs="Arial"/>
                <w:szCs w:val="19"/>
                <w:lang w:val="en-US"/>
              </w:rPr>
              <w:t xml:space="preserve"> </w:t>
            </w:r>
            <w:r w:rsidRPr="00391CBB">
              <w:rPr>
                <w:rFonts w:cs="Arial"/>
                <w:sz w:val="16"/>
                <w:szCs w:val="16"/>
                <w:lang w:val="en-US"/>
              </w:rPr>
              <w:t>[EU]</w:t>
            </w:r>
          </w:p>
        </w:tc>
      </w:tr>
      <w:tr w:rsidR="00722413" w14:paraId="0E600716" w14:textId="77777777" w:rsidTr="00B15D78">
        <w:tc>
          <w:tcPr>
            <w:tcW w:w="1293" w:type="pct"/>
            <w:gridSpan w:val="2"/>
            <w:tcMar>
              <w:top w:w="57" w:type="dxa"/>
              <w:bottom w:w="57" w:type="dxa"/>
            </w:tcMar>
          </w:tcPr>
          <w:p w14:paraId="6284710C" w14:textId="72009B95" w:rsidR="00722413" w:rsidRPr="00CB2473" w:rsidRDefault="00722413" w:rsidP="00722413">
            <w:pPr>
              <w:rPr>
                <w:rFonts w:cs="Arial"/>
                <w:szCs w:val="19"/>
              </w:rPr>
            </w:pPr>
            <w:r>
              <w:rPr>
                <w:rFonts w:cs="Arial"/>
                <w:szCs w:val="19"/>
              </w:rPr>
              <w:t>Golimumab (</w:t>
            </w:r>
            <w:r>
              <w:rPr>
                <w:rFonts w:cs="Arial"/>
                <w:i/>
                <w:iCs/>
                <w:szCs w:val="19"/>
              </w:rPr>
              <w:t>Gotenfia</w:t>
            </w:r>
            <w:r>
              <w:rPr>
                <w:rFonts w:cs="Arial"/>
                <w:szCs w:val="19"/>
              </w:rPr>
              <w:t>)</w:t>
            </w:r>
          </w:p>
        </w:tc>
        <w:tc>
          <w:tcPr>
            <w:tcW w:w="3707" w:type="pct"/>
            <w:tcMar>
              <w:top w:w="57" w:type="dxa"/>
              <w:bottom w:w="57" w:type="dxa"/>
            </w:tcMar>
          </w:tcPr>
          <w:p w14:paraId="0DF1C004" w14:textId="49FF9D8B" w:rsidR="00722413" w:rsidRPr="00B04442" w:rsidRDefault="00722413" w:rsidP="00722413">
            <w:pPr>
              <w:tabs>
                <w:tab w:val="num" w:pos="720"/>
                <w:tab w:val="center" w:pos="3152"/>
              </w:tabs>
              <w:rPr>
                <w:rFonts w:cs="Arial"/>
                <w:szCs w:val="19"/>
                <w:highlight w:val="yellow"/>
                <w:lang w:val="en-US"/>
              </w:rPr>
            </w:pPr>
            <w:r w:rsidRPr="00037F62">
              <w:rPr>
                <w:rFonts w:cs="Arial"/>
                <w:szCs w:val="19"/>
                <w:lang w:val="en-US"/>
              </w:rPr>
              <w:t xml:space="preserve">Use in combination with methotrexate (MTX) for the treatment of moderate to severe, active rheumatoid </w:t>
            </w:r>
            <w:r w:rsidRPr="00CE18D7">
              <w:rPr>
                <w:rFonts w:cs="Arial"/>
                <w:szCs w:val="19"/>
                <w:lang w:val="en-US"/>
              </w:rPr>
              <w:t xml:space="preserve">arthritis (RA) in adults when the response to disease-modifying anti-rheumatic drug (DMARD) therapy including MTX has been inadequate; treatment of severe, active and progressive RA in adults not previously treated with MTX; use in combination with MTX for the treatment of polyarticular juvenile idiopathic arthritis in children aged 2 years and older, who have responded inadequately to previous therapy with MTX; use alone or in combination with </w:t>
            </w:r>
            <w:r w:rsidRPr="00815E08">
              <w:rPr>
                <w:rFonts w:cs="Arial"/>
                <w:szCs w:val="19"/>
                <w:lang w:val="en-US"/>
              </w:rPr>
              <w:t>MTX, for the treatment of active and progressive psoriatic arthritis in adults when the response to previous DMARD therapy has been inadequate; treatment of severe</w:t>
            </w:r>
            <w:r w:rsidRPr="00C05F1C">
              <w:rPr>
                <w:rFonts w:cs="Arial"/>
                <w:szCs w:val="19"/>
                <w:lang w:val="en-US"/>
              </w:rPr>
              <w:t xml:space="preserve">, active ankylosing spondylitis in adults who have responded inadequately to conventional therapy; treatment of adults with severe, active non-radiographic axial spondyloarthritis with objective signs of inflammation as </w:t>
            </w:r>
            <w:r w:rsidRPr="00467719">
              <w:rPr>
                <w:rFonts w:cs="Arial"/>
                <w:szCs w:val="19"/>
                <w:lang w:val="en-US"/>
              </w:rPr>
              <w:t xml:space="preserve">indicated by elevated C-reactive protein and/or magnetic resonance imaging evidence, who have had an inadequate response to, or are intolerant to nonsteroidal anti-inflammatory drugs and for treatment of moderately to severely active ulcerative colitis in adults who have had an inadequate response to conventional therapy including corticosteroids and 6-mercaptopurine or azathioprine, or who are intolerant to or have medical contraindications for such therapies </w:t>
            </w:r>
            <w:r w:rsidRPr="00467719">
              <w:rPr>
                <w:rFonts w:cs="Arial"/>
                <w:sz w:val="16"/>
                <w:szCs w:val="16"/>
                <w:lang w:val="en-US"/>
              </w:rPr>
              <w:t>[EU]</w:t>
            </w:r>
          </w:p>
        </w:tc>
      </w:tr>
      <w:tr w:rsidR="00722413" w14:paraId="2DE7F7EE" w14:textId="77777777" w:rsidTr="00B15D78">
        <w:tc>
          <w:tcPr>
            <w:tcW w:w="1293" w:type="pct"/>
            <w:gridSpan w:val="2"/>
            <w:tcMar>
              <w:top w:w="57" w:type="dxa"/>
              <w:bottom w:w="57" w:type="dxa"/>
            </w:tcMar>
          </w:tcPr>
          <w:p w14:paraId="1D123318" w14:textId="782281F2" w:rsidR="00722413" w:rsidRPr="00783E63" w:rsidRDefault="00722413" w:rsidP="00722413">
            <w:pPr>
              <w:rPr>
                <w:rFonts w:cs="Arial"/>
                <w:szCs w:val="19"/>
              </w:rPr>
            </w:pPr>
            <w:r>
              <w:rPr>
                <w:rFonts w:cs="Arial"/>
                <w:szCs w:val="19"/>
              </w:rPr>
              <w:t>Golimumab (</w:t>
            </w:r>
            <w:r>
              <w:rPr>
                <w:rFonts w:cs="Arial"/>
                <w:i/>
                <w:iCs/>
                <w:szCs w:val="19"/>
              </w:rPr>
              <w:t>Simponi</w:t>
            </w:r>
            <w:r>
              <w:rPr>
                <w:rFonts w:cs="Arial"/>
                <w:szCs w:val="19"/>
              </w:rPr>
              <w:t>)</w:t>
            </w:r>
          </w:p>
        </w:tc>
        <w:tc>
          <w:tcPr>
            <w:tcW w:w="3707" w:type="pct"/>
            <w:tcMar>
              <w:top w:w="57" w:type="dxa"/>
              <w:bottom w:w="57" w:type="dxa"/>
            </w:tcMar>
          </w:tcPr>
          <w:p w14:paraId="5E3EE51A" w14:textId="75CB9D28" w:rsidR="00722413" w:rsidRDefault="00722413" w:rsidP="00722413">
            <w:pPr>
              <w:tabs>
                <w:tab w:val="num" w:pos="720"/>
                <w:tab w:val="center" w:pos="3152"/>
              </w:tabs>
              <w:rPr>
                <w:rFonts w:cs="Arial"/>
                <w:szCs w:val="19"/>
                <w:lang w:val="en-US"/>
              </w:rPr>
            </w:pPr>
            <w:r w:rsidRPr="00C3651B">
              <w:rPr>
                <w:rFonts w:cs="Arial"/>
                <w:szCs w:val="19"/>
                <w:lang w:val="en-US"/>
              </w:rPr>
              <w:t xml:space="preserve">Treatment of moderately to severely active ulcerative colitis in paediatric patients </w:t>
            </w:r>
            <w:r>
              <w:rPr>
                <w:rFonts w:cs="Arial"/>
                <w:szCs w:val="19"/>
                <w:lang w:val="en-US"/>
              </w:rPr>
              <w:t xml:space="preserve">aged </w:t>
            </w:r>
            <w:r w:rsidRPr="00C3651B">
              <w:rPr>
                <w:rFonts w:cs="Arial"/>
                <w:szCs w:val="19"/>
                <w:lang w:val="en-US"/>
              </w:rPr>
              <w:t>2 years and older with a body weight of at least 15kg, who have had an inadequate response to conventional therapy, including corticosteroids and 6</w:t>
            </w:r>
            <w:r w:rsidRPr="00C3651B">
              <w:rPr>
                <w:rFonts w:ascii="Cambria Math" w:hAnsi="Cambria Math" w:cs="Cambria Math"/>
                <w:szCs w:val="19"/>
                <w:lang w:val="en-US"/>
              </w:rPr>
              <w:t>‑</w:t>
            </w:r>
            <w:r w:rsidRPr="00C3651B">
              <w:rPr>
                <w:rFonts w:cs="Arial"/>
                <w:szCs w:val="19"/>
                <w:lang w:val="en-US"/>
              </w:rPr>
              <w:t>mercaptopurine or azathioprine, or who are intolerant to or have medical contraindications for such therapies</w:t>
            </w:r>
            <w:r>
              <w:rPr>
                <w:rFonts w:cs="Arial"/>
                <w:szCs w:val="19"/>
                <w:lang w:val="en-US"/>
              </w:rPr>
              <w:t xml:space="preserve"> </w:t>
            </w:r>
            <w:r w:rsidRPr="009E01D1">
              <w:rPr>
                <w:rFonts w:cs="Arial"/>
                <w:sz w:val="16"/>
                <w:szCs w:val="16"/>
                <w:lang w:val="en-US"/>
              </w:rPr>
              <w:t>[EU]</w:t>
            </w:r>
            <w:r>
              <w:rPr>
                <w:rFonts w:cs="Arial"/>
                <w:sz w:val="16"/>
                <w:szCs w:val="16"/>
                <w:lang w:val="en-US"/>
              </w:rPr>
              <w:t xml:space="preserve"> [new indication]</w:t>
            </w:r>
          </w:p>
        </w:tc>
      </w:tr>
      <w:tr w:rsidR="00722413" w14:paraId="7710FC6E" w14:textId="77777777" w:rsidTr="00B15D78">
        <w:tc>
          <w:tcPr>
            <w:tcW w:w="1293" w:type="pct"/>
            <w:gridSpan w:val="2"/>
            <w:tcMar>
              <w:top w:w="57" w:type="dxa"/>
              <w:bottom w:w="57" w:type="dxa"/>
            </w:tcMar>
          </w:tcPr>
          <w:p w14:paraId="14FCA239" w14:textId="3E4626A3" w:rsidR="00722413" w:rsidRPr="002618A3" w:rsidRDefault="00722413" w:rsidP="00722413">
            <w:pPr>
              <w:rPr>
                <w:rFonts w:cs="Arial"/>
                <w:szCs w:val="19"/>
              </w:rPr>
            </w:pPr>
            <w:r w:rsidRPr="00485187">
              <w:rPr>
                <w:rFonts w:cs="Arial"/>
                <w:szCs w:val="19"/>
              </w:rPr>
              <w:t>Inebilizumab (</w:t>
            </w:r>
            <w:r w:rsidRPr="00485187">
              <w:rPr>
                <w:rFonts w:cs="Arial"/>
                <w:i/>
                <w:iCs/>
                <w:szCs w:val="19"/>
              </w:rPr>
              <w:t>Uplizna</w:t>
            </w:r>
            <w:r w:rsidRPr="00485187">
              <w:rPr>
                <w:rFonts w:cs="Arial"/>
                <w:szCs w:val="19"/>
              </w:rPr>
              <w:t>)</w:t>
            </w:r>
          </w:p>
        </w:tc>
        <w:tc>
          <w:tcPr>
            <w:tcW w:w="3707" w:type="pct"/>
            <w:tcMar>
              <w:top w:w="57" w:type="dxa"/>
              <w:bottom w:w="57" w:type="dxa"/>
            </w:tcMar>
          </w:tcPr>
          <w:p w14:paraId="3AE82645" w14:textId="085DDDC9" w:rsidR="00722413" w:rsidRDefault="00722413" w:rsidP="00722413">
            <w:pPr>
              <w:tabs>
                <w:tab w:val="num" w:pos="720"/>
                <w:tab w:val="center" w:pos="3152"/>
              </w:tabs>
              <w:rPr>
                <w:rFonts w:cs="Arial"/>
                <w:szCs w:val="19"/>
                <w:lang w:val="en-US"/>
              </w:rPr>
            </w:pPr>
            <w:r>
              <w:rPr>
                <w:rFonts w:cs="Arial"/>
                <w:szCs w:val="19"/>
                <w:lang w:val="en-US"/>
              </w:rPr>
              <w:t xml:space="preserve">Use </w:t>
            </w:r>
            <w:r w:rsidRPr="00611A4A">
              <w:rPr>
                <w:rFonts w:cs="Arial"/>
                <w:szCs w:val="19"/>
                <w:lang w:val="en-US"/>
              </w:rPr>
              <w:t>as an add-on to standard therapy for the treatment of g</w:t>
            </w:r>
            <w:r>
              <w:rPr>
                <w:rFonts w:cs="Arial"/>
                <w:szCs w:val="19"/>
                <w:lang w:val="en-US"/>
              </w:rPr>
              <w:t>eneralised myasthenia gravis</w:t>
            </w:r>
            <w:r w:rsidRPr="00611A4A">
              <w:rPr>
                <w:rFonts w:cs="Arial"/>
                <w:szCs w:val="19"/>
                <w:lang w:val="en-US"/>
              </w:rPr>
              <w:t xml:space="preserve"> in adults who are anti-acetylcholine </w:t>
            </w:r>
            <w:proofErr w:type="gramStart"/>
            <w:r w:rsidRPr="00611A4A">
              <w:rPr>
                <w:rFonts w:cs="Arial"/>
                <w:szCs w:val="19"/>
                <w:lang w:val="en-US"/>
              </w:rPr>
              <w:t>receptor</w:t>
            </w:r>
            <w:proofErr w:type="gramEnd"/>
            <w:r w:rsidRPr="00611A4A">
              <w:rPr>
                <w:rFonts w:cs="Arial"/>
                <w:szCs w:val="19"/>
                <w:lang w:val="en-US"/>
              </w:rPr>
              <w:t xml:space="preserve"> or anti-muscle-specific tyrosine kinase antibody positive</w:t>
            </w:r>
            <w:r>
              <w:rPr>
                <w:rFonts w:cs="Arial"/>
                <w:szCs w:val="19"/>
                <w:lang w:val="en-US"/>
              </w:rPr>
              <w:t xml:space="preserve"> </w:t>
            </w:r>
            <w:r w:rsidRPr="00611A4A">
              <w:rPr>
                <w:rFonts w:cs="Arial"/>
                <w:sz w:val="16"/>
                <w:szCs w:val="16"/>
                <w:lang w:val="en-US"/>
              </w:rPr>
              <w:t>[EU]</w:t>
            </w:r>
          </w:p>
        </w:tc>
      </w:tr>
      <w:tr w:rsidR="00B15D78" w14:paraId="7D32915E" w14:textId="77777777" w:rsidTr="00B15D78">
        <w:tc>
          <w:tcPr>
            <w:tcW w:w="1293" w:type="pct"/>
            <w:gridSpan w:val="2"/>
            <w:tcMar>
              <w:top w:w="57" w:type="dxa"/>
              <w:bottom w:w="57" w:type="dxa"/>
            </w:tcMar>
          </w:tcPr>
          <w:p w14:paraId="38C23A6C" w14:textId="06AA403E" w:rsidR="00B15D78" w:rsidRPr="00485187" w:rsidRDefault="00B15D78" w:rsidP="00B15D78">
            <w:pPr>
              <w:rPr>
                <w:rFonts w:cs="Arial"/>
                <w:szCs w:val="19"/>
              </w:rPr>
            </w:pPr>
            <w:r>
              <w:rPr>
                <w:rFonts w:cs="Arial"/>
                <w:szCs w:val="19"/>
              </w:rPr>
              <w:t>Mepolizumab (</w:t>
            </w:r>
            <w:r>
              <w:rPr>
                <w:rFonts w:cs="Arial"/>
                <w:i/>
                <w:iCs/>
                <w:szCs w:val="19"/>
              </w:rPr>
              <w:t>Nucala</w:t>
            </w:r>
            <w:r>
              <w:rPr>
                <w:rFonts w:cs="Arial"/>
                <w:szCs w:val="19"/>
              </w:rPr>
              <w:t>)</w:t>
            </w:r>
          </w:p>
        </w:tc>
        <w:tc>
          <w:tcPr>
            <w:tcW w:w="3707" w:type="pct"/>
            <w:tcMar>
              <w:top w:w="57" w:type="dxa"/>
              <w:bottom w:w="57" w:type="dxa"/>
            </w:tcMar>
          </w:tcPr>
          <w:p w14:paraId="0E480D4A" w14:textId="612C08DF" w:rsidR="00B15D78" w:rsidRDefault="00B15D78" w:rsidP="00B15D78">
            <w:pPr>
              <w:tabs>
                <w:tab w:val="num" w:pos="720"/>
                <w:tab w:val="center" w:pos="3152"/>
              </w:tabs>
              <w:rPr>
                <w:rFonts w:cs="Arial"/>
                <w:szCs w:val="19"/>
                <w:lang w:val="en-US"/>
              </w:rPr>
            </w:pPr>
            <w:r>
              <w:rPr>
                <w:rFonts w:cs="Arial"/>
                <w:szCs w:val="19"/>
                <w:lang w:val="en-US"/>
              </w:rPr>
              <w:t xml:space="preserve">Use </w:t>
            </w:r>
            <w:r w:rsidRPr="00C26F36">
              <w:rPr>
                <w:rFonts w:cs="Arial"/>
                <w:szCs w:val="19"/>
                <w:lang w:val="en-US"/>
              </w:rPr>
              <w:t>as an add-on maintenance treatment for uncontrolled chronic obstructive pulmonary disease characterised by raised blood eosinophils on a combination of an inhaled corticosteroid, a long-acting beta2-agonist, and a long-acting muscarinic antagonist</w:t>
            </w:r>
            <w:r>
              <w:rPr>
                <w:rFonts w:cs="Arial"/>
                <w:szCs w:val="19"/>
                <w:lang w:val="en-US"/>
              </w:rPr>
              <w:t xml:space="preserve"> </w:t>
            </w:r>
            <w:r w:rsidRPr="00C26F36">
              <w:rPr>
                <w:rFonts w:cs="Arial"/>
                <w:sz w:val="16"/>
                <w:szCs w:val="16"/>
                <w:lang w:val="en-US"/>
              </w:rPr>
              <w:t>[EU]</w:t>
            </w:r>
          </w:p>
        </w:tc>
      </w:tr>
      <w:tr w:rsidR="00B15D78" w14:paraId="3C5F2230" w14:textId="77777777" w:rsidTr="00B15D78">
        <w:tc>
          <w:tcPr>
            <w:tcW w:w="1293" w:type="pct"/>
            <w:gridSpan w:val="2"/>
            <w:tcMar>
              <w:top w:w="57" w:type="dxa"/>
              <w:bottom w:w="57" w:type="dxa"/>
            </w:tcMar>
          </w:tcPr>
          <w:p w14:paraId="715D376A" w14:textId="77777777" w:rsidR="00B15D78" w:rsidRDefault="00B15D78" w:rsidP="00B15D78">
            <w:pPr>
              <w:rPr>
                <w:rFonts w:cs="Arial"/>
                <w:szCs w:val="19"/>
              </w:rPr>
            </w:pPr>
            <w:r w:rsidRPr="001D2ACD">
              <w:rPr>
                <w:rFonts w:cs="Arial"/>
                <w:szCs w:val="19"/>
              </w:rPr>
              <w:t xml:space="preserve">mRNA-1283 </w:t>
            </w:r>
          </w:p>
          <w:p w14:paraId="17FFB9EA" w14:textId="2023C6A2" w:rsidR="00B15D78" w:rsidRPr="00485187" w:rsidRDefault="00B15D78" w:rsidP="00B15D78">
            <w:pPr>
              <w:rPr>
                <w:rFonts w:cs="Arial"/>
                <w:szCs w:val="19"/>
              </w:rPr>
            </w:pPr>
            <w:r w:rsidRPr="001D2ACD">
              <w:rPr>
                <w:rFonts w:cs="Arial"/>
                <w:szCs w:val="19"/>
              </w:rPr>
              <w:t>(</w:t>
            </w:r>
            <w:r w:rsidRPr="001D2ACD">
              <w:rPr>
                <w:rFonts w:cs="Arial"/>
                <w:i/>
                <w:iCs/>
                <w:szCs w:val="19"/>
              </w:rPr>
              <w:t>mNEXSPIKE LP.8.1</w:t>
            </w:r>
            <w:r w:rsidRPr="001D2ACD">
              <w:rPr>
                <w:rFonts w:cs="Arial"/>
                <w:szCs w:val="19"/>
              </w:rPr>
              <w:t>)</w:t>
            </w:r>
          </w:p>
        </w:tc>
        <w:tc>
          <w:tcPr>
            <w:tcW w:w="3707" w:type="pct"/>
            <w:tcMar>
              <w:top w:w="57" w:type="dxa"/>
              <w:bottom w:w="57" w:type="dxa"/>
            </w:tcMar>
          </w:tcPr>
          <w:p w14:paraId="488BF5BD" w14:textId="58C27851" w:rsidR="00B15D78" w:rsidRDefault="00B15D78" w:rsidP="00B15D78">
            <w:pPr>
              <w:tabs>
                <w:tab w:val="num" w:pos="720"/>
                <w:tab w:val="center" w:pos="3152"/>
              </w:tabs>
              <w:rPr>
                <w:rFonts w:cs="Arial"/>
                <w:szCs w:val="19"/>
                <w:lang w:val="en-US"/>
              </w:rPr>
            </w:pPr>
            <w:r w:rsidRPr="00D12599">
              <w:rPr>
                <w:rFonts w:cs="Arial"/>
                <w:szCs w:val="19"/>
                <w:lang w:val="en-US"/>
              </w:rPr>
              <w:t xml:space="preserve">Active immunisation to prevent COVID-19 caused by SARS-CoV-2 in individuals </w:t>
            </w:r>
            <w:r>
              <w:rPr>
                <w:rFonts w:cs="Arial"/>
                <w:szCs w:val="19"/>
                <w:lang w:val="en-US"/>
              </w:rPr>
              <w:t xml:space="preserve">aged </w:t>
            </w:r>
            <w:r w:rsidRPr="00D12599">
              <w:rPr>
                <w:rFonts w:cs="Arial"/>
                <w:szCs w:val="19"/>
                <w:lang w:val="en-US"/>
              </w:rPr>
              <w:t>12 years and older</w:t>
            </w:r>
            <w:r>
              <w:rPr>
                <w:rFonts w:cs="Arial"/>
                <w:szCs w:val="19"/>
                <w:lang w:val="en-US"/>
              </w:rPr>
              <w:t xml:space="preserve"> </w:t>
            </w:r>
            <w:r w:rsidRPr="00C26F36">
              <w:rPr>
                <w:rFonts w:cs="Arial"/>
                <w:sz w:val="16"/>
                <w:szCs w:val="16"/>
                <w:lang w:val="en-US"/>
              </w:rPr>
              <w:t>[EU]</w:t>
            </w:r>
          </w:p>
        </w:tc>
      </w:tr>
      <w:tr w:rsidR="00B15D78" w14:paraId="634B4316" w14:textId="77777777" w:rsidTr="00B15D78">
        <w:tc>
          <w:tcPr>
            <w:tcW w:w="1293" w:type="pct"/>
            <w:gridSpan w:val="2"/>
            <w:tcMar>
              <w:top w:w="57" w:type="dxa"/>
              <w:bottom w:w="57" w:type="dxa"/>
            </w:tcMar>
          </w:tcPr>
          <w:p w14:paraId="33D7A571" w14:textId="6F3DB76C" w:rsidR="00B15D78" w:rsidRPr="001D2ACD" w:rsidRDefault="00B15D78" w:rsidP="00B15D78">
            <w:pPr>
              <w:rPr>
                <w:rFonts w:cs="Arial"/>
                <w:szCs w:val="19"/>
              </w:rPr>
            </w:pPr>
            <w:r w:rsidRPr="00D82FEB">
              <w:rPr>
                <w:rFonts w:cs="Arial"/>
                <w:szCs w:val="19"/>
              </w:rPr>
              <w:t>Nogapendekin alfa inbakicept</w:t>
            </w:r>
            <w:r>
              <w:rPr>
                <w:rFonts w:cs="Arial"/>
                <w:szCs w:val="19"/>
              </w:rPr>
              <w:t xml:space="preserve"> (</w:t>
            </w:r>
            <w:r>
              <w:rPr>
                <w:rFonts w:cs="Arial"/>
                <w:i/>
                <w:iCs/>
                <w:szCs w:val="19"/>
              </w:rPr>
              <w:t>Anktiva</w:t>
            </w:r>
            <w:r>
              <w:rPr>
                <w:rFonts w:cs="Arial"/>
                <w:szCs w:val="19"/>
              </w:rPr>
              <w:t>)</w:t>
            </w:r>
          </w:p>
        </w:tc>
        <w:tc>
          <w:tcPr>
            <w:tcW w:w="3707" w:type="pct"/>
            <w:tcMar>
              <w:top w:w="57" w:type="dxa"/>
              <w:bottom w:w="57" w:type="dxa"/>
            </w:tcMar>
          </w:tcPr>
          <w:p w14:paraId="72F2AFB2" w14:textId="37C61917" w:rsidR="00B15D78" w:rsidRPr="00D12599" w:rsidRDefault="00B15D78" w:rsidP="00B15D78">
            <w:pPr>
              <w:tabs>
                <w:tab w:val="num" w:pos="720"/>
                <w:tab w:val="center" w:pos="3152"/>
              </w:tabs>
              <w:rPr>
                <w:rFonts w:cs="Arial"/>
                <w:szCs w:val="19"/>
                <w:lang w:val="en-US"/>
              </w:rPr>
            </w:pPr>
            <w:r w:rsidRPr="00837524">
              <w:rPr>
                <w:rFonts w:cs="Arial"/>
                <w:szCs w:val="19"/>
                <w:lang w:val="en-US"/>
              </w:rPr>
              <w:t>Treatment of adults with BCG-unresponsive non-muscle invasive bladder cancer with carcinoma in situ with or without papillary tumours</w:t>
            </w:r>
            <w:r>
              <w:rPr>
                <w:rFonts w:cs="Arial"/>
                <w:szCs w:val="19"/>
                <w:lang w:val="en-US"/>
              </w:rPr>
              <w:t xml:space="preserve"> </w:t>
            </w:r>
            <w:r w:rsidRPr="00C26F36">
              <w:rPr>
                <w:rFonts w:cs="Arial"/>
                <w:sz w:val="16"/>
                <w:szCs w:val="16"/>
                <w:lang w:val="en-US"/>
              </w:rPr>
              <w:t>[EU]</w:t>
            </w:r>
          </w:p>
        </w:tc>
      </w:tr>
      <w:tr w:rsidR="00B15D78" w:rsidRPr="000F19E1" w14:paraId="7D0BFF4F" w14:textId="77777777" w:rsidTr="00B15D78">
        <w:tc>
          <w:tcPr>
            <w:tcW w:w="1293" w:type="pct"/>
            <w:gridSpan w:val="2"/>
            <w:tcMar>
              <w:top w:w="0" w:type="dxa"/>
              <w:bottom w:w="0" w:type="dxa"/>
            </w:tcMar>
          </w:tcPr>
          <w:p w14:paraId="61B10038" w14:textId="77777777" w:rsidR="00B15D78" w:rsidRPr="000F19E1" w:rsidRDefault="00B15D78" w:rsidP="00B15D78">
            <w:pPr>
              <w:rPr>
                <w:rFonts w:cs="Arial"/>
                <w:bCs/>
                <w:sz w:val="8"/>
                <w:szCs w:val="8"/>
              </w:rPr>
            </w:pPr>
          </w:p>
        </w:tc>
        <w:tc>
          <w:tcPr>
            <w:tcW w:w="3707" w:type="pct"/>
            <w:tcMar>
              <w:top w:w="0" w:type="dxa"/>
              <w:bottom w:w="0" w:type="dxa"/>
            </w:tcMar>
          </w:tcPr>
          <w:p w14:paraId="5E6252B6" w14:textId="77777777" w:rsidR="00B15D78" w:rsidRPr="000F19E1" w:rsidRDefault="00B15D78" w:rsidP="00B15D78">
            <w:pPr>
              <w:tabs>
                <w:tab w:val="center" w:pos="3152"/>
              </w:tabs>
              <w:rPr>
                <w:rFonts w:cs="Arial"/>
                <w:sz w:val="8"/>
                <w:szCs w:val="8"/>
                <w:lang w:val="en-US"/>
              </w:rPr>
            </w:pPr>
          </w:p>
        </w:tc>
      </w:tr>
      <w:tr w:rsidR="00B15D78" w:rsidRPr="000F19E1" w14:paraId="13175F0C" w14:textId="77777777" w:rsidTr="00D6452A">
        <w:tc>
          <w:tcPr>
            <w:tcW w:w="1152" w:type="pct"/>
            <w:shd w:val="clear" w:color="auto" w:fill="DAEEF3"/>
            <w:tcMar>
              <w:top w:w="0" w:type="dxa"/>
              <w:bottom w:w="0" w:type="dxa"/>
            </w:tcMar>
          </w:tcPr>
          <w:p w14:paraId="504E68D1" w14:textId="77777777" w:rsidR="00B15D78" w:rsidRPr="000F19E1" w:rsidRDefault="00B15D78" w:rsidP="00B15D78">
            <w:pPr>
              <w:rPr>
                <w:rFonts w:cs="Arial"/>
                <w:bCs/>
                <w:sz w:val="8"/>
                <w:szCs w:val="8"/>
              </w:rPr>
            </w:pPr>
          </w:p>
        </w:tc>
        <w:tc>
          <w:tcPr>
            <w:tcW w:w="3848" w:type="pct"/>
            <w:gridSpan w:val="2"/>
            <w:shd w:val="clear" w:color="auto" w:fill="DAEEF3"/>
            <w:tcMar>
              <w:top w:w="0" w:type="dxa"/>
              <w:bottom w:w="0" w:type="dxa"/>
            </w:tcMar>
          </w:tcPr>
          <w:p w14:paraId="6B180226" w14:textId="77777777" w:rsidR="00B15D78" w:rsidRPr="000F19E1" w:rsidRDefault="00B15D78" w:rsidP="00B15D78">
            <w:pPr>
              <w:tabs>
                <w:tab w:val="center" w:pos="3152"/>
              </w:tabs>
              <w:rPr>
                <w:rFonts w:cs="Arial"/>
                <w:sz w:val="8"/>
                <w:szCs w:val="8"/>
                <w:lang w:val="en-US"/>
              </w:rPr>
            </w:pPr>
          </w:p>
        </w:tc>
      </w:tr>
    </w:tbl>
    <w:p w14:paraId="02A610ED" w14:textId="77777777" w:rsidR="0048777D" w:rsidRDefault="0048777D"/>
    <w:p w14:paraId="37E4051A" w14:textId="77777777" w:rsidR="0048777D" w:rsidRDefault="0048777D">
      <w:r>
        <w:br w:type="page"/>
      </w:r>
    </w:p>
    <w:p w14:paraId="41A48858" w14:textId="77777777" w:rsidR="0048777D" w:rsidRDefault="0048777D"/>
    <w:p w14:paraId="600F76E7" w14:textId="77777777" w:rsidR="00CB5BC1" w:rsidRDefault="00CB5BC1"/>
    <w:tbl>
      <w:tblPr>
        <w:tblW w:w="5170" w:type="pct"/>
        <w:tblInd w:w="-176" w:type="dxa"/>
        <w:tblLayout w:type="fixed"/>
        <w:tblLook w:val="01E0" w:firstRow="1" w:lastRow="1" w:firstColumn="1" w:lastColumn="1" w:noHBand="0" w:noVBand="0"/>
      </w:tblPr>
      <w:tblGrid>
        <w:gridCol w:w="2431"/>
        <w:gridCol w:w="154"/>
        <w:gridCol w:w="7966"/>
      </w:tblGrid>
      <w:tr w:rsidR="0021490D" w:rsidRPr="00862949" w14:paraId="681FDBF7" w14:textId="77777777" w:rsidTr="00D6452A">
        <w:tc>
          <w:tcPr>
            <w:tcW w:w="5000" w:type="pct"/>
            <w:gridSpan w:val="3"/>
            <w:shd w:val="clear" w:color="auto" w:fill="0070C0"/>
            <w:tcMar>
              <w:top w:w="85" w:type="dxa"/>
              <w:bottom w:w="85" w:type="dxa"/>
            </w:tcMar>
            <w:vAlign w:val="bottom"/>
          </w:tcPr>
          <w:p w14:paraId="4C515B14" w14:textId="77777777" w:rsidR="0021490D" w:rsidRPr="00862949" w:rsidRDefault="0021490D" w:rsidP="00D6452A">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1C3A55" w:rsidRPr="000F19E1" w14:paraId="48181B47" w14:textId="77777777" w:rsidTr="00155BD9">
        <w:tc>
          <w:tcPr>
            <w:tcW w:w="1152" w:type="pct"/>
            <w:shd w:val="clear" w:color="auto" w:fill="DAEEF3"/>
            <w:tcMar>
              <w:top w:w="0" w:type="dxa"/>
              <w:bottom w:w="0" w:type="dxa"/>
            </w:tcMar>
          </w:tcPr>
          <w:p w14:paraId="29467A6F" w14:textId="77777777" w:rsidR="001C3A55" w:rsidRPr="000F19E1" w:rsidRDefault="001C3A55" w:rsidP="00510003">
            <w:pPr>
              <w:rPr>
                <w:rFonts w:cs="Arial"/>
                <w:bCs/>
                <w:sz w:val="8"/>
                <w:szCs w:val="8"/>
              </w:rPr>
            </w:pPr>
          </w:p>
        </w:tc>
        <w:tc>
          <w:tcPr>
            <w:tcW w:w="3848" w:type="pct"/>
            <w:gridSpan w:val="2"/>
            <w:shd w:val="clear" w:color="auto" w:fill="DAEEF3"/>
            <w:tcMar>
              <w:top w:w="0" w:type="dxa"/>
              <w:bottom w:w="0" w:type="dxa"/>
            </w:tcMar>
          </w:tcPr>
          <w:p w14:paraId="0FD3B6CA" w14:textId="77777777" w:rsidR="001C3A55" w:rsidRPr="000F19E1" w:rsidRDefault="001C3A55" w:rsidP="00510003">
            <w:pPr>
              <w:tabs>
                <w:tab w:val="center" w:pos="3152"/>
              </w:tabs>
              <w:rPr>
                <w:rFonts w:cs="Arial"/>
                <w:sz w:val="8"/>
                <w:szCs w:val="8"/>
                <w:lang w:val="en-US"/>
              </w:rPr>
            </w:pPr>
          </w:p>
        </w:tc>
      </w:tr>
      <w:tr w:rsidR="001C3A55" w:rsidRPr="00433D3E" w14:paraId="7DFD5327" w14:textId="77777777" w:rsidTr="00562CE4">
        <w:tc>
          <w:tcPr>
            <w:tcW w:w="5000" w:type="pct"/>
            <w:gridSpan w:val="3"/>
            <w:shd w:val="clear" w:color="auto" w:fill="008232"/>
            <w:tcMar>
              <w:top w:w="57" w:type="dxa"/>
              <w:bottom w:w="57" w:type="dxa"/>
            </w:tcMar>
          </w:tcPr>
          <w:p w14:paraId="5FDB5FF6" w14:textId="77777777" w:rsidR="001C3A55" w:rsidRPr="0021490D" w:rsidRDefault="001C3A55" w:rsidP="00B94311">
            <w:pPr>
              <w:rPr>
                <w:rFonts w:cs="Arial"/>
                <w:noProof/>
                <w:color w:val="FFFFFF"/>
                <w:sz w:val="16"/>
                <w:szCs w:val="16"/>
              </w:rPr>
            </w:pPr>
            <w:proofErr w:type="gramStart"/>
            <w:r>
              <w:rPr>
                <w:rFonts w:cs="Arial"/>
                <w:b/>
                <w:bCs/>
                <w:i/>
                <w:iCs/>
                <w:color w:val="FFFFFF"/>
                <w:sz w:val="22"/>
                <w:szCs w:val="20"/>
                <w:lang w:val="en-US"/>
              </w:rPr>
              <w:t>Recommended for</w:t>
            </w:r>
            <w:proofErr w:type="gramEnd"/>
            <w:r>
              <w:rPr>
                <w:rFonts w:cs="Arial"/>
                <w:b/>
                <w:bCs/>
                <w:i/>
                <w:iCs/>
                <w:color w:val="FFFFFF"/>
                <w:sz w:val="22"/>
                <w:szCs w:val="20"/>
                <w:lang w:val="en-US"/>
              </w:rPr>
              <w:t xml:space="preserve"> approval in </w:t>
            </w:r>
            <w:r w:rsidRPr="00433D3E">
              <w:rPr>
                <w:rFonts w:cs="Arial"/>
                <w:b/>
                <w:bCs/>
                <w:i/>
                <w:iCs/>
                <w:color w:val="FFFFFF"/>
                <w:sz w:val="22"/>
                <w:szCs w:val="20"/>
                <w:lang w:val="en-US"/>
              </w:rPr>
              <w:t xml:space="preserve">the </w:t>
            </w:r>
            <w:r w:rsidR="0048777D">
              <w:rPr>
                <w:rFonts w:cs="Arial"/>
                <w:b/>
                <w:bCs/>
                <w:i/>
                <w:iCs/>
                <w:color w:val="FFFFFF"/>
                <w:sz w:val="22"/>
                <w:szCs w:val="20"/>
                <w:lang w:val="en-US"/>
              </w:rPr>
              <w:t>UK</w:t>
            </w:r>
            <w:r w:rsidR="00B94311">
              <w:rPr>
                <w:rFonts w:cs="Arial"/>
                <w:b/>
                <w:bCs/>
                <w:i/>
                <w:iCs/>
                <w:color w:val="FFFFFF"/>
                <w:sz w:val="22"/>
                <w:szCs w:val="20"/>
                <w:lang w:val="en-US"/>
              </w:rPr>
              <w:t xml:space="preserve"> or </w:t>
            </w:r>
            <w:r w:rsidRPr="00433D3E">
              <w:rPr>
                <w:rFonts w:cs="Arial"/>
                <w:b/>
                <w:bCs/>
                <w:i/>
                <w:iCs/>
                <w:color w:val="FFFFFF"/>
                <w:sz w:val="22"/>
                <w:szCs w:val="20"/>
                <w:lang w:val="en-US"/>
              </w:rPr>
              <w:t>EU</w:t>
            </w:r>
            <w:r w:rsidR="0021490D">
              <w:rPr>
                <w:rFonts w:cs="Arial"/>
                <w:b/>
                <w:bCs/>
                <w:i/>
                <w:iCs/>
                <w:color w:val="FFFFFF"/>
                <w:sz w:val="22"/>
                <w:szCs w:val="20"/>
                <w:lang w:val="en-US"/>
              </w:rPr>
              <w:t xml:space="preserve"> </w:t>
            </w:r>
            <w:r w:rsidR="0021490D" w:rsidRPr="0021490D">
              <w:rPr>
                <w:rFonts w:cs="Arial"/>
                <w:b/>
                <w:bCs/>
                <w:color w:val="FFFFFF"/>
                <w:sz w:val="16"/>
                <w:szCs w:val="14"/>
                <w:lang w:val="en-US"/>
              </w:rPr>
              <w:t>(continued)</w:t>
            </w:r>
          </w:p>
        </w:tc>
      </w:tr>
      <w:tr w:rsidR="001D2ACD" w14:paraId="61A6C0BD" w14:textId="77777777" w:rsidTr="00620B12">
        <w:tc>
          <w:tcPr>
            <w:tcW w:w="1225" w:type="pct"/>
            <w:gridSpan w:val="2"/>
            <w:tcMar>
              <w:top w:w="57" w:type="dxa"/>
              <w:bottom w:w="57" w:type="dxa"/>
            </w:tcMar>
          </w:tcPr>
          <w:p w14:paraId="3B6FD36B" w14:textId="4D3753DC" w:rsidR="001D2ACD" w:rsidRPr="006276AF" w:rsidRDefault="00080C64" w:rsidP="001D2ACD">
            <w:pPr>
              <w:rPr>
                <w:rFonts w:cs="Arial"/>
                <w:szCs w:val="19"/>
              </w:rPr>
            </w:pPr>
            <w:r w:rsidRPr="00080C64">
              <w:rPr>
                <w:rFonts w:cs="Arial"/>
                <w:szCs w:val="19"/>
              </w:rPr>
              <w:t>Pegcetacoplan (</w:t>
            </w:r>
            <w:r w:rsidRPr="00080C64">
              <w:rPr>
                <w:rFonts w:cs="Arial"/>
                <w:i/>
                <w:iCs/>
                <w:szCs w:val="19"/>
              </w:rPr>
              <w:t>Aspaveli</w:t>
            </w:r>
            <w:r>
              <w:rPr>
                <w:rFonts w:cs="Arial"/>
                <w:szCs w:val="19"/>
              </w:rPr>
              <w:t>)</w:t>
            </w:r>
          </w:p>
        </w:tc>
        <w:tc>
          <w:tcPr>
            <w:tcW w:w="3775" w:type="pct"/>
            <w:tcMar>
              <w:top w:w="57" w:type="dxa"/>
              <w:bottom w:w="57" w:type="dxa"/>
            </w:tcMar>
          </w:tcPr>
          <w:p w14:paraId="4C0E74E1" w14:textId="7DA94FF3" w:rsidR="001D2ACD" w:rsidRDefault="00314615" w:rsidP="001D2ACD">
            <w:pPr>
              <w:tabs>
                <w:tab w:val="center" w:pos="3152"/>
              </w:tabs>
              <w:rPr>
                <w:rFonts w:cs="Arial"/>
                <w:szCs w:val="19"/>
                <w:lang w:val="en-US"/>
              </w:rPr>
            </w:pPr>
            <w:r w:rsidRPr="00314615">
              <w:rPr>
                <w:rFonts w:cs="Arial"/>
                <w:szCs w:val="19"/>
                <w:lang w:val="en-US"/>
              </w:rPr>
              <w:t>Treatment of adult and adolescent patients aged 12 to 17 years with C3 glomerulopathy or primary immune-complex membranoproliferative glomerulonephritis in combination with a renin-angiotensin system (RAS) inhibitor, unless RAS inhibitor treatment is not tolerated or contraindicated</w:t>
            </w:r>
            <w:r>
              <w:rPr>
                <w:rFonts w:cs="Arial"/>
                <w:szCs w:val="19"/>
                <w:lang w:val="en-US"/>
              </w:rPr>
              <w:t xml:space="preserve"> </w:t>
            </w:r>
            <w:r w:rsidRPr="00C26F36">
              <w:rPr>
                <w:rFonts w:cs="Arial"/>
                <w:sz w:val="16"/>
                <w:szCs w:val="16"/>
                <w:lang w:val="en-US"/>
              </w:rPr>
              <w:t>[EU]</w:t>
            </w:r>
            <w:r>
              <w:rPr>
                <w:rFonts w:cs="Arial"/>
                <w:sz w:val="16"/>
                <w:szCs w:val="16"/>
                <w:lang w:val="en-US"/>
              </w:rPr>
              <w:t xml:space="preserve"> [new indication]</w:t>
            </w:r>
          </w:p>
        </w:tc>
      </w:tr>
      <w:tr w:rsidR="00AC18F4" w14:paraId="49E10566" w14:textId="77777777" w:rsidTr="00620B12">
        <w:tc>
          <w:tcPr>
            <w:tcW w:w="1225" w:type="pct"/>
            <w:gridSpan w:val="2"/>
            <w:tcMar>
              <w:top w:w="57" w:type="dxa"/>
              <w:bottom w:w="57" w:type="dxa"/>
            </w:tcMar>
          </w:tcPr>
          <w:p w14:paraId="6FFF8975" w14:textId="61DD249B" w:rsidR="00AC18F4" w:rsidRDefault="00AC18F4" w:rsidP="00AC18F4">
            <w:pPr>
              <w:rPr>
                <w:rFonts w:cs="Arial"/>
                <w:szCs w:val="19"/>
              </w:rPr>
            </w:pPr>
            <w:r>
              <w:rPr>
                <w:rFonts w:cs="Arial"/>
                <w:szCs w:val="19"/>
              </w:rPr>
              <w:t>Pretomanid (</w:t>
            </w:r>
            <w:r w:rsidRPr="006302C0">
              <w:rPr>
                <w:rFonts w:cs="Arial"/>
                <w:i/>
                <w:iCs/>
                <w:szCs w:val="19"/>
              </w:rPr>
              <w:t>Dovprela</w:t>
            </w:r>
            <w:r>
              <w:rPr>
                <w:rFonts w:cs="Arial"/>
                <w:szCs w:val="19"/>
              </w:rPr>
              <w:t>)</w:t>
            </w:r>
          </w:p>
        </w:tc>
        <w:tc>
          <w:tcPr>
            <w:tcW w:w="3775" w:type="pct"/>
            <w:tcMar>
              <w:top w:w="57" w:type="dxa"/>
              <w:bottom w:w="57" w:type="dxa"/>
            </w:tcMar>
          </w:tcPr>
          <w:p w14:paraId="39493E1F" w14:textId="75FA71EB" w:rsidR="00AC18F4" w:rsidRPr="003E4E6D" w:rsidRDefault="00847B7C" w:rsidP="00610986">
            <w:pPr>
              <w:tabs>
                <w:tab w:val="center" w:pos="3152"/>
              </w:tabs>
              <w:rPr>
                <w:rFonts w:cs="Arial"/>
                <w:szCs w:val="19"/>
                <w:lang w:val="en-US"/>
              </w:rPr>
            </w:pPr>
            <w:r w:rsidRPr="00604DAA">
              <w:rPr>
                <w:rFonts w:cs="Arial"/>
                <w:b/>
                <w:bCs/>
                <w:szCs w:val="19"/>
                <w:lang w:val="en-US"/>
              </w:rPr>
              <w:t>Use in combination with bedaquiline and linezolid</w:t>
            </w:r>
            <w:r w:rsidRPr="00847B7C">
              <w:rPr>
                <w:rFonts w:cs="Arial"/>
                <w:szCs w:val="19"/>
                <w:lang w:val="en-US"/>
              </w:rPr>
              <w:t xml:space="preserve"> for the treatment of</w:t>
            </w:r>
            <w:r>
              <w:rPr>
                <w:rFonts w:cs="Arial"/>
                <w:szCs w:val="19"/>
                <w:lang w:val="en-US"/>
              </w:rPr>
              <w:t xml:space="preserve"> </w:t>
            </w:r>
            <w:r w:rsidRPr="00847B7C">
              <w:rPr>
                <w:rFonts w:cs="Arial"/>
                <w:szCs w:val="19"/>
                <w:lang w:val="en-US"/>
              </w:rPr>
              <w:t xml:space="preserve">adults with pulmonary </w:t>
            </w:r>
            <w:r w:rsidR="00610986">
              <w:rPr>
                <w:rFonts w:cs="Arial"/>
                <w:szCs w:val="19"/>
                <w:lang w:val="en-US"/>
              </w:rPr>
              <w:t>tuberculosis</w:t>
            </w:r>
            <w:r w:rsidRPr="00847B7C">
              <w:rPr>
                <w:rFonts w:cs="Arial"/>
                <w:szCs w:val="19"/>
                <w:lang w:val="en-US"/>
              </w:rPr>
              <w:t xml:space="preserve"> due to </w:t>
            </w:r>
            <w:r w:rsidR="00610986" w:rsidRPr="00382979">
              <w:rPr>
                <w:rFonts w:cs="Arial"/>
                <w:i/>
                <w:iCs/>
                <w:szCs w:val="19"/>
                <w:lang w:val="en-US"/>
              </w:rPr>
              <w:t>Mycobacterium tuberculosis</w:t>
            </w:r>
            <w:r w:rsidR="00610986" w:rsidRPr="003E4E6D">
              <w:rPr>
                <w:rFonts w:cs="Arial"/>
                <w:szCs w:val="19"/>
                <w:lang w:val="en-US"/>
              </w:rPr>
              <w:t xml:space="preserve"> </w:t>
            </w:r>
            <w:r w:rsidRPr="00847B7C">
              <w:rPr>
                <w:rFonts w:cs="Arial"/>
                <w:szCs w:val="19"/>
                <w:lang w:val="en-US"/>
              </w:rPr>
              <w:t xml:space="preserve">resistant to rifampicin and a fluoroquinolone, with or without resistance to isoniazid </w:t>
            </w:r>
            <w:r w:rsidR="00AC18F4" w:rsidRPr="00C26F36">
              <w:rPr>
                <w:rFonts w:cs="Arial"/>
                <w:sz w:val="16"/>
                <w:szCs w:val="16"/>
                <w:lang w:val="en-US"/>
              </w:rPr>
              <w:t>[EU]</w:t>
            </w:r>
            <w:r w:rsidR="00AC18F4">
              <w:rPr>
                <w:rFonts w:cs="Arial"/>
                <w:sz w:val="16"/>
                <w:szCs w:val="16"/>
                <w:lang w:val="en-US"/>
              </w:rPr>
              <w:t xml:space="preserve"> [licence change from </w:t>
            </w:r>
            <w:r w:rsidR="008B1A7E" w:rsidRPr="008B1A7E">
              <w:rPr>
                <w:rFonts w:cs="Arial"/>
                <w:sz w:val="16"/>
                <w:szCs w:val="16"/>
                <w:lang w:val="en-US"/>
              </w:rPr>
              <w:t xml:space="preserve">use in </w:t>
            </w:r>
            <w:r w:rsidR="008B1A7E">
              <w:rPr>
                <w:rFonts w:cs="Arial"/>
                <w:sz w:val="16"/>
                <w:szCs w:val="16"/>
                <w:lang w:val="en-US"/>
              </w:rPr>
              <w:t>tuberculosis</w:t>
            </w:r>
            <w:r w:rsidR="008B1A7E" w:rsidRPr="008B1A7E">
              <w:rPr>
                <w:rFonts w:cs="Arial"/>
                <w:sz w:val="16"/>
                <w:szCs w:val="16"/>
                <w:lang w:val="en-US"/>
              </w:rPr>
              <w:t xml:space="preserve"> resistant to all of isoniazid, rifampicin, a fluroquinolone and a second</w:t>
            </w:r>
            <w:r w:rsidR="008B1A7E">
              <w:rPr>
                <w:rFonts w:cs="Arial"/>
                <w:sz w:val="16"/>
                <w:szCs w:val="16"/>
                <w:lang w:val="en-US"/>
              </w:rPr>
              <w:t>-</w:t>
            </w:r>
            <w:r w:rsidR="008B1A7E" w:rsidRPr="008B1A7E">
              <w:rPr>
                <w:rFonts w:cs="Arial"/>
                <w:sz w:val="16"/>
                <w:szCs w:val="16"/>
                <w:lang w:val="en-US"/>
              </w:rPr>
              <w:t>line injectable antibacterial drug, or resistant to both isoniazid and rifampicin</w:t>
            </w:r>
            <w:r w:rsidR="008B1A7E">
              <w:rPr>
                <w:rFonts w:cs="Arial"/>
                <w:sz w:val="16"/>
                <w:szCs w:val="16"/>
                <w:lang w:val="en-US"/>
              </w:rPr>
              <w:t xml:space="preserve"> in adults</w:t>
            </w:r>
            <w:r w:rsidR="008B1A7E" w:rsidRPr="008B1A7E">
              <w:rPr>
                <w:rFonts w:cs="Arial"/>
                <w:sz w:val="16"/>
                <w:szCs w:val="16"/>
                <w:lang w:val="en-US"/>
              </w:rPr>
              <w:t xml:space="preserve"> who are treatment intolerant or nonresponsive to standard therapy</w:t>
            </w:r>
            <w:r w:rsidR="008E373E">
              <w:rPr>
                <w:rFonts w:cs="Arial"/>
                <w:sz w:val="16"/>
                <w:szCs w:val="16"/>
                <w:lang w:val="en-US"/>
              </w:rPr>
              <w:t>]</w:t>
            </w:r>
          </w:p>
        </w:tc>
      </w:tr>
      <w:tr w:rsidR="00AC18F4" w14:paraId="59FE1111" w14:textId="77777777" w:rsidTr="00620B12">
        <w:tc>
          <w:tcPr>
            <w:tcW w:w="1225" w:type="pct"/>
            <w:gridSpan w:val="2"/>
            <w:tcMar>
              <w:top w:w="57" w:type="dxa"/>
              <w:bottom w:w="57" w:type="dxa"/>
            </w:tcMar>
          </w:tcPr>
          <w:p w14:paraId="1FA04B81" w14:textId="3AA04EF6" w:rsidR="00AC18F4" w:rsidRPr="006302C0" w:rsidRDefault="00AC18F4" w:rsidP="00AC18F4">
            <w:pPr>
              <w:rPr>
                <w:rFonts w:cs="Arial"/>
                <w:i/>
                <w:iCs/>
                <w:szCs w:val="19"/>
              </w:rPr>
            </w:pPr>
            <w:r>
              <w:rPr>
                <w:rFonts w:cs="Arial"/>
                <w:szCs w:val="19"/>
              </w:rPr>
              <w:t>Pretomanid (</w:t>
            </w:r>
            <w:r w:rsidRPr="006302C0">
              <w:rPr>
                <w:rFonts w:cs="Arial"/>
                <w:i/>
                <w:iCs/>
                <w:szCs w:val="19"/>
              </w:rPr>
              <w:t>Dovprela</w:t>
            </w:r>
            <w:r>
              <w:rPr>
                <w:rFonts w:cs="Arial"/>
                <w:szCs w:val="19"/>
              </w:rPr>
              <w:t>)</w:t>
            </w:r>
          </w:p>
        </w:tc>
        <w:tc>
          <w:tcPr>
            <w:tcW w:w="3775" w:type="pct"/>
            <w:tcMar>
              <w:top w:w="57" w:type="dxa"/>
              <w:bottom w:w="57" w:type="dxa"/>
            </w:tcMar>
          </w:tcPr>
          <w:p w14:paraId="637D53A0" w14:textId="5CACDBFF" w:rsidR="00AC18F4" w:rsidRPr="00314615" w:rsidRDefault="00AC18F4" w:rsidP="00AC18F4">
            <w:pPr>
              <w:tabs>
                <w:tab w:val="center" w:pos="3152"/>
              </w:tabs>
              <w:rPr>
                <w:rFonts w:cs="Arial"/>
                <w:szCs w:val="19"/>
                <w:lang w:val="en-US"/>
              </w:rPr>
            </w:pPr>
            <w:r w:rsidRPr="00604DAA">
              <w:rPr>
                <w:rFonts w:cs="Arial"/>
                <w:b/>
                <w:bCs/>
                <w:szCs w:val="19"/>
                <w:lang w:val="en-US"/>
              </w:rPr>
              <w:t>Use in combination with bedaquiline, linezolid and moxifloxacin</w:t>
            </w:r>
            <w:r>
              <w:rPr>
                <w:rFonts w:cs="Arial"/>
                <w:szCs w:val="19"/>
                <w:lang w:val="en-US"/>
              </w:rPr>
              <w:t xml:space="preserve"> for</w:t>
            </w:r>
            <w:r w:rsidRPr="003E4E6D">
              <w:rPr>
                <w:rFonts w:cs="Arial"/>
                <w:szCs w:val="19"/>
                <w:lang w:val="en-US"/>
              </w:rPr>
              <w:t xml:space="preserve"> the treatment of adults with pulmonary </w:t>
            </w:r>
            <w:r>
              <w:rPr>
                <w:rFonts w:cs="Arial"/>
                <w:szCs w:val="19"/>
                <w:lang w:val="en-US"/>
              </w:rPr>
              <w:t xml:space="preserve">tuberculosis </w:t>
            </w:r>
            <w:r w:rsidRPr="003E4E6D">
              <w:rPr>
                <w:rFonts w:cs="Arial"/>
                <w:szCs w:val="19"/>
                <w:lang w:val="en-US"/>
              </w:rPr>
              <w:t xml:space="preserve">due to </w:t>
            </w:r>
            <w:r w:rsidRPr="00382979">
              <w:rPr>
                <w:rFonts w:cs="Arial"/>
                <w:i/>
                <w:iCs/>
                <w:szCs w:val="19"/>
                <w:lang w:val="en-US"/>
              </w:rPr>
              <w:t>Mycobacterium tuberculosis</w:t>
            </w:r>
            <w:r w:rsidRPr="003E4E6D">
              <w:rPr>
                <w:rFonts w:cs="Arial"/>
                <w:szCs w:val="19"/>
                <w:lang w:val="en-US"/>
              </w:rPr>
              <w:t xml:space="preserve"> resistant to rifampicin, with or without resistance to isoniazid</w:t>
            </w:r>
            <w:r>
              <w:rPr>
                <w:rFonts w:cs="Arial"/>
                <w:szCs w:val="19"/>
                <w:lang w:val="en-US"/>
              </w:rPr>
              <w:t xml:space="preserve"> </w:t>
            </w:r>
            <w:r w:rsidRPr="00C26F36">
              <w:rPr>
                <w:rFonts w:cs="Arial"/>
                <w:sz w:val="16"/>
                <w:szCs w:val="16"/>
                <w:lang w:val="en-US"/>
              </w:rPr>
              <w:t>[EU]</w:t>
            </w:r>
            <w:r>
              <w:rPr>
                <w:rFonts w:cs="Arial"/>
                <w:sz w:val="16"/>
                <w:szCs w:val="16"/>
                <w:lang w:val="en-US"/>
              </w:rPr>
              <w:t xml:space="preserve"> [new indication]</w:t>
            </w:r>
          </w:p>
        </w:tc>
      </w:tr>
      <w:tr w:rsidR="00AC18F4" w:rsidRPr="00A075A3" w14:paraId="00B115B5" w14:textId="77777777" w:rsidTr="00620B12">
        <w:tc>
          <w:tcPr>
            <w:tcW w:w="1225" w:type="pct"/>
            <w:gridSpan w:val="2"/>
            <w:tcMar>
              <w:top w:w="57" w:type="dxa"/>
              <w:bottom w:w="57" w:type="dxa"/>
            </w:tcMar>
          </w:tcPr>
          <w:p w14:paraId="553D0D2B" w14:textId="30DCBE28" w:rsidR="00AC18F4" w:rsidRPr="00785862" w:rsidRDefault="00AC18F4" w:rsidP="00AC18F4">
            <w:pPr>
              <w:rPr>
                <w:rFonts w:cs="Arial"/>
                <w:szCs w:val="19"/>
              </w:rPr>
            </w:pPr>
            <w:r>
              <w:rPr>
                <w:rFonts w:cs="Arial"/>
                <w:szCs w:val="19"/>
              </w:rPr>
              <w:t>Ranibizumab</w:t>
            </w:r>
            <w:r w:rsidRPr="00C4635B">
              <w:rPr>
                <w:rFonts w:cs="Arial"/>
                <w:szCs w:val="19"/>
              </w:rPr>
              <w:t xml:space="preserve"> biosimilar (</w:t>
            </w:r>
            <w:r w:rsidRPr="00C4635B">
              <w:rPr>
                <w:rFonts w:cs="Arial"/>
                <w:i/>
                <w:iCs/>
                <w:szCs w:val="19"/>
              </w:rPr>
              <w:t>Ranluspec</w:t>
            </w:r>
            <w:r w:rsidRPr="00C4635B">
              <w:rPr>
                <w:rFonts w:cs="Arial"/>
                <w:szCs w:val="19"/>
              </w:rPr>
              <w:t>)</w:t>
            </w:r>
          </w:p>
        </w:tc>
        <w:tc>
          <w:tcPr>
            <w:tcW w:w="3775" w:type="pct"/>
            <w:tcMar>
              <w:top w:w="57" w:type="dxa"/>
              <w:bottom w:w="57" w:type="dxa"/>
            </w:tcMar>
          </w:tcPr>
          <w:p w14:paraId="222F03CA" w14:textId="262621FA" w:rsidR="00AC18F4" w:rsidRDefault="00AC18F4" w:rsidP="00AC18F4">
            <w:pPr>
              <w:tabs>
                <w:tab w:val="num" w:pos="720"/>
                <w:tab w:val="center" w:pos="3152"/>
              </w:tabs>
              <w:rPr>
                <w:rFonts w:cs="Arial"/>
                <w:szCs w:val="19"/>
                <w:lang w:val="en-US"/>
              </w:rPr>
            </w:pPr>
            <w:r w:rsidRPr="00C105AF">
              <w:rPr>
                <w:rFonts w:cs="Arial"/>
                <w:szCs w:val="19"/>
                <w:lang w:val="en-US"/>
              </w:rPr>
              <w:t xml:space="preserve">Treatment of neovascular (wet) age-related macular degeneration; treatment of visual impairment due to diabetic macular oedema; treatment of proliferative diabetic retinopathy; treatment of visual impairment due to macular oedema secondary to retinal vein occlusion (branch RVO or central RVO) and treatment of visual impairment due to choroidal </w:t>
            </w:r>
            <w:r>
              <w:rPr>
                <w:rFonts w:cs="Arial"/>
                <w:szCs w:val="19"/>
                <w:lang w:val="en-US"/>
              </w:rPr>
              <w:t xml:space="preserve">neovascularization </w:t>
            </w:r>
            <w:r w:rsidRPr="00C105AF">
              <w:rPr>
                <w:rFonts w:cs="Arial"/>
                <w:sz w:val="16"/>
                <w:szCs w:val="16"/>
                <w:lang w:val="en-US"/>
              </w:rPr>
              <w:t>[EU]</w:t>
            </w:r>
          </w:p>
        </w:tc>
      </w:tr>
      <w:tr w:rsidR="001A5D00" w:rsidRPr="00A075A3" w14:paraId="7C4536FC" w14:textId="77777777" w:rsidTr="00620B12">
        <w:tc>
          <w:tcPr>
            <w:tcW w:w="1225" w:type="pct"/>
            <w:gridSpan w:val="2"/>
            <w:tcMar>
              <w:top w:w="57" w:type="dxa"/>
              <w:bottom w:w="57" w:type="dxa"/>
            </w:tcMar>
          </w:tcPr>
          <w:p w14:paraId="4E3DDFB9" w14:textId="44979DF8" w:rsidR="001A5D00" w:rsidRPr="00C73402" w:rsidRDefault="001A5D00" w:rsidP="001A5D00">
            <w:pPr>
              <w:rPr>
                <w:rFonts w:cs="Arial"/>
                <w:szCs w:val="19"/>
              </w:rPr>
            </w:pPr>
            <w:r w:rsidRPr="009E61C2">
              <w:rPr>
                <w:rFonts w:cs="Arial"/>
                <w:szCs w:val="19"/>
              </w:rPr>
              <w:t>Relebactam + cilastatin + imipenem (</w:t>
            </w:r>
            <w:r w:rsidRPr="009E61C2">
              <w:rPr>
                <w:rFonts w:cs="Arial"/>
                <w:i/>
                <w:iCs/>
                <w:szCs w:val="19"/>
              </w:rPr>
              <w:t>Recarbrio</w:t>
            </w:r>
            <w:r w:rsidRPr="009E61C2">
              <w:rPr>
                <w:rFonts w:cs="Arial"/>
                <w:szCs w:val="19"/>
              </w:rPr>
              <w:t>)</w:t>
            </w:r>
          </w:p>
        </w:tc>
        <w:tc>
          <w:tcPr>
            <w:tcW w:w="3775" w:type="pct"/>
            <w:tcMar>
              <w:top w:w="57" w:type="dxa"/>
              <w:bottom w:w="57" w:type="dxa"/>
            </w:tcMar>
          </w:tcPr>
          <w:p w14:paraId="36BC98F8" w14:textId="4FD219D5" w:rsidR="001A5D00" w:rsidRDefault="001A5D00" w:rsidP="001A5D00">
            <w:pPr>
              <w:tabs>
                <w:tab w:val="num" w:pos="720"/>
                <w:tab w:val="center" w:pos="3152"/>
              </w:tabs>
              <w:rPr>
                <w:rFonts w:cs="Arial"/>
                <w:szCs w:val="19"/>
                <w:lang w:val="en-US"/>
              </w:rPr>
            </w:pPr>
            <w:r w:rsidRPr="00235EEF">
              <w:rPr>
                <w:rFonts w:cs="Arial"/>
                <w:szCs w:val="19"/>
                <w:lang w:val="en-US"/>
              </w:rPr>
              <w:t>Use in adult and paediatric patients from birth for treatment of hospital-acquired pneumonia (HAP), including ventilator associated pneumonia (VAP), treatment of bacteraemia that occurs in association with, or is suspected to be associated with HAP or VAP, and treatment of infections due to aerobic Gram-negative organisms with limited treatment option</w:t>
            </w:r>
            <w:r w:rsidR="00C73015">
              <w:rPr>
                <w:rFonts w:cs="Arial"/>
                <w:szCs w:val="19"/>
                <w:lang w:val="en-US"/>
              </w:rPr>
              <w:t>s</w:t>
            </w:r>
            <w:r>
              <w:rPr>
                <w:rFonts w:cs="Arial"/>
                <w:szCs w:val="19"/>
                <w:lang w:val="en-US"/>
              </w:rPr>
              <w:t xml:space="preserve"> </w:t>
            </w:r>
            <w:r w:rsidRPr="00611A4A">
              <w:rPr>
                <w:rFonts w:cs="Arial"/>
                <w:sz w:val="16"/>
                <w:szCs w:val="16"/>
                <w:lang w:val="en-US"/>
              </w:rPr>
              <w:t>[EU]</w:t>
            </w:r>
            <w:r>
              <w:rPr>
                <w:rFonts w:cs="Arial"/>
                <w:sz w:val="16"/>
                <w:szCs w:val="16"/>
                <w:lang w:val="en-US"/>
              </w:rPr>
              <w:t xml:space="preserve"> [licence change from use only in adults]</w:t>
            </w:r>
          </w:p>
        </w:tc>
      </w:tr>
      <w:tr w:rsidR="001A5D00" w:rsidRPr="00A075A3" w14:paraId="119AE638" w14:textId="77777777" w:rsidTr="00620B12">
        <w:tc>
          <w:tcPr>
            <w:tcW w:w="1225" w:type="pct"/>
            <w:gridSpan w:val="2"/>
            <w:tcMar>
              <w:top w:w="57" w:type="dxa"/>
              <w:bottom w:w="57" w:type="dxa"/>
            </w:tcMar>
          </w:tcPr>
          <w:p w14:paraId="249A7282" w14:textId="03E7E387" w:rsidR="001A5D00" w:rsidRPr="00E411E8" w:rsidRDefault="001A5D00" w:rsidP="001A5D00">
            <w:pPr>
              <w:rPr>
                <w:rFonts w:cs="Arial"/>
                <w:szCs w:val="19"/>
              </w:rPr>
            </w:pPr>
            <w:r w:rsidRPr="00C73402">
              <w:rPr>
                <w:rFonts w:cs="Arial"/>
                <w:szCs w:val="19"/>
              </w:rPr>
              <w:t>Respiratory syncytial virus vaccine (</w:t>
            </w:r>
            <w:r w:rsidRPr="00C73402">
              <w:rPr>
                <w:rFonts w:cs="Arial"/>
                <w:i/>
                <w:iCs/>
                <w:szCs w:val="19"/>
              </w:rPr>
              <w:t>Arexvy</w:t>
            </w:r>
            <w:r w:rsidRPr="00C73402">
              <w:rPr>
                <w:rFonts w:cs="Arial"/>
                <w:szCs w:val="19"/>
              </w:rPr>
              <w:t>)</w:t>
            </w:r>
          </w:p>
        </w:tc>
        <w:tc>
          <w:tcPr>
            <w:tcW w:w="3775" w:type="pct"/>
            <w:tcMar>
              <w:top w:w="57" w:type="dxa"/>
              <w:bottom w:w="57" w:type="dxa"/>
            </w:tcMar>
          </w:tcPr>
          <w:p w14:paraId="5427B015" w14:textId="4E727DC8" w:rsidR="001A5D00" w:rsidRDefault="001A5D00" w:rsidP="001A5D00">
            <w:pPr>
              <w:tabs>
                <w:tab w:val="num" w:pos="720"/>
                <w:tab w:val="center" w:pos="3152"/>
              </w:tabs>
              <w:rPr>
                <w:rFonts w:cs="Arial"/>
                <w:szCs w:val="19"/>
                <w:lang w:val="en-US"/>
              </w:rPr>
            </w:pPr>
            <w:r>
              <w:rPr>
                <w:rFonts w:cs="Arial"/>
                <w:szCs w:val="19"/>
                <w:lang w:val="en-US"/>
              </w:rPr>
              <w:t>Activ</w:t>
            </w:r>
            <w:r w:rsidRPr="00DD7A90">
              <w:rPr>
                <w:rFonts w:cs="Arial"/>
                <w:szCs w:val="19"/>
                <w:lang w:val="en-US"/>
              </w:rPr>
              <w:t xml:space="preserve">e immunisation for the prevention of lower respiratory tract disease caused by respiratory syncytial virus in adults </w:t>
            </w:r>
            <w:r>
              <w:rPr>
                <w:rFonts w:cs="Arial"/>
                <w:szCs w:val="19"/>
                <w:lang w:val="en-US"/>
              </w:rPr>
              <w:t xml:space="preserve">aged </w:t>
            </w:r>
            <w:r w:rsidRPr="00DD7A90">
              <w:rPr>
                <w:rFonts w:cs="Arial"/>
                <w:szCs w:val="19"/>
                <w:lang w:val="en-US"/>
              </w:rPr>
              <w:t>18 year</w:t>
            </w:r>
            <w:r>
              <w:rPr>
                <w:rFonts w:cs="Arial"/>
                <w:szCs w:val="19"/>
                <w:lang w:val="en-US"/>
              </w:rPr>
              <w:t xml:space="preserve">s </w:t>
            </w:r>
            <w:r w:rsidRPr="00DD7A90">
              <w:rPr>
                <w:rFonts w:cs="Arial"/>
                <w:szCs w:val="19"/>
                <w:lang w:val="en-US"/>
              </w:rPr>
              <w:t xml:space="preserve">and older </w:t>
            </w:r>
            <w:r w:rsidRPr="00DF1266">
              <w:rPr>
                <w:rFonts w:cs="Arial"/>
                <w:sz w:val="16"/>
                <w:szCs w:val="16"/>
                <w:lang w:val="en-US"/>
              </w:rPr>
              <w:t xml:space="preserve">[EU] [licence change from use in adults aged 60 years and older, plus those </w:t>
            </w:r>
            <w:r>
              <w:rPr>
                <w:rFonts w:cs="Arial"/>
                <w:sz w:val="16"/>
                <w:szCs w:val="16"/>
                <w:lang w:val="en-US"/>
              </w:rPr>
              <w:t xml:space="preserve">aged </w:t>
            </w:r>
            <w:r w:rsidRPr="00DF1266">
              <w:rPr>
                <w:rFonts w:cs="Arial"/>
                <w:sz w:val="16"/>
                <w:szCs w:val="16"/>
                <w:lang w:val="en-US"/>
              </w:rPr>
              <w:t>50 t</w:t>
            </w:r>
            <w:r>
              <w:rPr>
                <w:rFonts w:cs="Arial"/>
                <w:sz w:val="16"/>
                <w:szCs w:val="16"/>
                <w:lang w:val="en-US"/>
              </w:rPr>
              <w:t>o</w:t>
            </w:r>
            <w:r w:rsidRPr="00DF1266">
              <w:rPr>
                <w:rFonts w:cs="Arial"/>
                <w:sz w:val="16"/>
                <w:szCs w:val="16"/>
                <w:lang w:val="en-US"/>
              </w:rPr>
              <w:t xml:space="preserve"> 59 years who are at increased risk for RSV disease]</w:t>
            </w:r>
          </w:p>
        </w:tc>
      </w:tr>
      <w:tr w:rsidR="009F0086" w:rsidRPr="00A075A3" w14:paraId="36415A78" w14:textId="77777777" w:rsidTr="00620B12">
        <w:tc>
          <w:tcPr>
            <w:tcW w:w="1225" w:type="pct"/>
            <w:gridSpan w:val="2"/>
            <w:tcMar>
              <w:top w:w="57" w:type="dxa"/>
              <w:bottom w:w="57" w:type="dxa"/>
            </w:tcMar>
          </w:tcPr>
          <w:p w14:paraId="63D7400E" w14:textId="289E67D5" w:rsidR="009F0086" w:rsidRPr="009F0086" w:rsidRDefault="009F0086" w:rsidP="001A5D00">
            <w:pPr>
              <w:rPr>
                <w:rFonts w:cs="Arial"/>
                <w:i/>
                <w:iCs/>
                <w:szCs w:val="19"/>
              </w:rPr>
            </w:pPr>
            <w:r>
              <w:rPr>
                <w:rFonts w:cs="Arial"/>
                <w:szCs w:val="19"/>
              </w:rPr>
              <w:t>Sotatercept (</w:t>
            </w:r>
            <w:r w:rsidRPr="009F0086">
              <w:rPr>
                <w:rFonts w:cs="Arial"/>
                <w:i/>
                <w:iCs/>
                <w:szCs w:val="19"/>
              </w:rPr>
              <w:t>Winrevair</w:t>
            </w:r>
            <w:r>
              <w:rPr>
                <w:rFonts w:cs="Arial"/>
                <w:szCs w:val="19"/>
              </w:rPr>
              <w:t>)</w:t>
            </w:r>
          </w:p>
        </w:tc>
        <w:tc>
          <w:tcPr>
            <w:tcW w:w="3775" w:type="pct"/>
            <w:tcMar>
              <w:top w:w="57" w:type="dxa"/>
              <w:bottom w:w="57" w:type="dxa"/>
            </w:tcMar>
          </w:tcPr>
          <w:p w14:paraId="53C135FF" w14:textId="6F028C83" w:rsidR="009F0086" w:rsidRPr="001A755E" w:rsidRDefault="006438CF" w:rsidP="001A5D00">
            <w:pPr>
              <w:tabs>
                <w:tab w:val="num" w:pos="720"/>
                <w:tab w:val="center" w:pos="3152"/>
              </w:tabs>
              <w:rPr>
                <w:rFonts w:cs="Arial"/>
                <w:szCs w:val="19"/>
                <w:lang w:val="en-US"/>
              </w:rPr>
            </w:pPr>
            <w:r>
              <w:rPr>
                <w:rFonts w:cs="Arial"/>
                <w:szCs w:val="19"/>
                <w:lang w:val="en-US"/>
              </w:rPr>
              <w:t>U</w:t>
            </w:r>
            <w:r w:rsidR="00D37293" w:rsidRPr="00D37293">
              <w:rPr>
                <w:rFonts w:cs="Arial"/>
                <w:szCs w:val="19"/>
                <w:lang w:val="en-US"/>
              </w:rPr>
              <w:t>se in combination with other pulmonary arterial hypertension (PAH) therapies, for the treatment of PAH in adults with WHO Functional Class (FC) II, III, and IV</w:t>
            </w:r>
            <w:r w:rsidR="00D37293">
              <w:rPr>
                <w:rFonts w:cs="Arial"/>
                <w:szCs w:val="19"/>
                <w:lang w:val="en-US"/>
              </w:rPr>
              <w:t xml:space="preserve"> </w:t>
            </w:r>
            <w:r w:rsidRPr="004F0F4F">
              <w:rPr>
                <w:rFonts w:cs="Arial"/>
                <w:sz w:val="16"/>
                <w:szCs w:val="16"/>
                <w:lang w:val="en-US"/>
              </w:rPr>
              <w:t>[EU] [licence change</w:t>
            </w:r>
            <w:r w:rsidR="00D37293" w:rsidRPr="004F0F4F">
              <w:rPr>
                <w:rFonts w:cs="Arial"/>
                <w:sz w:val="16"/>
                <w:szCs w:val="16"/>
                <w:lang w:val="en-US"/>
              </w:rPr>
              <w:t xml:space="preserve"> to add use in WHO Functional Class IV and to remove the words ´to improve exercise capacity´</w:t>
            </w:r>
            <w:r w:rsidR="004F0F4F" w:rsidRPr="004F0F4F">
              <w:rPr>
                <w:rFonts w:cs="Arial"/>
                <w:sz w:val="16"/>
                <w:szCs w:val="16"/>
                <w:lang w:val="en-US"/>
              </w:rPr>
              <w:t>]</w:t>
            </w:r>
          </w:p>
        </w:tc>
      </w:tr>
      <w:tr w:rsidR="001A5D00" w:rsidRPr="00A075A3" w14:paraId="2ABDC309" w14:textId="77777777" w:rsidTr="00620B12">
        <w:tc>
          <w:tcPr>
            <w:tcW w:w="1225" w:type="pct"/>
            <w:gridSpan w:val="2"/>
            <w:tcMar>
              <w:top w:w="57" w:type="dxa"/>
              <w:bottom w:w="57" w:type="dxa"/>
            </w:tcMar>
          </w:tcPr>
          <w:p w14:paraId="7E7EA032" w14:textId="0204D701" w:rsidR="001A5D00" w:rsidRPr="00D35989" w:rsidRDefault="001A5D00" w:rsidP="001A5D00">
            <w:pPr>
              <w:rPr>
                <w:rFonts w:cs="Arial"/>
                <w:szCs w:val="19"/>
              </w:rPr>
            </w:pPr>
            <w:r>
              <w:rPr>
                <w:rFonts w:cs="Arial"/>
                <w:szCs w:val="19"/>
              </w:rPr>
              <w:t>Tirzepatide (</w:t>
            </w:r>
            <w:r>
              <w:rPr>
                <w:rFonts w:cs="Arial"/>
                <w:i/>
                <w:iCs/>
                <w:szCs w:val="19"/>
              </w:rPr>
              <w:t>Mounjaro</w:t>
            </w:r>
            <w:r>
              <w:rPr>
                <w:rFonts w:cs="Arial"/>
                <w:szCs w:val="19"/>
              </w:rPr>
              <w:t>)</w:t>
            </w:r>
          </w:p>
        </w:tc>
        <w:tc>
          <w:tcPr>
            <w:tcW w:w="3775" w:type="pct"/>
            <w:tcMar>
              <w:top w:w="57" w:type="dxa"/>
              <w:bottom w:w="57" w:type="dxa"/>
            </w:tcMar>
          </w:tcPr>
          <w:p w14:paraId="5AD4A4A9" w14:textId="5A5BA59E" w:rsidR="001A5D00" w:rsidRDefault="001A5D00" w:rsidP="001A5D00">
            <w:pPr>
              <w:tabs>
                <w:tab w:val="num" w:pos="720"/>
                <w:tab w:val="center" w:pos="3152"/>
              </w:tabs>
              <w:rPr>
                <w:rFonts w:cs="Arial"/>
                <w:szCs w:val="19"/>
                <w:lang w:val="en-US"/>
              </w:rPr>
            </w:pPr>
            <w:r w:rsidRPr="001A755E">
              <w:rPr>
                <w:rFonts w:cs="Arial"/>
                <w:szCs w:val="19"/>
                <w:lang w:val="en-US"/>
              </w:rPr>
              <w:t xml:space="preserve">Treatment of adults, adolescents and children aged 10 years and </w:t>
            </w:r>
            <w:r>
              <w:rPr>
                <w:rFonts w:cs="Arial"/>
                <w:szCs w:val="19"/>
                <w:lang w:val="en-US"/>
              </w:rPr>
              <w:t>older</w:t>
            </w:r>
            <w:r w:rsidRPr="001A755E">
              <w:rPr>
                <w:rFonts w:cs="Arial"/>
                <w:szCs w:val="19"/>
                <w:lang w:val="en-US"/>
              </w:rPr>
              <w:t xml:space="preserve"> with insufficiently controlled type 2 diabetes mellitus as an adjunct to diet and exercise or as monotherapy when metformin is considered inappropriate due to intolerance or contraindications in addition to other medicinal products for the treatment of diabetes</w:t>
            </w:r>
            <w:r>
              <w:rPr>
                <w:rFonts w:cs="Arial"/>
                <w:szCs w:val="19"/>
                <w:lang w:val="en-US"/>
              </w:rPr>
              <w:t xml:space="preserve"> </w:t>
            </w:r>
            <w:r w:rsidRPr="001A755E">
              <w:rPr>
                <w:rFonts w:cs="Arial"/>
                <w:sz w:val="16"/>
                <w:szCs w:val="16"/>
                <w:lang w:val="en-US"/>
              </w:rPr>
              <w:t>[EU] [licence change from use only in adults]</w:t>
            </w:r>
          </w:p>
        </w:tc>
      </w:tr>
      <w:tr w:rsidR="001A5D00" w:rsidRPr="000F19E1" w14:paraId="4E7466A3" w14:textId="77777777" w:rsidTr="00620B12">
        <w:tc>
          <w:tcPr>
            <w:tcW w:w="1225" w:type="pct"/>
            <w:gridSpan w:val="2"/>
            <w:tcMar>
              <w:top w:w="0" w:type="dxa"/>
              <w:bottom w:w="0" w:type="dxa"/>
            </w:tcMar>
          </w:tcPr>
          <w:p w14:paraId="4CEFE95D" w14:textId="77777777" w:rsidR="001A5D00" w:rsidRPr="000F19E1" w:rsidRDefault="001A5D00" w:rsidP="001A5D00">
            <w:pPr>
              <w:rPr>
                <w:rFonts w:cs="Arial"/>
                <w:bCs/>
                <w:sz w:val="8"/>
                <w:szCs w:val="8"/>
              </w:rPr>
            </w:pPr>
          </w:p>
        </w:tc>
        <w:tc>
          <w:tcPr>
            <w:tcW w:w="3775" w:type="pct"/>
            <w:tcMar>
              <w:top w:w="0" w:type="dxa"/>
              <w:bottom w:w="0" w:type="dxa"/>
            </w:tcMar>
          </w:tcPr>
          <w:p w14:paraId="2AD87E5C" w14:textId="77777777" w:rsidR="001A5D00" w:rsidRPr="000F19E1" w:rsidRDefault="001A5D00" w:rsidP="001A5D00">
            <w:pPr>
              <w:tabs>
                <w:tab w:val="center" w:pos="3152"/>
              </w:tabs>
              <w:rPr>
                <w:rFonts w:cs="Arial"/>
                <w:sz w:val="8"/>
                <w:szCs w:val="8"/>
                <w:lang w:val="en-US"/>
              </w:rPr>
            </w:pPr>
          </w:p>
        </w:tc>
      </w:tr>
      <w:tr w:rsidR="001A5D00" w:rsidRPr="000F19E1" w14:paraId="4379AAD0" w14:textId="77777777" w:rsidTr="00155BD9">
        <w:tc>
          <w:tcPr>
            <w:tcW w:w="1152" w:type="pct"/>
            <w:shd w:val="clear" w:color="auto" w:fill="DAEEF3"/>
            <w:tcMar>
              <w:top w:w="0" w:type="dxa"/>
              <w:bottom w:w="0" w:type="dxa"/>
            </w:tcMar>
          </w:tcPr>
          <w:p w14:paraId="62926589" w14:textId="77777777" w:rsidR="001A5D00" w:rsidRPr="000F19E1" w:rsidRDefault="001A5D00" w:rsidP="001A5D00">
            <w:pPr>
              <w:rPr>
                <w:rFonts w:cs="Arial"/>
                <w:bCs/>
                <w:sz w:val="8"/>
                <w:szCs w:val="8"/>
              </w:rPr>
            </w:pPr>
          </w:p>
        </w:tc>
        <w:tc>
          <w:tcPr>
            <w:tcW w:w="3848" w:type="pct"/>
            <w:gridSpan w:val="2"/>
            <w:shd w:val="clear" w:color="auto" w:fill="DAEEF3"/>
            <w:tcMar>
              <w:top w:w="0" w:type="dxa"/>
              <w:bottom w:w="0" w:type="dxa"/>
            </w:tcMar>
          </w:tcPr>
          <w:p w14:paraId="254E2F4F" w14:textId="77777777" w:rsidR="001A5D00" w:rsidRPr="000F19E1" w:rsidRDefault="001A5D00" w:rsidP="001A5D00">
            <w:pPr>
              <w:tabs>
                <w:tab w:val="center" w:pos="3152"/>
              </w:tabs>
              <w:rPr>
                <w:rFonts w:cs="Arial"/>
                <w:sz w:val="8"/>
                <w:szCs w:val="8"/>
                <w:lang w:val="en-US"/>
              </w:rPr>
            </w:pPr>
          </w:p>
        </w:tc>
      </w:tr>
      <w:tr w:rsidR="001A5D00" w:rsidRPr="00433D3E" w14:paraId="24FD764F" w14:textId="77777777" w:rsidTr="00562CE4">
        <w:tc>
          <w:tcPr>
            <w:tcW w:w="5000" w:type="pct"/>
            <w:gridSpan w:val="3"/>
            <w:shd w:val="clear" w:color="auto" w:fill="008232"/>
            <w:tcMar>
              <w:top w:w="57" w:type="dxa"/>
              <w:bottom w:w="57" w:type="dxa"/>
            </w:tcMar>
          </w:tcPr>
          <w:p w14:paraId="2D9AC17C" w14:textId="77777777" w:rsidR="001A5D00" w:rsidRPr="00433D3E" w:rsidRDefault="001A5D00" w:rsidP="001A5D00">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1A5D00" w:rsidRPr="00A075A3" w14:paraId="5EA914A3" w14:textId="77777777" w:rsidTr="00620B12">
        <w:tc>
          <w:tcPr>
            <w:tcW w:w="1225" w:type="pct"/>
            <w:gridSpan w:val="2"/>
            <w:tcMar>
              <w:top w:w="57" w:type="dxa"/>
              <w:bottom w:w="57" w:type="dxa"/>
            </w:tcMar>
          </w:tcPr>
          <w:p w14:paraId="2AB07A62" w14:textId="3902F5EA" w:rsidR="001A5D00" w:rsidRPr="00F32244" w:rsidRDefault="00F32244" w:rsidP="001A5D00">
            <w:pPr>
              <w:rPr>
                <w:rFonts w:cs="Arial"/>
                <w:szCs w:val="19"/>
              </w:rPr>
            </w:pPr>
            <w:r>
              <w:rPr>
                <w:rFonts w:cs="Arial"/>
                <w:szCs w:val="19"/>
              </w:rPr>
              <w:t>Atogepant (</w:t>
            </w:r>
            <w:r>
              <w:rPr>
                <w:rFonts w:cs="Arial"/>
                <w:i/>
                <w:iCs/>
                <w:szCs w:val="19"/>
              </w:rPr>
              <w:t>Aquipta</w:t>
            </w:r>
            <w:r>
              <w:rPr>
                <w:rFonts w:cs="Arial"/>
                <w:szCs w:val="19"/>
              </w:rPr>
              <w:t>)</w:t>
            </w:r>
          </w:p>
        </w:tc>
        <w:tc>
          <w:tcPr>
            <w:tcW w:w="3775" w:type="pct"/>
            <w:tcMar>
              <w:top w:w="57" w:type="dxa"/>
              <w:bottom w:w="57" w:type="dxa"/>
            </w:tcMar>
          </w:tcPr>
          <w:p w14:paraId="4F53D898" w14:textId="34C718CB" w:rsidR="001A5D00" w:rsidRPr="00A075A3" w:rsidRDefault="006A2547" w:rsidP="001A5D00">
            <w:pPr>
              <w:tabs>
                <w:tab w:val="center" w:pos="3152"/>
              </w:tabs>
              <w:rPr>
                <w:rFonts w:cs="Arial"/>
                <w:szCs w:val="19"/>
                <w:lang w:val="en-US"/>
              </w:rPr>
            </w:pPr>
            <w:r w:rsidRPr="006A2547">
              <w:rPr>
                <w:rFonts w:cs="Arial"/>
                <w:szCs w:val="19"/>
                <w:lang w:val="en-US"/>
              </w:rPr>
              <w:t>Acute treatment of migraine with or without aura in adults</w:t>
            </w:r>
            <w:r>
              <w:rPr>
                <w:rFonts w:cs="Arial"/>
                <w:szCs w:val="19"/>
                <w:lang w:val="en-US"/>
              </w:rPr>
              <w:t xml:space="preserve"> </w:t>
            </w:r>
            <w:r w:rsidRPr="00677F30">
              <w:rPr>
                <w:rFonts w:cs="Arial"/>
                <w:sz w:val="16"/>
                <w:szCs w:val="16"/>
              </w:rPr>
              <w:t>[EU] [new indication]</w:t>
            </w:r>
          </w:p>
        </w:tc>
      </w:tr>
      <w:tr w:rsidR="001A5D00" w:rsidRPr="00A075A3" w14:paraId="63D4F4EE" w14:textId="77777777" w:rsidTr="00620B12">
        <w:tc>
          <w:tcPr>
            <w:tcW w:w="1225" w:type="pct"/>
            <w:gridSpan w:val="2"/>
            <w:tcMar>
              <w:top w:w="57" w:type="dxa"/>
              <w:bottom w:w="57" w:type="dxa"/>
            </w:tcMar>
          </w:tcPr>
          <w:p w14:paraId="17898DC1" w14:textId="4E469AE7" w:rsidR="001A5D00" w:rsidRPr="00896AE9" w:rsidRDefault="001A5D00" w:rsidP="001A5D00">
            <w:pPr>
              <w:rPr>
                <w:rFonts w:cs="Arial"/>
                <w:szCs w:val="19"/>
              </w:rPr>
            </w:pPr>
            <w:r w:rsidRPr="001F4191">
              <w:rPr>
                <w:rFonts w:cs="Arial"/>
                <w:szCs w:val="19"/>
              </w:rPr>
              <w:t>Dabrafenib (</w:t>
            </w:r>
            <w:r w:rsidRPr="001F4191">
              <w:rPr>
                <w:rFonts w:cs="Arial"/>
                <w:i/>
                <w:iCs/>
                <w:szCs w:val="19"/>
              </w:rPr>
              <w:t>Tafinlar</w:t>
            </w:r>
            <w:r w:rsidRPr="001F4191">
              <w:rPr>
                <w:rFonts w:cs="Arial"/>
                <w:szCs w:val="19"/>
              </w:rPr>
              <w:t>)</w:t>
            </w:r>
          </w:p>
        </w:tc>
        <w:tc>
          <w:tcPr>
            <w:tcW w:w="3775" w:type="pct"/>
            <w:tcMar>
              <w:top w:w="57" w:type="dxa"/>
              <w:bottom w:w="57" w:type="dxa"/>
            </w:tcMar>
          </w:tcPr>
          <w:p w14:paraId="130FE51B" w14:textId="7E9C0B49" w:rsidR="001A5D00" w:rsidRPr="00A075A3" w:rsidRDefault="001A5D00" w:rsidP="001A5D00">
            <w:pPr>
              <w:tabs>
                <w:tab w:val="center" w:pos="3152"/>
              </w:tabs>
              <w:rPr>
                <w:rFonts w:cs="Arial"/>
                <w:szCs w:val="19"/>
                <w:lang w:val="en-US"/>
              </w:rPr>
            </w:pPr>
            <w:r>
              <w:rPr>
                <w:rFonts w:cs="Arial"/>
                <w:szCs w:val="19"/>
                <w:lang w:val="en-US"/>
              </w:rPr>
              <w:t>Treatment of u</w:t>
            </w:r>
            <w:r w:rsidRPr="00677F30">
              <w:rPr>
                <w:rFonts w:cs="Arial"/>
                <w:szCs w:val="19"/>
              </w:rPr>
              <w:t>nresectable or metastatic melanoma with a BRAF V600 mutation and adjuvant treatment of Stage III melanoma with a BRAF V600 mutation for adolescents aged 12 years and older</w:t>
            </w:r>
            <w:r w:rsidRPr="00677F30">
              <w:rPr>
                <w:rFonts w:cs="Arial"/>
                <w:sz w:val="16"/>
                <w:szCs w:val="16"/>
              </w:rPr>
              <w:t xml:space="preserve"> [EU] [new indication]</w:t>
            </w:r>
          </w:p>
        </w:tc>
      </w:tr>
      <w:tr w:rsidR="001A5D00" w:rsidRPr="00A075A3" w14:paraId="69B561AC" w14:textId="77777777" w:rsidTr="00620B12">
        <w:tc>
          <w:tcPr>
            <w:tcW w:w="1225" w:type="pct"/>
            <w:gridSpan w:val="2"/>
            <w:tcMar>
              <w:top w:w="57" w:type="dxa"/>
              <w:bottom w:w="57" w:type="dxa"/>
            </w:tcMar>
          </w:tcPr>
          <w:p w14:paraId="2D867B3D" w14:textId="77777777" w:rsidR="00AC6AF3" w:rsidRDefault="00FE70FE" w:rsidP="001A5D00">
            <w:pPr>
              <w:rPr>
                <w:rFonts w:cs="Arial"/>
                <w:szCs w:val="19"/>
              </w:rPr>
            </w:pPr>
            <w:r>
              <w:rPr>
                <w:rFonts w:cs="Arial"/>
                <w:szCs w:val="19"/>
              </w:rPr>
              <w:t>D</w:t>
            </w:r>
            <w:r w:rsidRPr="00FE70FE">
              <w:rPr>
                <w:rFonts w:cs="Arial"/>
                <w:szCs w:val="19"/>
              </w:rPr>
              <w:t>atopotamab deruxtecan </w:t>
            </w:r>
          </w:p>
          <w:p w14:paraId="7BC52A2B" w14:textId="0DA5D26E" w:rsidR="001A5D00" w:rsidRPr="00AC6AF3" w:rsidRDefault="00AC6AF3" w:rsidP="001A5D00">
            <w:pPr>
              <w:rPr>
                <w:rFonts w:cs="Arial"/>
                <w:szCs w:val="19"/>
              </w:rPr>
            </w:pPr>
            <w:r>
              <w:rPr>
                <w:rFonts w:cs="Arial"/>
                <w:szCs w:val="19"/>
              </w:rPr>
              <w:t>(</w:t>
            </w:r>
            <w:r>
              <w:rPr>
                <w:rFonts w:cs="Arial"/>
                <w:i/>
                <w:iCs/>
                <w:szCs w:val="19"/>
              </w:rPr>
              <w:t>Datroway</w:t>
            </w:r>
            <w:r>
              <w:rPr>
                <w:rFonts w:cs="Arial"/>
                <w:szCs w:val="19"/>
              </w:rPr>
              <w:t>)</w:t>
            </w:r>
          </w:p>
        </w:tc>
        <w:tc>
          <w:tcPr>
            <w:tcW w:w="3775" w:type="pct"/>
            <w:tcMar>
              <w:top w:w="57" w:type="dxa"/>
              <w:bottom w:w="57" w:type="dxa"/>
            </w:tcMar>
          </w:tcPr>
          <w:p w14:paraId="55EFC069" w14:textId="345CA0EE" w:rsidR="001A5D00" w:rsidRPr="00A075A3" w:rsidRDefault="004B2572" w:rsidP="001A5D00">
            <w:pPr>
              <w:tabs>
                <w:tab w:val="center" w:pos="3152"/>
              </w:tabs>
              <w:rPr>
                <w:rFonts w:cs="Arial"/>
                <w:szCs w:val="19"/>
                <w:lang w:val="en-US"/>
              </w:rPr>
            </w:pPr>
            <w:r>
              <w:rPr>
                <w:rFonts w:cs="Arial"/>
                <w:szCs w:val="19"/>
                <w:lang w:val="en-US"/>
              </w:rPr>
              <w:t xml:space="preserve">Advanced inoperable </w:t>
            </w:r>
            <w:r w:rsidRPr="004B2572">
              <w:rPr>
                <w:rFonts w:cs="Arial"/>
                <w:szCs w:val="19"/>
                <w:lang w:val="en-US"/>
              </w:rPr>
              <w:t>triple</w:t>
            </w:r>
            <w:r>
              <w:rPr>
                <w:rFonts w:cs="Arial"/>
                <w:szCs w:val="19"/>
                <w:lang w:val="en-US"/>
              </w:rPr>
              <w:t>-</w:t>
            </w:r>
            <w:r w:rsidRPr="004B2572">
              <w:rPr>
                <w:rFonts w:cs="Arial"/>
                <w:szCs w:val="19"/>
                <w:lang w:val="en-US"/>
              </w:rPr>
              <w:t>negative</w:t>
            </w:r>
            <w:r>
              <w:rPr>
                <w:rFonts w:cs="Arial"/>
                <w:szCs w:val="19"/>
                <w:lang w:val="en-US"/>
              </w:rPr>
              <w:t xml:space="preserve"> breast cancer </w:t>
            </w:r>
            <w:r w:rsidR="000410DA">
              <w:rPr>
                <w:rFonts w:cs="Arial"/>
                <w:szCs w:val="19"/>
                <w:lang w:val="en-US"/>
              </w:rPr>
              <w:t xml:space="preserve">in previously untreated </w:t>
            </w:r>
            <w:r w:rsidRPr="004B2572">
              <w:rPr>
                <w:rFonts w:cs="Arial"/>
                <w:szCs w:val="19"/>
                <w:lang w:val="en-US"/>
              </w:rPr>
              <w:t>adults not eligible to receive PD-1/PD-L1 inhibitor therapy</w:t>
            </w:r>
            <w:r w:rsidR="000410DA">
              <w:rPr>
                <w:rFonts w:cs="Arial"/>
                <w:szCs w:val="19"/>
                <w:lang w:val="en-US"/>
              </w:rPr>
              <w:t xml:space="preserve"> </w:t>
            </w:r>
            <w:r w:rsidR="000410DA" w:rsidRPr="00677F30">
              <w:rPr>
                <w:rFonts w:cs="Arial"/>
                <w:sz w:val="16"/>
                <w:szCs w:val="16"/>
              </w:rPr>
              <w:t>[EU] [new indication]</w:t>
            </w:r>
          </w:p>
        </w:tc>
      </w:tr>
      <w:tr w:rsidR="000F2C70" w:rsidRPr="00A075A3" w14:paraId="20837757" w14:textId="77777777" w:rsidTr="00620B12">
        <w:tc>
          <w:tcPr>
            <w:tcW w:w="1225" w:type="pct"/>
            <w:gridSpan w:val="2"/>
            <w:tcMar>
              <w:top w:w="57" w:type="dxa"/>
              <w:bottom w:w="57" w:type="dxa"/>
            </w:tcMar>
          </w:tcPr>
          <w:p w14:paraId="692FFA21" w14:textId="0F0A701A" w:rsidR="000F2C70" w:rsidRPr="000F2C70" w:rsidRDefault="000F2C70" w:rsidP="001A5D00">
            <w:pPr>
              <w:rPr>
                <w:rFonts w:cs="Arial"/>
                <w:szCs w:val="19"/>
              </w:rPr>
            </w:pPr>
            <w:r>
              <w:rPr>
                <w:rFonts w:cs="Arial"/>
                <w:szCs w:val="19"/>
              </w:rPr>
              <w:t>Enfortumab vedotin (</w:t>
            </w:r>
            <w:r>
              <w:rPr>
                <w:rFonts w:cs="Arial"/>
                <w:i/>
                <w:iCs/>
                <w:szCs w:val="19"/>
              </w:rPr>
              <w:t>Padcev</w:t>
            </w:r>
            <w:r>
              <w:rPr>
                <w:rFonts w:cs="Arial"/>
                <w:szCs w:val="19"/>
              </w:rPr>
              <w:t>)</w:t>
            </w:r>
          </w:p>
        </w:tc>
        <w:tc>
          <w:tcPr>
            <w:tcW w:w="3775" w:type="pct"/>
            <w:tcMar>
              <w:top w:w="57" w:type="dxa"/>
              <w:bottom w:w="57" w:type="dxa"/>
            </w:tcMar>
          </w:tcPr>
          <w:p w14:paraId="709BB534" w14:textId="0769F2A6" w:rsidR="000F2C70" w:rsidRPr="0006785A" w:rsidRDefault="008E1E51" w:rsidP="008E1E51">
            <w:pPr>
              <w:tabs>
                <w:tab w:val="center" w:pos="3152"/>
              </w:tabs>
              <w:rPr>
                <w:rFonts w:cs="Arial"/>
                <w:szCs w:val="19"/>
                <w:lang w:val="en-US"/>
              </w:rPr>
            </w:pPr>
            <w:r>
              <w:rPr>
                <w:rFonts w:cs="Arial"/>
                <w:szCs w:val="19"/>
                <w:lang w:val="en-US"/>
              </w:rPr>
              <w:t>Use as n</w:t>
            </w:r>
            <w:r w:rsidR="00721D24" w:rsidRPr="00721D24">
              <w:rPr>
                <w:rFonts w:cs="Arial"/>
                <w:szCs w:val="19"/>
                <w:lang w:val="en-US"/>
              </w:rPr>
              <w:t>eoadjuvant treatment and adjuvant treatment continued after radical cystectomy</w:t>
            </w:r>
            <w:r w:rsidR="00D762FC">
              <w:rPr>
                <w:rFonts w:cs="Arial"/>
                <w:szCs w:val="19"/>
                <w:lang w:val="en-US"/>
              </w:rPr>
              <w:t xml:space="preserve"> </w:t>
            </w:r>
            <w:r w:rsidR="00D762FC" w:rsidRPr="00721D24">
              <w:rPr>
                <w:rFonts w:cs="Arial"/>
                <w:szCs w:val="19"/>
                <w:lang w:val="en-US"/>
              </w:rPr>
              <w:t>in combination with pembrolizumab</w:t>
            </w:r>
            <w:r w:rsidR="00721D24" w:rsidRPr="00721D24">
              <w:rPr>
                <w:rFonts w:cs="Arial"/>
                <w:szCs w:val="19"/>
                <w:lang w:val="en-US"/>
              </w:rPr>
              <w:t>, for the treatment of adult</w:t>
            </w:r>
            <w:r w:rsidR="00721D24">
              <w:rPr>
                <w:rFonts w:cs="Arial"/>
                <w:szCs w:val="19"/>
                <w:lang w:val="en-US"/>
              </w:rPr>
              <w:t xml:space="preserve">s </w:t>
            </w:r>
            <w:r w:rsidR="00721D24" w:rsidRPr="00721D24">
              <w:rPr>
                <w:rFonts w:cs="Arial"/>
                <w:szCs w:val="19"/>
                <w:lang w:val="en-US"/>
              </w:rPr>
              <w:t xml:space="preserve">with muscle invasive bladder cancer who are ineligible for cisplatin-containing chemotherapy </w:t>
            </w:r>
            <w:r w:rsidR="00D762FC" w:rsidRPr="00677F30">
              <w:rPr>
                <w:rFonts w:cs="Arial"/>
                <w:sz w:val="16"/>
                <w:szCs w:val="16"/>
              </w:rPr>
              <w:t>[EU] [new indication]</w:t>
            </w:r>
          </w:p>
        </w:tc>
      </w:tr>
      <w:tr w:rsidR="00023F1B" w:rsidRPr="00A075A3" w14:paraId="00B3F598" w14:textId="77777777" w:rsidTr="00620B12">
        <w:tc>
          <w:tcPr>
            <w:tcW w:w="1225" w:type="pct"/>
            <w:gridSpan w:val="2"/>
            <w:tcMar>
              <w:top w:w="57" w:type="dxa"/>
              <w:bottom w:w="57" w:type="dxa"/>
            </w:tcMar>
          </w:tcPr>
          <w:p w14:paraId="229A74AF" w14:textId="07A6CA43" w:rsidR="00023F1B" w:rsidRPr="00EB3DB9" w:rsidRDefault="00023F1B" w:rsidP="001A5D00">
            <w:pPr>
              <w:rPr>
                <w:rFonts w:cs="Arial"/>
                <w:szCs w:val="19"/>
              </w:rPr>
            </w:pPr>
            <w:r>
              <w:rPr>
                <w:rFonts w:cs="Arial"/>
                <w:szCs w:val="19"/>
              </w:rPr>
              <w:t xml:space="preserve">Ensartinib </w:t>
            </w:r>
            <w:r w:rsidR="00EB3DB9">
              <w:rPr>
                <w:rFonts w:cs="Arial"/>
                <w:szCs w:val="19"/>
              </w:rPr>
              <w:t>(</w:t>
            </w:r>
            <w:r w:rsidR="00EB3DB9">
              <w:rPr>
                <w:rFonts w:cs="Arial"/>
                <w:i/>
                <w:iCs/>
                <w:szCs w:val="19"/>
              </w:rPr>
              <w:t>Ensacove</w:t>
            </w:r>
            <w:r w:rsidR="00EB3DB9">
              <w:rPr>
                <w:rFonts w:cs="Arial"/>
                <w:szCs w:val="19"/>
              </w:rPr>
              <w:t>)</w:t>
            </w:r>
          </w:p>
        </w:tc>
        <w:tc>
          <w:tcPr>
            <w:tcW w:w="3775" w:type="pct"/>
            <w:tcMar>
              <w:top w:w="57" w:type="dxa"/>
              <w:bottom w:w="57" w:type="dxa"/>
            </w:tcMar>
          </w:tcPr>
          <w:p w14:paraId="1A7B212A" w14:textId="4607C9A4" w:rsidR="00023F1B" w:rsidRPr="0006785A" w:rsidRDefault="00DE0E13" w:rsidP="001A5D00">
            <w:pPr>
              <w:tabs>
                <w:tab w:val="center" w:pos="3152"/>
              </w:tabs>
              <w:rPr>
                <w:rFonts w:cs="Arial"/>
                <w:szCs w:val="19"/>
                <w:lang w:val="en-US"/>
              </w:rPr>
            </w:pPr>
            <w:r w:rsidRPr="00DE0E13">
              <w:rPr>
                <w:rFonts w:cs="Arial"/>
                <w:szCs w:val="19"/>
                <w:lang w:val="en-US"/>
              </w:rPr>
              <w:t>Treatment of adults with anaplastic lymphoma kinase-positive advanced non-small cell lung cancer</w:t>
            </w:r>
            <w:r>
              <w:rPr>
                <w:rFonts w:cs="Arial"/>
                <w:szCs w:val="19"/>
                <w:lang w:val="en-US"/>
              </w:rPr>
              <w:t xml:space="preserve"> </w:t>
            </w:r>
            <w:r w:rsidRPr="00677F30">
              <w:rPr>
                <w:rFonts w:cs="Arial"/>
                <w:sz w:val="16"/>
                <w:szCs w:val="16"/>
              </w:rPr>
              <w:t>[EU]</w:t>
            </w:r>
          </w:p>
        </w:tc>
      </w:tr>
      <w:tr w:rsidR="001A5D00" w:rsidRPr="000F19E1" w14:paraId="4E1A7727" w14:textId="77777777" w:rsidTr="00620B12">
        <w:tc>
          <w:tcPr>
            <w:tcW w:w="1225" w:type="pct"/>
            <w:gridSpan w:val="2"/>
            <w:tcMar>
              <w:top w:w="0" w:type="dxa"/>
              <w:bottom w:w="0" w:type="dxa"/>
            </w:tcMar>
          </w:tcPr>
          <w:p w14:paraId="191E7F6F" w14:textId="77777777" w:rsidR="001A5D00" w:rsidRPr="000F19E1" w:rsidRDefault="001A5D00" w:rsidP="001A5D00">
            <w:pPr>
              <w:rPr>
                <w:rFonts w:cs="Arial"/>
                <w:bCs/>
                <w:sz w:val="8"/>
                <w:szCs w:val="8"/>
              </w:rPr>
            </w:pPr>
          </w:p>
        </w:tc>
        <w:tc>
          <w:tcPr>
            <w:tcW w:w="3775" w:type="pct"/>
            <w:tcMar>
              <w:top w:w="0" w:type="dxa"/>
              <w:bottom w:w="0" w:type="dxa"/>
            </w:tcMar>
          </w:tcPr>
          <w:p w14:paraId="420B7F2B" w14:textId="77777777" w:rsidR="001A5D00" w:rsidRPr="000F19E1" w:rsidRDefault="001A5D00" w:rsidP="001A5D00">
            <w:pPr>
              <w:tabs>
                <w:tab w:val="center" w:pos="3152"/>
              </w:tabs>
              <w:rPr>
                <w:rFonts w:cs="Arial"/>
                <w:sz w:val="8"/>
                <w:szCs w:val="8"/>
                <w:lang w:val="en-US"/>
              </w:rPr>
            </w:pPr>
          </w:p>
        </w:tc>
      </w:tr>
      <w:tr w:rsidR="001A5D00" w:rsidRPr="000F19E1" w14:paraId="14D3EB6E" w14:textId="77777777" w:rsidTr="00155BD9">
        <w:tc>
          <w:tcPr>
            <w:tcW w:w="1152" w:type="pct"/>
            <w:shd w:val="clear" w:color="auto" w:fill="DAEEF3"/>
            <w:tcMar>
              <w:top w:w="0" w:type="dxa"/>
              <w:bottom w:w="0" w:type="dxa"/>
            </w:tcMar>
          </w:tcPr>
          <w:p w14:paraId="6859E789" w14:textId="77777777" w:rsidR="001A5D00" w:rsidRPr="000F19E1" w:rsidRDefault="001A5D00" w:rsidP="001A5D00">
            <w:pPr>
              <w:rPr>
                <w:rFonts w:cs="Arial"/>
                <w:bCs/>
                <w:sz w:val="8"/>
                <w:szCs w:val="8"/>
              </w:rPr>
            </w:pPr>
          </w:p>
        </w:tc>
        <w:tc>
          <w:tcPr>
            <w:tcW w:w="3848" w:type="pct"/>
            <w:gridSpan w:val="2"/>
            <w:shd w:val="clear" w:color="auto" w:fill="DAEEF3"/>
            <w:tcMar>
              <w:top w:w="0" w:type="dxa"/>
              <w:bottom w:w="0" w:type="dxa"/>
            </w:tcMar>
          </w:tcPr>
          <w:p w14:paraId="5C1460D6" w14:textId="77777777" w:rsidR="001A5D00" w:rsidRPr="000F19E1" w:rsidRDefault="001A5D00" w:rsidP="001A5D00">
            <w:pPr>
              <w:tabs>
                <w:tab w:val="center" w:pos="3152"/>
              </w:tabs>
              <w:rPr>
                <w:rFonts w:cs="Arial"/>
                <w:sz w:val="8"/>
                <w:szCs w:val="8"/>
                <w:lang w:val="en-US"/>
              </w:rPr>
            </w:pPr>
          </w:p>
        </w:tc>
      </w:tr>
    </w:tbl>
    <w:p w14:paraId="532C2070" w14:textId="77777777" w:rsidR="001A42CE" w:rsidRDefault="001A42CE">
      <w:pPr>
        <w:rPr>
          <w:sz w:val="18"/>
        </w:rPr>
      </w:pPr>
    </w:p>
    <w:p w14:paraId="5EE5430D" w14:textId="77777777" w:rsidR="00A81694" w:rsidRDefault="00A81694">
      <w:pPr>
        <w:rPr>
          <w:sz w:val="18"/>
        </w:rPr>
      </w:pPr>
    </w:p>
    <w:p w14:paraId="54E6DF62" w14:textId="77777777" w:rsidR="00097E4F" w:rsidRDefault="00097E4F">
      <w:pPr>
        <w:rPr>
          <w:sz w:val="18"/>
        </w:rPr>
      </w:pPr>
    </w:p>
    <w:p w14:paraId="6399591A" w14:textId="77777777" w:rsidR="00A75BCB" w:rsidRDefault="00A75BCB"/>
    <w:tbl>
      <w:tblPr>
        <w:tblW w:w="5170" w:type="pct"/>
        <w:tblInd w:w="-176" w:type="dxa"/>
        <w:tblLayout w:type="fixed"/>
        <w:tblLook w:val="01E0" w:firstRow="1" w:lastRow="1" w:firstColumn="1" w:lastColumn="1" w:noHBand="0" w:noVBand="0"/>
      </w:tblPr>
      <w:tblGrid>
        <w:gridCol w:w="2430"/>
        <w:gridCol w:w="298"/>
        <w:gridCol w:w="7823"/>
      </w:tblGrid>
      <w:tr w:rsidR="009559F3" w:rsidRPr="00862949" w14:paraId="2AF1D124" w14:textId="77777777" w:rsidTr="002E23B3">
        <w:tc>
          <w:tcPr>
            <w:tcW w:w="5000" w:type="pct"/>
            <w:gridSpan w:val="3"/>
            <w:shd w:val="clear" w:color="auto" w:fill="0070C0"/>
            <w:tcMar>
              <w:top w:w="85" w:type="dxa"/>
              <w:bottom w:w="85" w:type="dxa"/>
            </w:tcMar>
            <w:vAlign w:val="bottom"/>
          </w:tcPr>
          <w:p w14:paraId="207B0815" w14:textId="77777777" w:rsidR="009559F3" w:rsidRPr="00862949" w:rsidRDefault="009559F3" w:rsidP="002E23B3">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9559F3" w:rsidRPr="000F19E1" w14:paraId="3ACF2485" w14:textId="77777777" w:rsidTr="002E23B3">
        <w:tc>
          <w:tcPr>
            <w:tcW w:w="1152" w:type="pct"/>
            <w:shd w:val="clear" w:color="auto" w:fill="DAEEF3"/>
            <w:tcMar>
              <w:top w:w="0" w:type="dxa"/>
              <w:bottom w:w="0" w:type="dxa"/>
            </w:tcMar>
          </w:tcPr>
          <w:p w14:paraId="19F11ECF" w14:textId="77777777" w:rsidR="009559F3" w:rsidRPr="000F19E1" w:rsidRDefault="009559F3" w:rsidP="002E23B3">
            <w:pPr>
              <w:rPr>
                <w:rFonts w:cs="Arial"/>
                <w:bCs/>
                <w:sz w:val="8"/>
                <w:szCs w:val="8"/>
              </w:rPr>
            </w:pPr>
          </w:p>
        </w:tc>
        <w:tc>
          <w:tcPr>
            <w:tcW w:w="3848" w:type="pct"/>
            <w:gridSpan w:val="2"/>
            <w:shd w:val="clear" w:color="auto" w:fill="DAEEF3"/>
            <w:tcMar>
              <w:top w:w="0" w:type="dxa"/>
              <w:bottom w:w="0" w:type="dxa"/>
            </w:tcMar>
          </w:tcPr>
          <w:p w14:paraId="52379EAD" w14:textId="77777777" w:rsidR="009559F3" w:rsidRPr="000F19E1" w:rsidRDefault="009559F3" w:rsidP="002E23B3">
            <w:pPr>
              <w:tabs>
                <w:tab w:val="center" w:pos="3152"/>
              </w:tabs>
              <w:rPr>
                <w:rFonts w:cs="Arial"/>
                <w:sz w:val="8"/>
                <w:szCs w:val="8"/>
                <w:lang w:val="en-US"/>
              </w:rPr>
            </w:pPr>
          </w:p>
        </w:tc>
      </w:tr>
      <w:tr w:rsidR="009559F3" w:rsidRPr="00433D3E" w14:paraId="05A6B50F" w14:textId="77777777" w:rsidTr="002E23B3">
        <w:tc>
          <w:tcPr>
            <w:tcW w:w="5000" w:type="pct"/>
            <w:gridSpan w:val="3"/>
            <w:shd w:val="clear" w:color="auto" w:fill="008232"/>
            <w:tcMar>
              <w:top w:w="57" w:type="dxa"/>
              <w:bottom w:w="57" w:type="dxa"/>
            </w:tcMar>
          </w:tcPr>
          <w:p w14:paraId="066256C0" w14:textId="4678B9F6" w:rsidR="009559F3" w:rsidRPr="00433D3E" w:rsidRDefault="009559F3" w:rsidP="002E23B3">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r w:rsidR="00556905">
              <w:rPr>
                <w:rFonts w:cs="Arial"/>
                <w:b/>
                <w:bCs/>
                <w:i/>
                <w:iCs/>
                <w:color w:val="FFFFFF"/>
                <w:sz w:val="22"/>
                <w:szCs w:val="20"/>
                <w:lang w:val="en-US"/>
              </w:rPr>
              <w:t xml:space="preserve"> </w:t>
            </w:r>
            <w:r w:rsidR="00556905" w:rsidRPr="0021490D">
              <w:rPr>
                <w:rFonts w:cs="Arial"/>
                <w:b/>
                <w:bCs/>
                <w:color w:val="FFFFFF"/>
                <w:sz w:val="16"/>
                <w:szCs w:val="14"/>
                <w:lang w:val="en-US"/>
              </w:rPr>
              <w:t>(continued)</w:t>
            </w:r>
          </w:p>
        </w:tc>
      </w:tr>
      <w:tr w:rsidR="009559F3" w:rsidRPr="00A075A3" w14:paraId="4816C0F0" w14:textId="77777777" w:rsidTr="000F2409">
        <w:tc>
          <w:tcPr>
            <w:tcW w:w="1293" w:type="pct"/>
            <w:gridSpan w:val="2"/>
            <w:tcMar>
              <w:top w:w="57" w:type="dxa"/>
              <w:bottom w:w="57" w:type="dxa"/>
            </w:tcMar>
          </w:tcPr>
          <w:p w14:paraId="5812F237" w14:textId="77777777" w:rsidR="009559F3" w:rsidRPr="003C4B98" w:rsidRDefault="009559F3" w:rsidP="002E23B3">
            <w:pPr>
              <w:rPr>
                <w:rFonts w:cs="Arial"/>
                <w:szCs w:val="19"/>
              </w:rPr>
            </w:pPr>
            <w:r w:rsidRPr="003C4B98">
              <w:rPr>
                <w:rFonts w:cs="Arial"/>
                <w:szCs w:val="19"/>
              </w:rPr>
              <w:t>Epcoritamab</w:t>
            </w:r>
            <w:r>
              <w:rPr>
                <w:rFonts w:cs="Arial"/>
                <w:szCs w:val="19"/>
              </w:rPr>
              <w:t xml:space="preserve"> (</w:t>
            </w:r>
            <w:r>
              <w:rPr>
                <w:rFonts w:cs="Arial"/>
                <w:i/>
                <w:iCs/>
                <w:szCs w:val="19"/>
              </w:rPr>
              <w:t>Tepkinly</w:t>
            </w:r>
            <w:r>
              <w:rPr>
                <w:rFonts w:cs="Arial"/>
                <w:szCs w:val="19"/>
              </w:rPr>
              <w:t>)</w:t>
            </w:r>
          </w:p>
        </w:tc>
        <w:tc>
          <w:tcPr>
            <w:tcW w:w="3707" w:type="pct"/>
            <w:tcMar>
              <w:top w:w="57" w:type="dxa"/>
              <w:bottom w:w="57" w:type="dxa"/>
            </w:tcMar>
          </w:tcPr>
          <w:p w14:paraId="69E317D9" w14:textId="77777777" w:rsidR="009559F3" w:rsidRDefault="009559F3" w:rsidP="002E23B3">
            <w:pPr>
              <w:tabs>
                <w:tab w:val="center" w:pos="3152"/>
              </w:tabs>
              <w:rPr>
                <w:rFonts w:cs="Arial"/>
                <w:szCs w:val="19"/>
                <w:lang w:val="en-US"/>
              </w:rPr>
            </w:pPr>
            <w:r w:rsidRPr="0006785A">
              <w:rPr>
                <w:rFonts w:cs="Arial"/>
                <w:szCs w:val="19"/>
                <w:lang w:val="en-US"/>
              </w:rPr>
              <w:t>Use in combination with rituximab and lenalidomide for treatment of patients with relapsed/refractory follicular lymphoma</w:t>
            </w:r>
            <w:r>
              <w:rPr>
                <w:rFonts w:cs="Arial"/>
                <w:szCs w:val="19"/>
                <w:lang w:val="en-US"/>
              </w:rPr>
              <w:t xml:space="preserve"> </w:t>
            </w:r>
            <w:r w:rsidRPr="00677F30">
              <w:rPr>
                <w:rFonts w:cs="Arial"/>
                <w:sz w:val="16"/>
                <w:szCs w:val="16"/>
              </w:rPr>
              <w:t>[EU] [new indication]</w:t>
            </w:r>
          </w:p>
        </w:tc>
      </w:tr>
      <w:tr w:rsidR="009559F3" w:rsidRPr="00A075A3" w14:paraId="585B9FA0" w14:textId="77777777" w:rsidTr="000F2409">
        <w:tc>
          <w:tcPr>
            <w:tcW w:w="1293" w:type="pct"/>
            <w:gridSpan w:val="2"/>
            <w:tcMar>
              <w:top w:w="57" w:type="dxa"/>
              <w:bottom w:w="57" w:type="dxa"/>
            </w:tcMar>
          </w:tcPr>
          <w:p w14:paraId="2BF4A09D" w14:textId="77777777" w:rsidR="009559F3" w:rsidRPr="008303B2" w:rsidRDefault="009559F3" w:rsidP="002E23B3">
            <w:pPr>
              <w:rPr>
                <w:rFonts w:cs="Arial"/>
                <w:szCs w:val="19"/>
              </w:rPr>
            </w:pPr>
            <w:r>
              <w:rPr>
                <w:rFonts w:cs="Arial"/>
                <w:szCs w:val="19"/>
              </w:rPr>
              <w:t>Etripamil (</w:t>
            </w:r>
            <w:r>
              <w:rPr>
                <w:rFonts w:cs="Arial"/>
                <w:i/>
                <w:iCs/>
                <w:szCs w:val="19"/>
              </w:rPr>
              <w:t>Cardamyst</w:t>
            </w:r>
            <w:r>
              <w:rPr>
                <w:rFonts w:cs="Arial"/>
                <w:szCs w:val="19"/>
              </w:rPr>
              <w:t>)</w:t>
            </w:r>
          </w:p>
        </w:tc>
        <w:tc>
          <w:tcPr>
            <w:tcW w:w="3707" w:type="pct"/>
            <w:tcMar>
              <w:top w:w="57" w:type="dxa"/>
              <w:bottom w:w="57" w:type="dxa"/>
            </w:tcMar>
          </w:tcPr>
          <w:p w14:paraId="62C27050" w14:textId="77777777" w:rsidR="009559F3" w:rsidRPr="0006785A" w:rsidRDefault="009559F3" w:rsidP="002E23B3">
            <w:pPr>
              <w:tabs>
                <w:tab w:val="center" w:pos="3152"/>
              </w:tabs>
              <w:rPr>
                <w:rFonts w:cs="Arial"/>
                <w:szCs w:val="19"/>
                <w:lang w:val="en-US"/>
              </w:rPr>
            </w:pPr>
            <w:r w:rsidRPr="0067137A">
              <w:rPr>
                <w:rFonts w:cs="Arial"/>
                <w:szCs w:val="19"/>
                <w:lang w:val="en-US"/>
              </w:rPr>
              <w:t>Rapid conversion of paroxysmal supraventricular tachycardia episodes to sinus rhythm in adults</w:t>
            </w:r>
            <w:r>
              <w:rPr>
                <w:rFonts w:cs="Arial"/>
                <w:szCs w:val="19"/>
                <w:lang w:val="en-US"/>
              </w:rPr>
              <w:t xml:space="preserve"> </w:t>
            </w:r>
            <w:r w:rsidRPr="00677F30">
              <w:rPr>
                <w:rFonts w:cs="Arial"/>
                <w:sz w:val="16"/>
                <w:szCs w:val="16"/>
              </w:rPr>
              <w:t>[EU]</w:t>
            </w:r>
          </w:p>
        </w:tc>
      </w:tr>
      <w:tr w:rsidR="009559F3" w:rsidRPr="00A075A3" w14:paraId="561FB906" w14:textId="77777777" w:rsidTr="000F2409">
        <w:tc>
          <w:tcPr>
            <w:tcW w:w="1293" w:type="pct"/>
            <w:gridSpan w:val="2"/>
            <w:tcMar>
              <w:top w:w="57" w:type="dxa"/>
              <w:bottom w:w="57" w:type="dxa"/>
            </w:tcMar>
          </w:tcPr>
          <w:p w14:paraId="4E07B2E9" w14:textId="77777777" w:rsidR="009559F3" w:rsidRPr="004910AC" w:rsidRDefault="009559F3" w:rsidP="002E23B3">
            <w:pPr>
              <w:rPr>
                <w:rFonts w:cs="Arial"/>
                <w:szCs w:val="19"/>
              </w:rPr>
            </w:pPr>
            <w:r w:rsidRPr="00923D31">
              <w:rPr>
                <w:rFonts w:cs="Arial"/>
                <w:szCs w:val="19"/>
              </w:rPr>
              <w:t>mRNA-1083</w:t>
            </w:r>
          </w:p>
        </w:tc>
        <w:tc>
          <w:tcPr>
            <w:tcW w:w="3707" w:type="pct"/>
            <w:tcMar>
              <w:top w:w="57" w:type="dxa"/>
              <w:bottom w:w="57" w:type="dxa"/>
            </w:tcMar>
          </w:tcPr>
          <w:p w14:paraId="1867832B" w14:textId="77777777" w:rsidR="009559F3" w:rsidRPr="00460B68" w:rsidRDefault="009559F3" w:rsidP="002E23B3">
            <w:pPr>
              <w:tabs>
                <w:tab w:val="center" w:pos="3152"/>
              </w:tabs>
              <w:rPr>
                <w:rFonts w:cs="Arial"/>
                <w:szCs w:val="19"/>
                <w:lang w:val="en-US"/>
              </w:rPr>
            </w:pPr>
            <w:r>
              <w:rPr>
                <w:rFonts w:cs="Arial"/>
                <w:szCs w:val="19"/>
                <w:lang w:val="en-US"/>
              </w:rPr>
              <w:t>Prevention of i</w:t>
            </w:r>
            <w:r w:rsidRPr="002F398F">
              <w:rPr>
                <w:rFonts w:cs="Arial"/>
                <w:szCs w:val="19"/>
                <w:lang w:val="en-US"/>
              </w:rPr>
              <w:t xml:space="preserve">nfluenza </w:t>
            </w:r>
            <w:r w:rsidRPr="002F398F">
              <w:rPr>
                <w:rFonts w:cs="Arial"/>
                <w:szCs w:val="19"/>
                <w:lang w:val="en-US"/>
              </w:rPr>
              <w:tab/>
              <w:t>and COVID-19 infections in adults aged 50 years and older</w:t>
            </w:r>
            <w:r>
              <w:rPr>
                <w:rFonts w:cs="Arial"/>
                <w:szCs w:val="19"/>
                <w:lang w:val="en-US"/>
              </w:rPr>
              <w:t xml:space="preserve"> </w:t>
            </w:r>
            <w:r w:rsidRPr="00081F6A">
              <w:rPr>
                <w:rFonts w:cs="Arial"/>
                <w:sz w:val="16"/>
                <w:szCs w:val="16"/>
                <w:lang w:val="en-US"/>
              </w:rPr>
              <w:t>[EU]</w:t>
            </w:r>
          </w:p>
        </w:tc>
      </w:tr>
      <w:tr w:rsidR="009559F3" w:rsidRPr="00A075A3" w14:paraId="7D2197C6" w14:textId="77777777" w:rsidTr="000F2409">
        <w:tc>
          <w:tcPr>
            <w:tcW w:w="1293" w:type="pct"/>
            <w:gridSpan w:val="2"/>
            <w:tcMar>
              <w:top w:w="57" w:type="dxa"/>
              <w:bottom w:w="57" w:type="dxa"/>
            </w:tcMar>
          </w:tcPr>
          <w:p w14:paraId="1A0A020F" w14:textId="77777777" w:rsidR="009559F3" w:rsidRPr="00C63194" w:rsidRDefault="009559F3" w:rsidP="002E23B3">
            <w:pPr>
              <w:rPr>
                <w:rFonts w:cs="Arial"/>
                <w:szCs w:val="19"/>
              </w:rPr>
            </w:pPr>
            <w:r>
              <w:rPr>
                <w:rFonts w:cs="Arial"/>
                <w:szCs w:val="19"/>
              </w:rPr>
              <w:t>Ocrelizumab (</w:t>
            </w:r>
            <w:r>
              <w:rPr>
                <w:rFonts w:cs="Arial"/>
                <w:i/>
                <w:iCs/>
                <w:szCs w:val="19"/>
              </w:rPr>
              <w:t>Ocrevus</w:t>
            </w:r>
            <w:r>
              <w:rPr>
                <w:rFonts w:cs="Arial"/>
                <w:szCs w:val="19"/>
              </w:rPr>
              <w:t>)</w:t>
            </w:r>
          </w:p>
        </w:tc>
        <w:tc>
          <w:tcPr>
            <w:tcW w:w="3707" w:type="pct"/>
            <w:tcMar>
              <w:top w:w="57" w:type="dxa"/>
              <w:bottom w:w="57" w:type="dxa"/>
            </w:tcMar>
          </w:tcPr>
          <w:p w14:paraId="0CFDBBFD" w14:textId="77777777" w:rsidR="009559F3" w:rsidRPr="00460B68" w:rsidRDefault="009559F3" w:rsidP="002E23B3">
            <w:pPr>
              <w:tabs>
                <w:tab w:val="center" w:pos="3152"/>
              </w:tabs>
              <w:rPr>
                <w:rFonts w:cs="Arial"/>
                <w:szCs w:val="19"/>
                <w:lang w:val="en-US"/>
              </w:rPr>
            </w:pPr>
            <w:r w:rsidRPr="00C63194">
              <w:rPr>
                <w:rFonts w:cs="Arial"/>
                <w:szCs w:val="19"/>
                <w:lang w:val="en-US"/>
              </w:rPr>
              <w:t>Treatment of paediatric patients aged 10 years and older with relapsing remitting multiple sclerosis</w:t>
            </w:r>
            <w:r>
              <w:rPr>
                <w:rFonts w:cs="Arial"/>
                <w:szCs w:val="19"/>
                <w:lang w:val="en-US"/>
              </w:rPr>
              <w:t xml:space="preserve"> </w:t>
            </w:r>
            <w:r w:rsidRPr="00A40D45">
              <w:rPr>
                <w:rFonts w:cs="Arial"/>
                <w:sz w:val="16"/>
                <w:szCs w:val="16"/>
                <w:lang w:val="en-US"/>
              </w:rPr>
              <w:t>[EU] [licence change from use only in adults]</w:t>
            </w:r>
            <w:r>
              <w:rPr>
                <w:rFonts w:cs="Arial"/>
                <w:szCs w:val="19"/>
                <w:lang w:val="en-US"/>
              </w:rPr>
              <w:t xml:space="preserve"> </w:t>
            </w:r>
          </w:p>
        </w:tc>
      </w:tr>
      <w:tr w:rsidR="009559F3" w:rsidRPr="00A075A3" w14:paraId="1A207465" w14:textId="77777777" w:rsidTr="000F2409">
        <w:tc>
          <w:tcPr>
            <w:tcW w:w="1293" w:type="pct"/>
            <w:gridSpan w:val="2"/>
            <w:tcMar>
              <w:top w:w="57" w:type="dxa"/>
              <w:bottom w:w="57" w:type="dxa"/>
            </w:tcMar>
          </w:tcPr>
          <w:p w14:paraId="0CC86FFC" w14:textId="77777777" w:rsidR="009559F3" w:rsidRPr="004366F0" w:rsidRDefault="009559F3" w:rsidP="002E23B3">
            <w:pPr>
              <w:rPr>
                <w:rFonts w:cs="Arial"/>
                <w:szCs w:val="19"/>
              </w:rPr>
            </w:pPr>
            <w:r>
              <w:rPr>
                <w:rFonts w:cs="Arial"/>
                <w:szCs w:val="19"/>
              </w:rPr>
              <w:t>Pembrolizumab (</w:t>
            </w:r>
            <w:r>
              <w:rPr>
                <w:rFonts w:cs="Arial"/>
                <w:i/>
                <w:iCs/>
                <w:szCs w:val="19"/>
              </w:rPr>
              <w:t>Keytruda</w:t>
            </w:r>
            <w:r>
              <w:rPr>
                <w:rFonts w:cs="Arial"/>
                <w:szCs w:val="19"/>
              </w:rPr>
              <w:t>)</w:t>
            </w:r>
          </w:p>
        </w:tc>
        <w:tc>
          <w:tcPr>
            <w:tcW w:w="3707" w:type="pct"/>
            <w:tcMar>
              <w:top w:w="57" w:type="dxa"/>
              <w:bottom w:w="57" w:type="dxa"/>
            </w:tcMar>
          </w:tcPr>
          <w:p w14:paraId="159DCC99" w14:textId="5FCB0B15" w:rsidR="00620B12" w:rsidRDefault="00EC784B" w:rsidP="00620B12">
            <w:pPr>
              <w:tabs>
                <w:tab w:val="center" w:pos="3152"/>
              </w:tabs>
              <w:rPr>
                <w:rFonts w:cs="Arial"/>
                <w:sz w:val="16"/>
                <w:szCs w:val="16"/>
              </w:rPr>
            </w:pPr>
            <w:r>
              <w:rPr>
                <w:rFonts w:cs="Arial"/>
                <w:szCs w:val="19"/>
                <w:lang w:val="en-US"/>
              </w:rPr>
              <w:t>Use as n</w:t>
            </w:r>
            <w:r w:rsidR="009559F3" w:rsidRPr="00721D24">
              <w:rPr>
                <w:rFonts w:cs="Arial"/>
                <w:szCs w:val="19"/>
                <w:lang w:val="en-US"/>
              </w:rPr>
              <w:t>eoadjuvant treatment and adjuvant treatment continued after radical cystectomy</w:t>
            </w:r>
            <w:r w:rsidR="009559F3">
              <w:rPr>
                <w:rFonts w:cs="Arial"/>
                <w:szCs w:val="19"/>
                <w:lang w:val="en-US"/>
              </w:rPr>
              <w:t xml:space="preserve"> </w:t>
            </w:r>
            <w:r w:rsidR="009559F3" w:rsidRPr="00721D24">
              <w:rPr>
                <w:rFonts w:cs="Arial"/>
                <w:szCs w:val="19"/>
                <w:lang w:val="en-US"/>
              </w:rPr>
              <w:t xml:space="preserve">in combination with </w:t>
            </w:r>
            <w:r w:rsidR="009559F3">
              <w:rPr>
                <w:rFonts w:cs="Arial"/>
                <w:szCs w:val="19"/>
                <w:lang w:val="en-US"/>
              </w:rPr>
              <w:t>enfortumab vedotin</w:t>
            </w:r>
            <w:r w:rsidR="009559F3" w:rsidRPr="00721D24">
              <w:rPr>
                <w:rFonts w:cs="Arial"/>
                <w:szCs w:val="19"/>
                <w:lang w:val="en-US"/>
              </w:rPr>
              <w:t>, for the treatment of adult</w:t>
            </w:r>
            <w:r w:rsidR="009559F3">
              <w:rPr>
                <w:rFonts w:cs="Arial"/>
                <w:szCs w:val="19"/>
                <w:lang w:val="en-US"/>
              </w:rPr>
              <w:t xml:space="preserve">s </w:t>
            </w:r>
            <w:r w:rsidR="009559F3" w:rsidRPr="00721D24">
              <w:rPr>
                <w:rFonts w:cs="Arial"/>
                <w:szCs w:val="19"/>
                <w:lang w:val="en-US"/>
              </w:rPr>
              <w:t xml:space="preserve">with muscle invasive bladder cancer who are ineligible for cisplatin-containing chemotherapy </w:t>
            </w:r>
            <w:r w:rsidR="009559F3" w:rsidRPr="00677F30">
              <w:rPr>
                <w:rFonts w:cs="Arial"/>
                <w:sz w:val="16"/>
                <w:szCs w:val="16"/>
              </w:rPr>
              <w:t xml:space="preserve">[EU] </w:t>
            </w:r>
          </w:p>
          <w:p w14:paraId="4C70B018" w14:textId="587B84AD" w:rsidR="009559F3" w:rsidRPr="00FC34FD" w:rsidRDefault="009559F3" w:rsidP="00620B12">
            <w:pPr>
              <w:tabs>
                <w:tab w:val="center" w:pos="3152"/>
              </w:tabs>
              <w:rPr>
                <w:rFonts w:cs="Arial"/>
                <w:szCs w:val="19"/>
                <w:lang w:val="en-US"/>
              </w:rPr>
            </w:pPr>
            <w:r w:rsidRPr="00677F30">
              <w:rPr>
                <w:rFonts w:cs="Arial"/>
                <w:sz w:val="16"/>
                <w:szCs w:val="16"/>
              </w:rPr>
              <w:t>[new indication]</w:t>
            </w:r>
          </w:p>
        </w:tc>
      </w:tr>
      <w:tr w:rsidR="009559F3" w:rsidRPr="00A075A3" w14:paraId="0EB3B9ED" w14:textId="77777777" w:rsidTr="000F2409">
        <w:tc>
          <w:tcPr>
            <w:tcW w:w="1293" w:type="pct"/>
            <w:gridSpan w:val="2"/>
            <w:tcMar>
              <w:top w:w="57" w:type="dxa"/>
              <w:bottom w:w="57" w:type="dxa"/>
            </w:tcMar>
          </w:tcPr>
          <w:p w14:paraId="6A1E064E" w14:textId="77777777" w:rsidR="009559F3" w:rsidRDefault="009559F3" w:rsidP="002E23B3">
            <w:pPr>
              <w:rPr>
                <w:rFonts w:cs="Arial"/>
                <w:szCs w:val="19"/>
              </w:rPr>
            </w:pPr>
            <w:r>
              <w:rPr>
                <w:rFonts w:cs="Arial"/>
                <w:szCs w:val="19"/>
              </w:rPr>
              <w:t xml:space="preserve">Pimicotinib </w:t>
            </w:r>
          </w:p>
        </w:tc>
        <w:tc>
          <w:tcPr>
            <w:tcW w:w="3707" w:type="pct"/>
            <w:tcMar>
              <w:top w:w="57" w:type="dxa"/>
              <w:bottom w:w="57" w:type="dxa"/>
            </w:tcMar>
          </w:tcPr>
          <w:p w14:paraId="1CE4C058" w14:textId="77777777" w:rsidR="009559F3" w:rsidRDefault="009559F3" w:rsidP="002E23B3">
            <w:pPr>
              <w:tabs>
                <w:tab w:val="center" w:pos="3152"/>
              </w:tabs>
              <w:rPr>
                <w:rFonts w:cs="Arial"/>
                <w:szCs w:val="19"/>
                <w:lang w:val="en-US"/>
              </w:rPr>
            </w:pPr>
            <w:r w:rsidRPr="009A373C">
              <w:rPr>
                <w:rFonts w:cs="Arial"/>
                <w:szCs w:val="19"/>
                <w:lang w:val="en-US"/>
              </w:rPr>
              <w:t xml:space="preserve">Treatment of tenosynovial giant cell tumour in adults and adolescents </w:t>
            </w:r>
            <w:r>
              <w:rPr>
                <w:rFonts w:cs="Arial"/>
                <w:szCs w:val="19"/>
                <w:lang w:val="en-US"/>
              </w:rPr>
              <w:t>aged</w:t>
            </w:r>
            <w:r w:rsidRPr="009A373C">
              <w:rPr>
                <w:rFonts w:cs="Arial"/>
                <w:szCs w:val="19"/>
                <w:lang w:val="en-US"/>
              </w:rPr>
              <w:t xml:space="preserve"> 12 years</w:t>
            </w:r>
            <w:r>
              <w:rPr>
                <w:rFonts w:cs="Arial"/>
                <w:szCs w:val="19"/>
                <w:lang w:val="en-US"/>
              </w:rPr>
              <w:t xml:space="preserve"> and older </w:t>
            </w:r>
            <w:r w:rsidRPr="00677F30">
              <w:rPr>
                <w:rFonts w:cs="Arial"/>
                <w:sz w:val="16"/>
                <w:szCs w:val="16"/>
              </w:rPr>
              <w:t>[EU]</w:t>
            </w:r>
          </w:p>
        </w:tc>
      </w:tr>
      <w:tr w:rsidR="009559F3" w:rsidRPr="00A075A3" w14:paraId="037BFF79" w14:textId="77777777" w:rsidTr="000F2409">
        <w:tc>
          <w:tcPr>
            <w:tcW w:w="1293" w:type="pct"/>
            <w:gridSpan w:val="2"/>
            <w:tcMar>
              <w:top w:w="57" w:type="dxa"/>
              <w:bottom w:w="57" w:type="dxa"/>
            </w:tcMar>
          </w:tcPr>
          <w:p w14:paraId="1FF0774A" w14:textId="77777777" w:rsidR="009559F3" w:rsidRPr="00326BEA" w:rsidRDefault="009559F3" w:rsidP="002E23B3">
            <w:pPr>
              <w:rPr>
                <w:rFonts w:cs="Arial"/>
                <w:szCs w:val="19"/>
              </w:rPr>
            </w:pPr>
            <w:r>
              <w:rPr>
                <w:rFonts w:cs="Arial"/>
                <w:szCs w:val="19"/>
              </w:rPr>
              <w:t>Respira</w:t>
            </w:r>
            <w:r w:rsidRPr="00EC26A6">
              <w:rPr>
                <w:rFonts w:cs="Arial"/>
                <w:szCs w:val="19"/>
              </w:rPr>
              <w:t>tory syncytial virus vaccine (</w:t>
            </w:r>
            <w:r w:rsidRPr="00EC26A6">
              <w:rPr>
                <w:rFonts w:cs="Arial"/>
                <w:i/>
                <w:iCs/>
                <w:szCs w:val="19"/>
              </w:rPr>
              <w:t>mRESVIA</w:t>
            </w:r>
            <w:r>
              <w:rPr>
                <w:rFonts w:cs="Arial"/>
                <w:szCs w:val="19"/>
              </w:rPr>
              <w:t>)</w:t>
            </w:r>
          </w:p>
        </w:tc>
        <w:tc>
          <w:tcPr>
            <w:tcW w:w="3707" w:type="pct"/>
            <w:tcMar>
              <w:top w:w="57" w:type="dxa"/>
              <w:bottom w:w="57" w:type="dxa"/>
            </w:tcMar>
          </w:tcPr>
          <w:p w14:paraId="671D2294" w14:textId="77777777" w:rsidR="009559F3" w:rsidRDefault="009559F3" w:rsidP="002E23B3">
            <w:pPr>
              <w:tabs>
                <w:tab w:val="center" w:pos="3152"/>
              </w:tabs>
              <w:rPr>
                <w:rFonts w:cs="Arial"/>
                <w:sz w:val="16"/>
                <w:szCs w:val="16"/>
                <w:lang w:val="en-US"/>
              </w:rPr>
            </w:pPr>
            <w:r>
              <w:rPr>
                <w:rFonts w:cs="Arial"/>
                <w:szCs w:val="19"/>
                <w:lang w:val="en-US"/>
              </w:rPr>
              <w:t>Activ</w:t>
            </w:r>
            <w:r w:rsidRPr="00EF2F86">
              <w:rPr>
                <w:rFonts w:cs="Arial"/>
                <w:szCs w:val="19"/>
                <w:lang w:val="en-US"/>
              </w:rPr>
              <w:t xml:space="preserve">e immunisation for the prevention of </w:t>
            </w:r>
            <w:r>
              <w:rPr>
                <w:rFonts w:cs="Arial"/>
                <w:szCs w:val="19"/>
                <w:lang w:val="en-US"/>
              </w:rPr>
              <w:t>lower respiratory tract disease</w:t>
            </w:r>
            <w:r w:rsidRPr="00EF2F86">
              <w:rPr>
                <w:rFonts w:cs="Arial"/>
                <w:szCs w:val="19"/>
                <w:lang w:val="en-US"/>
              </w:rPr>
              <w:t xml:space="preserve"> </w:t>
            </w:r>
            <w:r>
              <w:rPr>
                <w:rFonts w:cs="Arial"/>
                <w:szCs w:val="19"/>
                <w:lang w:val="en-US"/>
              </w:rPr>
              <w:t xml:space="preserve">(LRTD) </w:t>
            </w:r>
            <w:r w:rsidRPr="00EF2F86">
              <w:rPr>
                <w:rFonts w:cs="Arial"/>
                <w:szCs w:val="19"/>
                <w:lang w:val="en-US"/>
              </w:rPr>
              <w:t xml:space="preserve">caused by </w:t>
            </w:r>
            <w:r>
              <w:rPr>
                <w:rFonts w:cs="Arial"/>
                <w:szCs w:val="19"/>
                <w:lang w:val="en-US"/>
              </w:rPr>
              <w:t>respiratory syncytial virus</w:t>
            </w:r>
            <w:r w:rsidRPr="00EF2F86">
              <w:rPr>
                <w:rFonts w:cs="Arial"/>
                <w:szCs w:val="19"/>
                <w:lang w:val="en-US"/>
              </w:rPr>
              <w:t xml:space="preserve"> </w:t>
            </w:r>
            <w:r>
              <w:rPr>
                <w:rFonts w:cs="Arial"/>
                <w:szCs w:val="19"/>
                <w:lang w:val="en-US"/>
              </w:rPr>
              <w:t xml:space="preserve">(RSV) </w:t>
            </w:r>
            <w:r w:rsidRPr="00EF2F86">
              <w:rPr>
                <w:rFonts w:cs="Arial"/>
                <w:szCs w:val="19"/>
                <w:lang w:val="en-US"/>
              </w:rPr>
              <w:t xml:space="preserve">in all adults </w:t>
            </w:r>
            <w:r>
              <w:rPr>
                <w:rFonts w:cs="Arial"/>
                <w:szCs w:val="19"/>
                <w:lang w:val="en-US"/>
              </w:rPr>
              <w:t xml:space="preserve">aged </w:t>
            </w:r>
            <w:r w:rsidRPr="00EF2F86">
              <w:rPr>
                <w:rFonts w:cs="Arial"/>
                <w:szCs w:val="19"/>
                <w:lang w:val="en-US"/>
              </w:rPr>
              <w:t>18 years</w:t>
            </w:r>
            <w:r>
              <w:rPr>
                <w:rFonts w:cs="Arial"/>
                <w:szCs w:val="19"/>
                <w:lang w:val="en-US"/>
              </w:rPr>
              <w:t xml:space="preserve"> </w:t>
            </w:r>
            <w:r w:rsidRPr="00EF2F86">
              <w:rPr>
                <w:rFonts w:cs="Arial"/>
                <w:szCs w:val="19"/>
                <w:lang w:val="en-US"/>
              </w:rPr>
              <w:t>and older</w:t>
            </w:r>
            <w:r>
              <w:rPr>
                <w:rFonts w:cs="Arial"/>
                <w:szCs w:val="19"/>
                <w:lang w:val="en-US"/>
              </w:rPr>
              <w:t xml:space="preserve"> </w:t>
            </w:r>
            <w:r w:rsidRPr="00A40D45">
              <w:rPr>
                <w:rFonts w:cs="Arial"/>
                <w:sz w:val="16"/>
                <w:szCs w:val="16"/>
                <w:lang w:val="en-US"/>
              </w:rPr>
              <w:t xml:space="preserve">[EU] </w:t>
            </w:r>
          </w:p>
          <w:p w14:paraId="63C479A8" w14:textId="77777777" w:rsidR="009559F3" w:rsidRPr="00560690" w:rsidRDefault="009559F3" w:rsidP="002E23B3">
            <w:pPr>
              <w:tabs>
                <w:tab w:val="center" w:pos="3152"/>
              </w:tabs>
              <w:rPr>
                <w:rFonts w:cs="Arial"/>
                <w:szCs w:val="19"/>
                <w:lang w:val="en-US"/>
              </w:rPr>
            </w:pPr>
            <w:r w:rsidRPr="00A40D45">
              <w:rPr>
                <w:rFonts w:cs="Arial"/>
                <w:sz w:val="16"/>
                <w:szCs w:val="16"/>
                <w:lang w:val="en-US"/>
              </w:rPr>
              <w:t>[licence change from use only in adults</w:t>
            </w:r>
            <w:r>
              <w:rPr>
                <w:rFonts w:cs="Arial"/>
                <w:sz w:val="16"/>
                <w:szCs w:val="16"/>
                <w:lang w:val="en-US"/>
              </w:rPr>
              <w:t xml:space="preserve"> aged </w:t>
            </w:r>
            <w:r w:rsidRPr="0010320B">
              <w:rPr>
                <w:rFonts w:cs="Arial"/>
                <w:sz w:val="16"/>
                <w:szCs w:val="16"/>
                <w:lang w:val="en-US"/>
              </w:rPr>
              <w:t xml:space="preserve">18 through 59 </w:t>
            </w:r>
            <w:r>
              <w:rPr>
                <w:rFonts w:cs="Arial"/>
                <w:sz w:val="16"/>
                <w:szCs w:val="16"/>
                <w:lang w:val="en-US"/>
              </w:rPr>
              <w:t>years</w:t>
            </w:r>
            <w:r w:rsidRPr="0010320B">
              <w:rPr>
                <w:rFonts w:cs="Arial"/>
                <w:sz w:val="16"/>
                <w:szCs w:val="16"/>
                <w:lang w:val="en-US"/>
              </w:rPr>
              <w:t xml:space="preserve"> who are at increased risk for LRTD caused by RSV</w:t>
            </w:r>
            <w:r>
              <w:rPr>
                <w:rFonts w:cs="Arial"/>
                <w:sz w:val="16"/>
                <w:szCs w:val="16"/>
                <w:lang w:val="en-US"/>
              </w:rPr>
              <w:t xml:space="preserve"> and all </w:t>
            </w:r>
            <w:r w:rsidRPr="002B0131">
              <w:rPr>
                <w:rFonts w:cs="Arial"/>
                <w:sz w:val="16"/>
                <w:szCs w:val="16"/>
              </w:rPr>
              <w:t xml:space="preserve">adults </w:t>
            </w:r>
            <w:r>
              <w:rPr>
                <w:rFonts w:cs="Arial"/>
                <w:sz w:val="16"/>
                <w:szCs w:val="16"/>
              </w:rPr>
              <w:t xml:space="preserve">aged </w:t>
            </w:r>
            <w:r w:rsidRPr="002B0131">
              <w:rPr>
                <w:rFonts w:cs="Arial"/>
                <w:sz w:val="16"/>
                <w:szCs w:val="16"/>
              </w:rPr>
              <w:t>60 years and older</w:t>
            </w:r>
            <w:r w:rsidRPr="00A40D45">
              <w:rPr>
                <w:rFonts w:cs="Arial"/>
                <w:sz w:val="16"/>
                <w:szCs w:val="16"/>
                <w:lang w:val="en-US"/>
              </w:rPr>
              <w:t>]</w:t>
            </w:r>
          </w:p>
        </w:tc>
      </w:tr>
      <w:tr w:rsidR="009559F3" w:rsidRPr="00A075A3" w14:paraId="6F7B68B0" w14:textId="77777777" w:rsidTr="000F2409">
        <w:tc>
          <w:tcPr>
            <w:tcW w:w="1293" w:type="pct"/>
            <w:gridSpan w:val="2"/>
            <w:tcMar>
              <w:top w:w="57" w:type="dxa"/>
              <w:bottom w:w="57" w:type="dxa"/>
            </w:tcMar>
          </w:tcPr>
          <w:p w14:paraId="4704657A" w14:textId="77777777" w:rsidR="009559F3" w:rsidRDefault="009559F3" w:rsidP="002E23B3">
            <w:pPr>
              <w:rPr>
                <w:rFonts w:cs="Arial"/>
                <w:szCs w:val="19"/>
              </w:rPr>
            </w:pPr>
            <w:r w:rsidRPr="00326BEA">
              <w:rPr>
                <w:rFonts w:cs="Arial"/>
                <w:szCs w:val="19"/>
              </w:rPr>
              <w:t>Sacituzumab govitecan (</w:t>
            </w:r>
            <w:r w:rsidRPr="00326BEA">
              <w:rPr>
                <w:rFonts w:cs="Arial"/>
                <w:i/>
                <w:iCs/>
                <w:szCs w:val="19"/>
              </w:rPr>
              <w:t>Trodelvy</w:t>
            </w:r>
            <w:r w:rsidRPr="00326BEA">
              <w:rPr>
                <w:rFonts w:cs="Arial"/>
                <w:szCs w:val="19"/>
              </w:rPr>
              <w:t>)</w:t>
            </w:r>
          </w:p>
        </w:tc>
        <w:tc>
          <w:tcPr>
            <w:tcW w:w="3707" w:type="pct"/>
            <w:tcMar>
              <w:top w:w="57" w:type="dxa"/>
              <w:bottom w:w="57" w:type="dxa"/>
            </w:tcMar>
          </w:tcPr>
          <w:p w14:paraId="0EB5CCB8" w14:textId="77777777" w:rsidR="009559F3" w:rsidRPr="00FC34FD" w:rsidRDefault="009559F3" w:rsidP="002E23B3">
            <w:pPr>
              <w:tabs>
                <w:tab w:val="center" w:pos="3152"/>
              </w:tabs>
              <w:rPr>
                <w:rFonts w:cs="Arial"/>
                <w:szCs w:val="19"/>
                <w:lang w:val="en-US"/>
              </w:rPr>
            </w:pPr>
            <w:r w:rsidRPr="00560690">
              <w:rPr>
                <w:rFonts w:cs="Arial"/>
                <w:szCs w:val="19"/>
                <w:lang w:val="en-US"/>
              </w:rPr>
              <w:t>Treatment of adults with PD-L1-negative metastatic triple- negative breast cancer or PD-L1-positive metastatic triple-negative breast cancer previously treated with an anti-PD-(L)1 agent in the curative setting</w:t>
            </w:r>
            <w:r>
              <w:rPr>
                <w:rFonts w:cs="Arial"/>
                <w:szCs w:val="19"/>
                <w:lang w:val="en-US"/>
              </w:rPr>
              <w:t xml:space="preserve"> </w:t>
            </w:r>
            <w:r w:rsidRPr="00677F30">
              <w:rPr>
                <w:rFonts w:cs="Arial"/>
                <w:sz w:val="16"/>
                <w:szCs w:val="16"/>
              </w:rPr>
              <w:t>[EU] [new indication]</w:t>
            </w:r>
          </w:p>
        </w:tc>
      </w:tr>
      <w:tr w:rsidR="009559F3" w:rsidRPr="00A075A3" w14:paraId="6255B861" w14:textId="77777777" w:rsidTr="000F2409">
        <w:tc>
          <w:tcPr>
            <w:tcW w:w="1293" w:type="pct"/>
            <w:gridSpan w:val="2"/>
            <w:tcMar>
              <w:top w:w="57" w:type="dxa"/>
              <w:bottom w:w="57" w:type="dxa"/>
            </w:tcMar>
          </w:tcPr>
          <w:p w14:paraId="6C6C0A77" w14:textId="77777777" w:rsidR="009559F3" w:rsidRPr="00D470B4" w:rsidRDefault="009559F3" w:rsidP="002E23B3">
            <w:pPr>
              <w:rPr>
                <w:rFonts w:cs="Arial"/>
                <w:szCs w:val="19"/>
              </w:rPr>
            </w:pPr>
            <w:r>
              <w:rPr>
                <w:rFonts w:cs="Arial"/>
                <w:szCs w:val="19"/>
              </w:rPr>
              <w:t>Tirzepatide (</w:t>
            </w:r>
            <w:r>
              <w:rPr>
                <w:rFonts w:cs="Arial"/>
                <w:i/>
                <w:iCs/>
                <w:szCs w:val="19"/>
              </w:rPr>
              <w:t>Mounjaro</w:t>
            </w:r>
            <w:r>
              <w:rPr>
                <w:rFonts w:cs="Arial"/>
                <w:szCs w:val="19"/>
              </w:rPr>
              <w:t>)</w:t>
            </w:r>
          </w:p>
        </w:tc>
        <w:tc>
          <w:tcPr>
            <w:tcW w:w="3707" w:type="pct"/>
            <w:tcMar>
              <w:top w:w="57" w:type="dxa"/>
              <w:bottom w:w="57" w:type="dxa"/>
            </w:tcMar>
          </w:tcPr>
          <w:p w14:paraId="07DA720B" w14:textId="77777777" w:rsidR="009559F3" w:rsidRPr="00460B68" w:rsidRDefault="009559F3" w:rsidP="002E23B3">
            <w:pPr>
              <w:tabs>
                <w:tab w:val="center" w:pos="3152"/>
              </w:tabs>
              <w:rPr>
                <w:rFonts w:cs="Arial"/>
                <w:szCs w:val="19"/>
                <w:lang w:val="en-US"/>
              </w:rPr>
            </w:pPr>
            <w:r w:rsidRPr="00FC34FD">
              <w:rPr>
                <w:rFonts w:cs="Arial"/>
                <w:szCs w:val="19"/>
                <w:lang w:val="en-US"/>
              </w:rPr>
              <w:t>To reduce the risk of major adverse cardiovascular events (cardiovascular death, myocardial infarction, or stroke) in adults with type 2 diabetes mellitus and established cardiovascular disease</w:t>
            </w:r>
            <w:r>
              <w:rPr>
                <w:rFonts w:cs="Arial"/>
                <w:szCs w:val="19"/>
                <w:lang w:val="en-US"/>
              </w:rPr>
              <w:t xml:space="preserve"> </w:t>
            </w:r>
            <w:r w:rsidRPr="00677F30">
              <w:rPr>
                <w:rFonts w:cs="Arial"/>
                <w:sz w:val="16"/>
                <w:szCs w:val="16"/>
              </w:rPr>
              <w:t>[EU] [new indication]</w:t>
            </w:r>
          </w:p>
        </w:tc>
      </w:tr>
      <w:tr w:rsidR="009559F3" w:rsidRPr="00A075A3" w14:paraId="232D36F5" w14:textId="77777777" w:rsidTr="000F2409">
        <w:tc>
          <w:tcPr>
            <w:tcW w:w="1293" w:type="pct"/>
            <w:gridSpan w:val="2"/>
            <w:tcMar>
              <w:top w:w="57" w:type="dxa"/>
              <w:bottom w:w="57" w:type="dxa"/>
            </w:tcMar>
          </w:tcPr>
          <w:p w14:paraId="0D8F5DC6" w14:textId="77777777" w:rsidR="009559F3" w:rsidRPr="00C842CD" w:rsidRDefault="009559F3" w:rsidP="002E23B3">
            <w:pPr>
              <w:rPr>
                <w:rFonts w:cs="Arial"/>
                <w:szCs w:val="19"/>
              </w:rPr>
            </w:pPr>
            <w:r>
              <w:rPr>
                <w:rFonts w:cs="Arial"/>
                <w:szCs w:val="19"/>
              </w:rPr>
              <w:t>Trametinib (</w:t>
            </w:r>
            <w:r>
              <w:rPr>
                <w:rFonts w:cs="Arial"/>
                <w:i/>
                <w:iCs/>
                <w:szCs w:val="19"/>
              </w:rPr>
              <w:t>Mekinist</w:t>
            </w:r>
            <w:r>
              <w:rPr>
                <w:rFonts w:cs="Arial"/>
                <w:szCs w:val="19"/>
              </w:rPr>
              <w:t>)</w:t>
            </w:r>
          </w:p>
        </w:tc>
        <w:tc>
          <w:tcPr>
            <w:tcW w:w="3707" w:type="pct"/>
            <w:tcMar>
              <w:top w:w="57" w:type="dxa"/>
              <w:bottom w:w="57" w:type="dxa"/>
            </w:tcMar>
          </w:tcPr>
          <w:p w14:paraId="500D240F" w14:textId="77777777" w:rsidR="009559F3" w:rsidRPr="003F02CB" w:rsidRDefault="009559F3" w:rsidP="002E23B3">
            <w:pPr>
              <w:tabs>
                <w:tab w:val="center" w:pos="3152"/>
              </w:tabs>
              <w:rPr>
                <w:rFonts w:cs="Arial"/>
                <w:szCs w:val="19"/>
                <w:lang w:val="en-US"/>
              </w:rPr>
            </w:pPr>
            <w:r>
              <w:rPr>
                <w:rFonts w:cs="Arial"/>
                <w:szCs w:val="19"/>
                <w:lang w:val="en-US"/>
              </w:rPr>
              <w:t>Treatment of u</w:t>
            </w:r>
            <w:r w:rsidRPr="00677F30">
              <w:rPr>
                <w:rFonts w:cs="Arial"/>
                <w:szCs w:val="19"/>
              </w:rPr>
              <w:t>nresectable or metastatic melanoma with a BRAF V600 mutation and adjuvant treatment of Stage III melanoma with a BRAF V600 mutation for adolescents aged 12 years and older</w:t>
            </w:r>
            <w:r w:rsidRPr="00677F30">
              <w:rPr>
                <w:rFonts w:cs="Arial"/>
                <w:sz w:val="16"/>
                <w:szCs w:val="16"/>
              </w:rPr>
              <w:t xml:space="preserve"> [EU] [new indication]</w:t>
            </w:r>
          </w:p>
        </w:tc>
      </w:tr>
      <w:tr w:rsidR="009559F3" w:rsidRPr="00A075A3" w14:paraId="46E35834" w14:textId="77777777" w:rsidTr="000F2409">
        <w:tc>
          <w:tcPr>
            <w:tcW w:w="1293" w:type="pct"/>
            <w:gridSpan w:val="2"/>
            <w:tcMar>
              <w:top w:w="57" w:type="dxa"/>
              <w:bottom w:w="57" w:type="dxa"/>
            </w:tcMar>
          </w:tcPr>
          <w:p w14:paraId="18A210E0" w14:textId="77777777" w:rsidR="009559F3" w:rsidRPr="0088068C" w:rsidRDefault="009559F3" w:rsidP="002E23B3">
            <w:pPr>
              <w:rPr>
                <w:rFonts w:cs="Arial"/>
                <w:szCs w:val="19"/>
              </w:rPr>
            </w:pPr>
            <w:r>
              <w:rPr>
                <w:rFonts w:cs="Arial"/>
                <w:szCs w:val="19"/>
              </w:rPr>
              <w:t>Upadacitinib (</w:t>
            </w:r>
            <w:r>
              <w:rPr>
                <w:rFonts w:cs="Arial"/>
                <w:i/>
                <w:iCs/>
                <w:szCs w:val="19"/>
              </w:rPr>
              <w:t>Rinvoq</w:t>
            </w:r>
            <w:r>
              <w:rPr>
                <w:rFonts w:cs="Arial"/>
                <w:szCs w:val="19"/>
              </w:rPr>
              <w:t>)</w:t>
            </w:r>
          </w:p>
        </w:tc>
        <w:tc>
          <w:tcPr>
            <w:tcW w:w="3707" w:type="pct"/>
            <w:tcMar>
              <w:top w:w="57" w:type="dxa"/>
              <w:bottom w:w="57" w:type="dxa"/>
            </w:tcMar>
          </w:tcPr>
          <w:p w14:paraId="1C6E19E0" w14:textId="77777777" w:rsidR="009559F3" w:rsidRDefault="009559F3" w:rsidP="002E23B3">
            <w:pPr>
              <w:tabs>
                <w:tab w:val="center" w:pos="3152"/>
              </w:tabs>
              <w:rPr>
                <w:rFonts w:cs="Arial"/>
                <w:szCs w:val="19"/>
                <w:lang w:val="en-US"/>
              </w:rPr>
            </w:pPr>
            <w:r w:rsidRPr="00674DA4">
              <w:rPr>
                <w:rFonts w:cs="Arial"/>
                <w:szCs w:val="19"/>
                <w:lang w:val="en-US"/>
              </w:rPr>
              <w:t>Treatment of severe alopecia areata in adult</w:t>
            </w:r>
            <w:r>
              <w:rPr>
                <w:rFonts w:cs="Arial"/>
                <w:szCs w:val="19"/>
                <w:lang w:val="en-US"/>
              </w:rPr>
              <w:t>s</w:t>
            </w:r>
            <w:r w:rsidRPr="00674DA4">
              <w:rPr>
                <w:rFonts w:cs="Arial"/>
                <w:szCs w:val="19"/>
                <w:lang w:val="en-US"/>
              </w:rPr>
              <w:t xml:space="preserve"> and adolescents </w:t>
            </w:r>
            <w:r>
              <w:rPr>
                <w:rFonts w:cs="Arial"/>
                <w:szCs w:val="19"/>
                <w:lang w:val="en-US"/>
              </w:rPr>
              <w:t xml:space="preserve">aged </w:t>
            </w:r>
            <w:r w:rsidRPr="00674DA4">
              <w:rPr>
                <w:rFonts w:cs="Arial"/>
                <w:szCs w:val="19"/>
                <w:lang w:val="en-US"/>
              </w:rPr>
              <w:t xml:space="preserve">12 years and </w:t>
            </w:r>
            <w:r w:rsidRPr="00677F30">
              <w:rPr>
                <w:rFonts w:cs="Arial"/>
                <w:szCs w:val="19"/>
              </w:rPr>
              <w:t>older</w:t>
            </w:r>
            <w:r w:rsidRPr="00677F30">
              <w:rPr>
                <w:rFonts w:cs="Arial"/>
                <w:sz w:val="16"/>
                <w:szCs w:val="16"/>
              </w:rPr>
              <w:t xml:space="preserve"> [EU] [new indication]</w:t>
            </w:r>
          </w:p>
        </w:tc>
      </w:tr>
      <w:tr w:rsidR="009559F3" w:rsidRPr="00A075A3" w14:paraId="54EF6865" w14:textId="77777777" w:rsidTr="000F2409">
        <w:tc>
          <w:tcPr>
            <w:tcW w:w="1293" w:type="pct"/>
            <w:gridSpan w:val="2"/>
            <w:tcMar>
              <w:top w:w="57" w:type="dxa"/>
              <w:bottom w:w="57" w:type="dxa"/>
            </w:tcMar>
          </w:tcPr>
          <w:p w14:paraId="1ABB94B7" w14:textId="77777777" w:rsidR="009559F3" w:rsidRDefault="009559F3" w:rsidP="002E23B3">
            <w:pPr>
              <w:rPr>
                <w:rFonts w:cs="Arial"/>
                <w:szCs w:val="19"/>
              </w:rPr>
            </w:pPr>
            <w:r w:rsidRPr="00D76CC3">
              <w:rPr>
                <w:rFonts w:cs="Arial"/>
                <w:szCs w:val="19"/>
              </w:rPr>
              <w:t>Zopapogene imadenovec (</w:t>
            </w:r>
            <w:r w:rsidRPr="00D76CC3">
              <w:rPr>
                <w:rFonts w:cs="Arial"/>
                <w:i/>
                <w:iCs/>
                <w:szCs w:val="19"/>
              </w:rPr>
              <w:t>Papzimeos</w:t>
            </w:r>
            <w:r w:rsidRPr="00D76CC3">
              <w:rPr>
                <w:rFonts w:cs="Arial"/>
                <w:szCs w:val="19"/>
              </w:rPr>
              <w:t>)</w:t>
            </w:r>
          </w:p>
        </w:tc>
        <w:tc>
          <w:tcPr>
            <w:tcW w:w="3707" w:type="pct"/>
            <w:tcMar>
              <w:top w:w="57" w:type="dxa"/>
              <w:bottom w:w="57" w:type="dxa"/>
            </w:tcMar>
          </w:tcPr>
          <w:p w14:paraId="2944F172" w14:textId="77777777" w:rsidR="009559F3" w:rsidRPr="00272180" w:rsidRDefault="009559F3" w:rsidP="002E23B3">
            <w:pPr>
              <w:tabs>
                <w:tab w:val="center" w:pos="3152"/>
              </w:tabs>
              <w:rPr>
                <w:rFonts w:cs="Arial"/>
                <w:szCs w:val="19"/>
                <w:lang w:val="en-US"/>
              </w:rPr>
            </w:pPr>
            <w:r>
              <w:rPr>
                <w:rFonts w:cs="Arial"/>
                <w:szCs w:val="19"/>
                <w:lang w:val="en-US"/>
              </w:rPr>
              <w:t>Treatment of h</w:t>
            </w:r>
            <w:r w:rsidRPr="00FD5641">
              <w:rPr>
                <w:rFonts w:cs="Arial"/>
                <w:szCs w:val="19"/>
                <w:lang w:val="en-US"/>
              </w:rPr>
              <w:t>uman papillomavirus (HPV)</w:t>
            </w:r>
            <w:r>
              <w:rPr>
                <w:rFonts w:cs="Arial"/>
                <w:szCs w:val="19"/>
                <w:lang w:val="en-US"/>
              </w:rPr>
              <w:t>-</w:t>
            </w:r>
            <w:r w:rsidRPr="00FD5641">
              <w:rPr>
                <w:rFonts w:cs="Arial"/>
                <w:szCs w:val="19"/>
                <w:lang w:val="en-US"/>
              </w:rPr>
              <w:t xml:space="preserve">6- and/or HPV-11-associated recurrent respiratory papillomatosis in adults </w:t>
            </w:r>
            <w:r w:rsidRPr="00081F6A">
              <w:rPr>
                <w:rFonts w:cs="Arial"/>
                <w:sz w:val="16"/>
                <w:szCs w:val="16"/>
                <w:lang w:val="en-US"/>
              </w:rPr>
              <w:t>[EU]</w:t>
            </w:r>
          </w:p>
        </w:tc>
      </w:tr>
      <w:tr w:rsidR="009559F3" w:rsidRPr="000F19E1" w14:paraId="23816B23" w14:textId="77777777" w:rsidTr="000F2409">
        <w:tc>
          <w:tcPr>
            <w:tcW w:w="1293" w:type="pct"/>
            <w:gridSpan w:val="2"/>
            <w:tcMar>
              <w:top w:w="0" w:type="dxa"/>
              <w:bottom w:w="0" w:type="dxa"/>
            </w:tcMar>
          </w:tcPr>
          <w:p w14:paraId="7F84DD8E" w14:textId="77777777" w:rsidR="009559F3" w:rsidRPr="000F19E1" w:rsidRDefault="009559F3" w:rsidP="002E23B3">
            <w:pPr>
              <w:rPr>
                <w:rFonts w:cs="Arial"/>
                <w:bCs/>
                <w:sz w:val="8"/>
                <w:szCs w:val="8"/>
              </w:rPr>
            </w:pPr>
          </w:p>
        </w:tc>
        <w:tc>
          <w:tcPr>
            <w:tcW w:w="3707" w:type="pct"/>
            <w:tcMar>
              <w:top w:w="0" w:type="dxa"/>
              <w:bottom w:w="0" w:type="dxa"/>
            </w:tcMar>
          </w:tcPr>
          <w:p w14:paraId="27347BE3" w14:textId="77777777" w:rsidR="009559F3" w:rsidRPr="000F19E1" w:rsidRDefault="009559F3" w:rsidP="002E23B3">
            <w:pPr>
              <w:tabs>
                <w:tab w:val="center" w:pos="3152"/>
              </w:tabs>
              <w:rPr>
                <w:rFonts w:cs="Arial"/>
                <w:sz w:val="8"/>
                <w:szCs w:val="8"/>
                <w:lang w:val="en-US"/>
              </w:rPr>
            </w:pPr>
          </w:p>
        </w:tc>
      </w:tr>
      <w:tr w:rsidR="009559F3" w:rsidRPr="000F19E1" w14:paraId="7D7511A9" w14:textId="77777777" w:rsidTr="002E23B3">
        <w:tc>
          <w:tcPr>
            <w:tcW w:w="1152" w:type="pct"/>
            <w:shd w:val="clear" w:color="auto" w:fill="DAEEF3"/>
            <w:tcMar>
              <w:top w:w="0" w:type="dxa"/>
              <w:bottom w:w="0" w:type="dxa"/>
            </w:tcMar>
          </w:tcPr>
          <w:p w14:paraId="36F7F5FB" w14:textId="77777777" w:rsidR="009559F3" w:rsidRPr="000F19E1" w:rsidRDefault="009559F3" w:rsidP="002E23B3">
            <w:pPr>
              <w:rPr>
                <w:rFonts w:cs="Arial"/>
                <w:bCs/>
                <w:sz w:val="8"/>
                <w:szCs w:val="8"/>
              </w:rPr>
            </w:pPr>
          </w:p>
        </w:tc>
        <w:tc>
          <w:tcPr>
            <w:tcW w:w="3848" w:type="pct"/>
            <w:gridSpan w:val="2"/>
            <w:shd w:val="clear" w:color="auto" w:fill="DAEEF3"/>
            <w:tcMar>
              <w:top w:w="0" w:type="dxa"/>
              <w:bottom w:w="0" w:type="dxa"/>
            </w:tcMar>
          </w:tcPr>
          <w:p w14:paraId="61A476F9" w14:textId="77777777" w:rsidR="009559F3" w:rsidRPr="000F19E1" w:rsidRDefault="009559F3" w:rsidP="002E23B3">
            <w:pPr>
              <w:tabs>
                <w:tab w:val="center" w:pos="3152"/>
              </w:tabs>
              <w:rPr>
                <w:rFonts w:cs="Arial"/>
                <w:sz w:val="8"/>
                <w:szCs w:val="8"/>
                <w:lang w:val="en-US"/>
              </w:rPr>
            </w:pPr>
          </w:p>
        </w:tc>
      </w:tr>
      <w:tr w:rsidR="009559F3" w:rsidRPr="00126CCD" w14:paraId="42EDE0F4" w14:textId="77777777" w:rsidTr="002E23B3">
        <w:tc>
          <w:tcPr>
            <w:tcW w:w="5000" w:type="pct"/>
            <w:gridSpan w:val="3"/>
            <w:shd w:val="clear" w:color="auto" w:fill="008232"/>
            <w:tcMar>
              <w:top w:w="57" w:type="dxa"/>
              <w:bottom w:w="57" w:type="dxa"/>
            </w:tcMar>
          </w:tcPr>
          <w:p w14:paraId="0F336D1E" w14:textId="77777777" w:rsidR="009559F3" w:rsidRPr="004642B4" w:rsidRDefault="009559F3" w:rsidP="002E23B3">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p>
        </w:tc>
      </w:tr>
      <w:tr w:rsidR="009559F3" w14:paraId="023D4259" w14:textId="77777777" w:rsidTr="000F2409">
        <w:tc>
          <w:tcPr>
            <w:tcW w:w="1293" w:type="pct"/>
            <w:gridSpan w:val="2"/>
            <w:tcMar>
              <w:top w:w="57" w:type="dxa"/>
              <w:bottom w:w="57" w:type="dxa"/>
            </w:tcMar>
          </w:tcPr>
          <w:p w14:paraId="3ADBCE4D" w14:textId="77777777" w:rsidR="009559F3" w:rsidRPr="002E3C3A" w:rsidRDefault="009559F3" w:rsidP="002E23B3">
            <w:pPr>
              <w:rPr>
                <w:rFonts w:cs="Arial"/>
                <w:szCs w:val="19"/>
              </w:rPr>
            </w:pPr>
            <w:r w:rsidRPr="00D93353">
              <w:rPr>
                <w:rFonts w:cs="Arial"/>
                <w:szCs w:val="19"/>
              </w:rPr>
              <w:t>Acasunlimab</w:t>
            </w:r>
            <w:r>
              <w:rPr>
                <w:rFonts w:cs="Arial"/>
                <w:szCs w:val="19"/>
              </w:rPr>
              <w:t xml:space="preserve"> </w:t>
            </w:r>
          </w:p>
        </w:tc>
        <w:tc>
          <w:tcPr>
            <w:tcW w:w="3707" w:type="pct"/>
            <w:tcMar>
              <w:top w:w="57" w:type="dxa"/>
              <w:bottom w:w="57" w:type="dxa"/>
            </w:tcMar>
          </w:tcPr>
          <w:p w14:paraId="03FF123E" w14:textId="77777777" w:rsidR="00620B12" w:rsidRDefault="009559F3" w:rsidP="00620B12">
            <w:pPr>
              <w:tabs>
                <w:tab w:val="center" w:pos="3152"/>
              </w:tabs>
              <w:rPr>
                <w:rFonts w:cs="Arial"/>
                <w:szCs w:val="19"/>
                <w:lang w:val="en-US"/>
              </w:rPr>
            </w:pPr>
            <w:r>
              <w:rPr>
                <w:rFonts w:cs="Arial"/>
                <w:szCs w:val="19"/>
                <w:lang w:val="en-US"/>
              </w:rPr>
              <w:t xml:space="preserve">Metastatic </w:t>
            </w:r>
            <w:r w:rsidRPr="00264DF4">
              <w:rPr>
                <w:rFonts w:cs="Arial"/>
                <w:szCs w:val="19"/>
                <w:lang w:val="en-US"/>
              </w:rPr>
              <w:t>PD-L1-positive (tumour cells ≥1%)</w:t>
            </w:r>
            <w:r>
              <w:rPr>
                <w:rFonts w:cs="Arial"/>
                <w:szCs w:val="19"/>
                <w:lang w:val="en-US"/>
              </w:rPr>
              <w:t xml:space="preserve"> n</w:t>
            </w:r>
            <w:r w:rsidRPr="00264DF4">
              <w:rPr>
                <w:rFonts w:cs="Arial"/>
                <w:szCs w:val="19"/>
                <w:lang w:val="en-US"/>
              </w:rPr>
              <w:t>on-small cell lung cancer</w:t>
            </w:r>
            <w:r>
              <w:rPr>
                <w:rFonts w:cs="Arial"/>
                <w:szCs w:val="19"/>
                <w:lang w:val="en-US"/>
              </w:rPr>
              <w:t xml:space="preserve"> </w:t>
            </w:r>
            <w:r w:rsidRPr="00264DF4">
              <w:rPr>
                <w:rFonts w:cs="Arial"/>
                <w:szCs w:val="19"/>
                <w:lang w:val="en-US"/>
              </w:rPr>
              <w:t>in adults</w:t>
            </w:r>
            <w:r>
              <w:rPr>
                <w:rFonts w:cs="Arial"/>
                <w:szCs w:val="19"/>
                <w:lang w:val="en-US"/>
              </w:rPr>
              <w:t>,</w:t>
            </w:r>
            <w:r w:rsidRPr="00264DF4">
              <w:rPr>
                <w:rFonts w:cs="Arial"/>
                <w:szCs w:val="19"/>
                <w:lang w:val="en-US"/>
              </w:rPr>
              <w:t xml:space="preserve"> second- or </w:t>
            </w:r>
            <w:proofErr w:type="gramStart"/>
            <w:r w:rsidRPr="00264DF4">
              <w:rPr>
                <w:rFonts w:cs="Arial"/>
                <w:szCs w:val="19"/>
                <w:lang w:val="en-US"/>
              </w:rPr>
              <w:t>third-line</w:t>
            </w:r>
            <w:proofErr w:type="gramEnd"/>
            <w:r w:rsidRPr="00264DF4">
              <w:rPr>
                <w:rFonts w:cs="Arial"/>
                <w:szCs w:val="19"/>
                <w:lang w:val="en-US"/>
              </w:rPr>
              <w:t xml:space="preserve"> with pembrolizumab</w:t>
            </w:r>
            <w:r>
              <w:rPr>
                <w:rFonts w:cs="Arial"/>
                <w:szCs w:val="19"/>
                <w:lang w:val="en-US"/>
              </w:rPr>
              <w:t xml:space="preserve"> – development discontinued</w:t>
            </w:r>
            <w:r w:rsidR="00620B12">
              <w:rPr>
                <w:rFonts w:cs="Arial"/>
                <w:szCs w:val="19"/>
                <w:lang w:val="en-US"/>
              </w:rPr>
              <w:t xml:space="preserve"> </w:t>
            </w:r>
          </w:p>
          <w:p w14:paraId="41AF6EDF" w14:textId="60966073" w:rsidR="009559F3" w:rsidRPr="00881D3F" w:rsidRDefault="009559F3" w:rsidP="00620B12">
            <w:pPr>
              <w:tabs>
                <w:tab w:val="center" w:pos="3152"/>
              </w:tabs>
              <w:rPr>
                <w:rFonts w:cs="Arial"/>
                <w:szCs w:val="19"/>
                <w:lang w:val="en-US"/>
              </w:rPr>
            </w:pPr>
            <w:r>
              <w:rPr>
                <w:rFonts w:cs="Arial"/>
                <w:szCs w:val="19"/>
                <w:lang w:val="en-US"/>
              </w:rPr>
              <w:t>(company decision)</w:t>
            </w:r>
          </w:p>
        </w:tc>
      </w:tr>
      <w:tr w:rsidR="009559F3" w14:paraId="3AD71D22" w14:textId="77777777" w:rsidTr="000F2409">
        <w:tc>
          <w:tcPr>
            <w:tcW w:w="1293" w:type="pct"/>
            <w:gridSpan w:val="2"/>
            <w:tcMar>
              <w:top w:w="57" w:type="dxa"/>
              <w:bottom w:w="57" w:type="dxa"/>
            </w:tcMar>
          </w:tcPr>
          <w:p w14:paraId="032701F0" w14:textId="77777777" w:rsidR="009559F3" w:rsidRDefault="009559F3" w:rsidP="002E23B3">
            <w:pPr>
              <w:rPr>
                <w:rFonts w:cs="Arial"/>
                <w:szCs w:val="19"/>
              </w:rPr>
            </w:pPr>
            <w:r w:rsidRPr="002E3C3A">
              <w:rPr>
                <w:rFonts w:cs="Arial"/>
                <w:szCs w:val="19"/>
              </w:rPr>
              <w:t>Aguracingene cadoparvovec </w:t>
            </w:r>
          </w:p>
        </w:tc>
        <w:tc>
          <w:tcPr>
            <w:tcW w:w="3707" w:type="pct"/>
            <w:tcMar>
              <w:top w:w="57" w:type="dxa"/>
              <w:bottom w:w="57" w:type="dxa"/>
            </w:tcMar>
          </w:tcPr>
          <w:p w14:paraId="0A82111C" w14:textId="77777777" w:rsidR="009559F3" w:rsidRDefault="009559F3" w:rsidP="002E23B3">
            <w:pPr>
              <w:tabs>
                <w:tab w:val="center" w:pos="3152"/>
              </w:tabs>
              <w:rPr>
                <w:rFonts w:cs="Arial"/>
                <w:szCs w:val="19"/>
                <w:lang w:val="en-US"/>
              </w:rPr>
            </w:pPr>
            <w:r w:rsidRPr="00881D3F">
              <w:rPr>
                <w:rFonts w:cs="Arial"/>
                <w:szCs w:val="19"/>
                <w:lang w:val="en-US"/>
              </w:rPr>
              <w:t>Achromatopsia due to mutations in the CNGA 3 gene in adults and children aged 3 years and older</w:t>
            </w:r>
            <w:r>
              <w:rPr>
                <w:rFonts w:cs="Arial"/>
                <w:szCs w:val="19"/>
                <w:lang w:val="en-US"/>
              </w:rPr>
              <w:t xml:space="preserve"> – development discontinued (company decision)</w:t>
            </w:r>
          </w:p>
        </w:tc>
      </w:tr>
      <w:tr w:rsidR="009559F3" w14:paraId="162F0EDF" w14:textId="77777777" w:rsidTr="000F2409">
        <w:tc>
          <w:tcPr>
            <w:tcW w:w="1293" w:type="pct"/>
            <w:gridSpan w:val="2"/>
            <w:tcMar>
              <w:top w:w="57" w:type="dxa"/>
              <w:bottom w:w="57" w:type="dxa"/>
            </w:tcMar>
          </w:tcPr>
          <w:p w14:paraId="69857BE2" w14:textId="77777777" w:rsidR="009559F3" w:rsidRPr="0071727C" w:rsidRDefault="009559F3" w:rsidP="002E23B3">
            <w:pPr>
              <w:rPr>
                <w:rFonts w:cs="Arial"/>
                <w:szCs w:val="19"/>
              </w:rPr>
            </w:pPr>
            <w:r w:rsidRPr="004655C5">
              <w:rPr>
                <w:rFonts w:cs="Arial"/>
                <w:szCs w:val="19"/>
              </w:rPr>
              <w:t>Autologous cartilage-derived articular chondrocyte, in-vitro expanded (</w:t>
            </w:r>
            <w:r w:rsidRPr="00002FD9">
              <w:rPr>
                <w:rFonts w:cs="Arial"/>
                <w:i/>
                <w:iCs/>
                <w:szCs w:val="19"/>
              </w:rPr>
              <w:t>Jelrix</w:t>
            </w:r>
            <w:r w:rsidRPr="004655C5">
              <w:rPr>
                <w:rFonts w:cs="Arial"/>
                <w:szCs w:val="19"/>
              </w:rPr>
              <w:t>)</w:t>
            </w:r>
          </w:p>
        </w:tc>
        <w:tc>
          <w:tcPr>
            <w:tcW w:w="3707" w:type="pct"/>
            <w:tcMar>
              <w:top w:w="57" w:type="dxa"/>
              <w:bottom w:w="57" w:type="dxa"/>
            </w:tcMar>
          </w:tcPr>
          <w:p w14:paraId="40EE6F42" w14:textId="77777777" w:rsidR="009559F3" w:rsidRDefault="009559F3" w:rsidP="002E23B3">
            <w:pPr>
              <w:tabs>
                <w:tab w:val="center" w:pos="3152"/>
              </w:tabs>
              <w:rPr>
                <w:rFonts w:cs="Arial"/>
                <w:szCs w:val="19"/>
                <w:lang w:val="en-US"/>
              </w:rPr>
            </w:pPr>
            <w:r w:rsidRPr="001E4757">
              <w:rPr>
                <w:rFonts w:cs="Arial"/>
                <w:szCs w:val="19"/>
                <w:lang w:val="en-US"/>
              </w:rPr>
              <w:t>Treatment of cartilage defects in the knee</w:t>
            </w:r>
            <w:r>
              <w:rPr>
                <w:rFonts w:cs="Arial"/>
                <w:szCs w:val="19"/>
                <w:lang w:val="en-US"/>
              </w:rPr>
              <w:t xml:space="preserve"> – EU filing withdrawn</w:t>
            </w:r>
          </w:p>
        </w:tc>
      </w:tr>
      <w:tr w:rsidR="009559F3" w14:paraId="5CBEB269" w14:textId="77777777" w:rsidTr="000F2409">
        <w:tc>
          <w:tcPr>
            <w:tcW w:w="1293" w:type="pct"/>
            <w:gridSpan w:val="2"/>
            <w:tcMar>
              <w:top w:w="57" w:type="dxa"/>
              <w:bottom w:w="57" w:type="dxa"/>
            </w:tcMar>
          </w:tcPr>
          <w:p w14:paraId="265A36F6" w14:textId="77777777" w:rsidR="009559F3" w:rsidRDefault="009559F3" w:rsidP="002E23B3">
            <w:pPr>
              <w:rPr>
                <w:rFonts w:cs="Arial"/>
                <w:szCs w:val="19"/>
              </w:rPr>
            </w:pPr>
            <w:r>
              <w:rPr>
                <w:rFonts w:cs="Arial"/>
                <w:szCs w:val="19"/>
              </w:rPr>
              <w:t>B</w:t>
            </w:r>
            <w:r w:rsidRPr="001F27B4">
              <w:rPr>
                <w:rFonts w:cs="Arial"/>
                <w:szCs w:val="19"/>
              </w:rPr>
              <w:t>emarituzumab</w:t>
            </w:r>
          </w:p>
        </w:tc>
        <w:tc>
          <w:tcPr>
            <w:tcW w:w="3707" w:type="pct"/>
            <w:tcMar>
              <w:top w:w="57" w:type="dxa"/>
              <w:bottom w:w="57" w:type="dxa"/>
            </w:tcMar>
          </w:tcPr>
          <w:p w14:paraId="6DFB4CD0" w14:textId="77777777" w:rsidR="009559F3" w:rsidRPr="00C05FAF" w:rsidRDefault="009559F3" w:rsidP="002E23B3">
            <w:pPr>
              <w:tabs>
                <w:tab w:val="center" w:pos="3152"/>
              </w:tabs>
              <w:rPr>
                <w:rFonts w:cs="Arial"/>
                <w:szCs w:val="19"/>
                <w:lang w:val="en-US"/>
              </w:rPr>
            </w:pPr>
            <w:r>
              <w:rPr>
                <w:rFonts w:cs="Arial"/>
                <w:szCs w:val="19"/>
                <w:lang w:val="en-US"/>
              </w:rPr>
              <w:t>Advanced g</w:t>
            </w:r>
            <w:r w:rsidRPr="00A87906">
              <w:rPr>
                <w:rFonts w:cs="Arial"/>
                <w:szCs w:val="19"/>
                <w:lang w:val="en-US"/>
              </w:rPr>
              <w:t>astric or gastro-oesophageal junction</w:t>
            </w:r>
            <w:r>
              <w:rPr>
                <w:rFonts w:cs="Arial"/>
                <w:szCs w:val="19"/>
                <w:lang w:val="en-US"/>
              </w:rPr>
              <w:t xml:space="preserve"> </w:t>
            </w:r>
            <w:r w:rsidRPr="00A87906">
              <w:rPr>
                <w:rFonts w:cs="Arial"/>
                <w:szCs w:val="19"/>
                <w:lang w:val="en-US"/>
              </w:rPr>
              <w:t>adenocarcinoma, HER2-negative, FGFR2b-positive, in adults</w:t>
            </w:r>
            <w:r>
              <w:rPr>
                <w:rFonts w:cs="Arial"/>
                <w:szCs w:val="19"/>
                <w:lang w:val="en-US"/>
              </w:rPr>
              <w:t>,</w:t>
            </w:r>
            <w:r w:rsidRPr="00A87906">
              <w:rPr>
                <w:rFonts w:cs="Arial"/>
                <w:szCs w:val="19"/>
                <w:lang w:val="en-US"/>
              </w:rPr>
              <w:t xml:space="preserve"> first-line with modified FOLFOX6</w:t>
            </w:r>
            <w:r>
              <w:rPr>
                <w:rFonts w:cs="Arial"/>
                <w:szCs w:val="19"/>
                <w:lang w:val="en-US"/>
              </w:rPr>
              <w:t xml:space="preserve"> – development discontinued (company decision)</w:t>
            </w:r>
          </w:p>
        </w:tc>
      </w:tr>
      <w:tr w:rsidR="009559F3" w14:paraId="7A7E1DF4" w14:textId="77777777" w:rsidTr="000F2409">
        <w:tc>
          <w:tcPr>
            <w:tcW w:w="1293" w:type="pct"/>
            <w:gridSpan w:val="2"/>
            <w:tcMar>
              <w:top w:w="57" w:type="dxa"/>
              <w:bottom w:w="57" w:type="dxa"/>
            </w:tcMar>
          </w:tcPr>
          <w:p w14:paraId="1ACF40E3" w14:textId="77777777" w:rsidR="009559F3" w:rsidRDefault="009559F3" w:rsidP="002E23B3">
            <w:pPr>
              <w:rPr>
                <w:rFonts w:cs="Arial"/>
                <w:szCs w:val="19"/>
              </w:rPr>
            </w:pPr>
            <w:r>
              <w:rPr>
                <w:rFonts w:cs="Arial"/>
                <w:szCs w:val="19"/>
              </w:rPr>
              <w:t xml:space="preserve">Blarcamesine </w:t>
            </w:r>
          </w:p>
          <w:p w14:paraId="1BF8F6AB" w14:textId="77777777" w:rsidR="009559F3" w:rsidRPr="00EA20D0" w:rsidRDefault="009559F3" w:rsidP="002E23B3">
            <w:pPr>
              <w:rPr>
                <w:rFonts w:cs="Arial"/>
                <w:szCs w:val="19"/>
              </w:rPr>
            </w:pPr>
            <w:r>
              <w:rPr>
                <w:rFonts w:cs="Arial"/>
                <w:szCs w:val="19"/>
              </w:rPr>
              <w:t>(</w:t>
            </w:r>
            <w:r>
              <w:rPr>
                <w:rFonts w:cs="Arial"/>
                <w:i/>
                <w:iCs/>
                <w:szCs w:val="19"/>
              </w:rPr>
              <w:t>Blarcamesine Anavex</w:t>
            </w:r>
            <w:r>
              <w:rPr>
                <w:rFonts w:cs="Arial"/>
                <w:szCs w:val="19"/>
              </w:rPr>
              <w:t>)</w:t>
            </w:r>
          </w:p>
        </w:tc>
        <w:tc>
          <w:tcPr>
            <w:tcW w:w="3707" w:type="pct"/>
            <w:tcMar>
              <w:top w:w="57" w:type="dxa"/>
              <w:bottom w:w="57" w:type="dxa"/>
            </w:tcMar>
          </w:tcPr>
          <w:p w14:paraId="391BCC6C" w14:textId="77777777" w:rsidR="009559F3" w:rsidRDefault="009559F3" w:rsidP="002E23B3">
            <w:pPr>
              <w:tabs>
                <w:tab w:val="center" w:pos="3152"/>
              </w:tabs>
              <w:rPr>
                <w:rFonts w:cs="Arial"/>
                <w:szCs w:val="19"/>
                <w:lang w:val="en-US"/>
              </w:rPr>
            </w:pPr>
            <w:r w:rsidRPr="001D37D3">
              <w:rPr>
                <w:rFonts w:cs="Arial"/>
                <w:szCs w:val="19"/>
                <w:lang w:val="en-US"/>
              </w:rPr>
              <w:t xml:space="preserve">Treatment of </w:t>
            </w:r>
            <w:r>
              <w:rPr>
                <w:rFonts w:cs="Arial"/>
                <w:szCs w:val="19"/>
                <w:lang w:val="en-US"/>
              </w:rPr>
              <w:t xml:space="preserve">early </w:t>
            </w:r>
            <w:r w:rsidRPr="001D37D3">
              <w:rPr>
                <w:rFonts w:cs="Arial"/>
                <w:szCs w:val="19"/>
                <w:lang w:val="en-US"/>
              </w:rPr>
              <w:t>Alzheimer’s disease</w:t>
            </w:r>
            <w:r>
              <w:rPr>
                <w:rFonts w:cs="Arial"/>
                <w:szCs w:val="19"/>
                <w:lang w:val="en-US"/>
              </w:rPr>
              <w:t xml:space="preserve"> – not recommended for approval in EU</w:t>
            </w:r>
          </w:p>
        </w:tc>
      </w:tr>
      <w:tr w:rsidR="00280F85" w14:paraId="40631FD5" w14:textId="77777777" w:rsidTr="000F2409">
        <w:tc>
          <w:tcPr>
            <w:tcW w:w="1293" w:type="pct"/>
            <w:gridSpan w:val="2"/>
            <w:tcMar>
              <w:top w:w="57" w:type="dxa"/>
              <w:bottom w:w="57" w:type="dxa"/>
            </w:tcMar>
          </w:tcPr>
          <w:p w14:paraId="770437A9" w14:textId="45C5A44D" w:rsidR="00280F85" w:rsidRDefault="00280F85" w:rsidP="00280F85">
            <w:pPr>
              <w:rPr>
                <w:rFonts w:cs="Arial"/>
                <w:szCs w:val="19"/>
              </w:rPr>
            </w:pPr>
            <w:r w:rsidRPr="008073FA">
              <w:rPr>
                <w:rFonts w:cs="Arial"/>
                <w:szCs w:val="19"/>
              </w:rPr>
              <w:t>Cevaretigene ritoparvovec </w:t>
            </w:r>
          </w:p>
        </w:tc>
        <w:tc>
          <w:tcPr>
            <w:tcW w:w="3707" w:type="pct"/>
            <w:tcMar>
              <w:top w:w="57" w:type="dxa"/>
              <w:bottom w:w="57" w:type="dxa"/>
            </w:tcMar>
          </w:tcPr>
          <w:p w14:paraId="77D84F32" w14:textId="21F2C19B" w:rsidR="00280F85" w:rsidRPr="001D37D3" w:rsidRDefault="00280F85" w:rsidP="00280F85">
            <w:pPr>
              <w:tabs>
                <w:tab w:val="center" w:pos="3152"/>
              </w:tabs>
              <w:rPr>
                <w:rFonts w:cs="Arial"/>
                <w:szCs w:val="19"/>
                <w:lang w:val="en-US"/>
              </w:rPr>
            </w:pPr>
            <w:r w:rsidRPr="00642949">
              <w:rPr>
                <w:rFonts w:cs="Arial"/>
                <w:szCs w:val="19"/>
                <w:lang w:val="en-US"/>
              </w:rPr>
              <w:tab/>
              <w:t>Leber congenital amaurosis caused by mutations in the RPE65 gene in adults and children aged 3 years and older</w:t>
            </w:r>
            <w:r>
              <w:rPr>
                <w:rFonts w:cs="Arial"/>
                <w:szCs w:val="19"/>
                <w:lang w:val="en-US"/>
              </w:rPr>
              <w:t xml:space="preserve"> – development discontinued (company decision)</w:t>
            </w:r>
          </w:p>
        </w:tc>
      </w:tr>
      <w:tr w:rsidR="00280F85" w:rsidRPr="000F19E1" w14:paraId="444AC082" w14:textId="77777777" w:rsidTr="000F2409">
        <w:tc>
          <w:tcPr>
            <w:tcW w:w="1293" w:type="pct"/>
            <w:gridSpan w:val="2"/>
            <w:tcMar>
              <w:top w:w="0" w:type="dxa"/>
              <w:bottom w:w="0" w:type="dxa"/>
            </w:tcMar>
          </w:tcPr>
          <w:p w14:paraId="379593D1" w14:textId="77777777" w:rsidR="00280F85" w:rsidRPr="000F19E1" w:rsidRDefault="00280F85" w:rsidP="00280F85">
            <w:pPr>
              <w:rPr>
                <w:rFonts w:cs="Arial"/>
                <w:bCs/>
                <w:sz w:val="8"/>
                <w:szCs w:val="8"/>
              </w:rPr>
            </w:pPr>
          </w:p>
        </w:tc>
        <w:tc>
          <w:tcPr>
            <w:tcW w:w="3707" w:type="pct"/>
            <w:tcMar>
              <w:top w:w="0" w:type="dxa"/>
              <w:bottom w:w="0" w:type="dxa"/>
            </w:tcMar>
          </w:tcPr>
          <w:p w14:paraId="00547CF7" w14:textId="77777777" w:rsidR="00280F85" w:rsidRPr="000F19E1" w:rsidRDefault="00280F85" w:rsidP="00280F85">
            <w:pPr>
              <w:tabs>
                <w:tab w:val="center" w:pos="3152"/>
              </w:tabs>
              <w:rPr>
                <w:rFonts w:cs="Arial"/>
                <w:sz w:val="8"/>
                <w:szCs w:val="8"/>
                <w:lang w:val="en-US"/>
              </w:rPr>
            </w:pPr>
          </w:p>
        </w:tc>
      </w:tr>
      <w:tr w:rsidR="00280F85" w:rsidRPr="000F19E1" w14:paraId="00401383" w14:textId="77777777" w:rsidTr="000F2409">
        <w:tc>
          <w:tcPr>
            <w:tcW w:w="1293" w:type="pct"/>
            <w:gridSpan w:val="2"/>
            <w:shd w:val="clear" w:color="auto" w:fill="DAEEF3"/>
            <w:tcMar>
              <w:top w:w="0" w:type="dxa"/>
              <w:bottom w:w="0" w:type="dxa"/>
            </w:tcMar>
          </w:tcPr>
          <w:p w14:paraId="02C81E96" w14:textId="77777777" w:rsidR="00280F85" w:rsidRPr="000F19E1" w:rsidRDefault="00280F85" w:rsidP="00280F85">
            <w:pPr>
              <w:rPr>
                <w:rFonts w:cs="Arial"/>
                <w:bCs/>
                <w:sz w:val="8"/>
                <w:szCs w:val="8"/>
              </w:rPr>
            </w:pPr>
          </w:p>
        </w:tc>
        <w:tc>
          <w:tcPr>
            <w:tcW w:w="3707" w:type="pct"/>
            <w:shd w:val="clear" w:color="auto" w:fill="DAEEF3"/>
            <w:tcMar>
              <w:top w:w="0" w:type="dxa"/>
              <w:bottom w:w="0" w:type="dxa"/>
            </w:tcMar>
          </w:tcPr>
          <w:p w14:paraId="524A1CCF" w14:textId="77777777" w:rsidR="00280F85" w:rsidRPr="000F19E1" w:rsidRDefault="00280F85" w:rsidP="00280F85">
            <w:pPr>
              <w:tabs>
                <w:tab w:val="center" w:pos="3152"/>
              </w:tabs>
              <w:rPr>
                <w:rFonts w:cs="Arial"/>
                <w:sz w:val="8"/>
                <w:szCs w:val="8"/>
                <w:lang w:val="en-US"/>
              </w:rPr>
            </w:pPr>
          </w:p>
        </w:tc>
      </w:tr>
    </w:tbl>
    <w:p w14:paraId="0CFC31A9" w14:textId="77777777" w:rsidR="006825BB" w:rsidRDefault="006825BB" w:rsidP="003D16EF">
      <w:pPr>
        <w:rPr>
          <w:sz w:val="8"/>
          <w:szCs w:val="8"/>
        </w:rPr>
      </w:pPr>
    </w:p>
    <w:p w14:paraId="7927CBC8" w14:textId="0B325AC6" w:rsidR="00C96485" w:rsidRDefault="00C96485">
      <w:pPr>
        <w:rPr>
          <w:sz w:val="8"/>
          <w:szCs w:val="8"/>
        </w:rPr>
      </w:pPr>
      <w:r>
        <w:rPr>
          <w:sz w:val="8"/>
          <w:szCs w:val="8"/>
        </w:rPr>
        <w:br w:type="page"/>
      </w:r>
    </w:p>
    <w:p w14:paraId="25D11FB8" w14:textId="77777777" w:rsidR="00F71546" w:rsidRDefault="00F71546" w:rsidP="003D16EF">
      <w:pPr>
        <w:rPr>
          <w:sz w:val="8"/>
          <w:szCs w:val="8"/>
        </w:rPr>
      </w:pPr>
    </w:p>
    <w:p w14:paraId="31050C15" w14:textId="77777777" w:rsidR="00C96485" w:rsidRDefault="00C96485" w:rsidP="003D16EF">
      <w:pPr>
        <w:rPr>
          <w:sz w:val="8"/>
          <w:szCs w:val="8"/>
        </w:rPr>
      </w:pPr>
    </w:p>
    <w:p w14:paraId="7AE598E6" w14:textId="77777777" w:rsidR="00C96485" w:rsidRDefault="00C96485" w:rsidP="003D16EF">
      <w:pPr>
        <w:rPr>
          <w:sz w:val="8"/>
          <w:szCs w:val="8"/>
        </w:rPr>
      </w:pPr>
    </w:p>
    <w:p w14:paraId="6FADEA4A" w14:textId="77777777" w:rsidR="00C96485" w:rsidRDefault="00C96485" w:rsidP="003D16EF">
      <w:pPr>
        <w:rPr>
          <w:sz w:val="8"/>
          <w:szCs w:val="8"/>
        </w:rPr>
      </w:pPr>
    </w:p>
    <w:tbl>
      <w:tblPr>
        <w:tblW w:w="5170" w:type="pct"/>
        <w:tblInd w:w="-176" w:type="dxa"/>
        <w:tblLayout w:type="fixed"/>
        <w:tblLook w:val="01E0" w:firstRow="1" w:lastRow="1" w:firstColumn="1" w:lastColumn="1" w:noHBand="0" w:noVBand="0"/>
      </w:tblPr>
      <w:tblGrid>
        <w:gridCol w:w="2302"/>
        <w:gridCol w:w="8249"/>
      </w:tblGrid>
      <w:tr w:rsidR="00F71546" w:rsidRPr="00862949" w14:paraId="2C2936AB" w14:textId="77777777" w:rsidTr="002E23B3">
        <w:tc>
          <w:tcPr>
            <w:tcW w:w="5000" w:type="pct"/>
            <w:gridSpan w:val="2"/>
            <w:shd w:val="clear" w:color="auto" w:fill="0070C0"/>
            <w:tcMar>
              <w:top w:w="85" w:type="dxa"/>
              <w:bottom w:w="85" w:type="dxa"/>
            </w:tcMar>
            <w:vAlign w:val="bottom"/>
          </w:tcPr>
          <w:p w14:paraId="261C7109" w14:textId="77777777" w:rsidR="00F71546" w:rsidRPr="00862949" w:rsidRDefault="00F71546" w:rsidP="002E23B3">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F71546" w:rsidRPr="000F19E1" w14:paraId="7495E298" w14:textId="77777777" w:rsidTr="008344A8">
        <w:tc>
          <w:tcPr>
            <w:tcW w:w="1091" w:type="pct"/>
            <w:shd w:val="clear" w:color="auto" w:fill="DAEEF3"/>
            <w:tcMar>
              <w:top w:w="0" w:type="dxa"/>
              <w:bottom w:w="0" w:type="dxa"/>
            </w:tcMar>
          </w:tcPr>
          <w:p w14:paraId="44231424" w14:textId="77777777" w:rsidR="00F71546" w:rsidRPr="000F19E1" w:rsidRDefault="00F71546" w:rsidP="002E23B3">
            <w:pPr>
              <w:rPr>
                <w:rFonts w:cs="Arial"/>
                <w:bCs/>
                <w:sz w:val="8"/>
                <w:szCs w:val="8"/>
              </w:rPr>
            </w:pPr>
          </w:p>
        </w:tc>
        <w:tc>
          <w:tcPr>
            <w:tcW w:w="3909" w:type="pct"/>
            <w:shd w:val="clear" w:color="auto" w:fill="DAEEF3"/>
            <w:tcMar>
              <w:top w:w="0" w:type="dxa"/>
              <w:bottom w:w="0" w:type="dxa"/>
            </w:tcMar>
          </w:tcPr>
          <w:p w14:paraId="10C870A3" w14:textId="77777777" w:rsidR="00F71546" w:rsidRPr="000F19E1" w:rsidRDefault="00F71546" w:rsidP="002E23B3">
            <w:pPr>
              <w:tabs>
                <w:tab w:val="center" w:pos="3152"/>
              </w:tabs>
              <w:rPr>
                <w:rFonts w:cs="Arial"/>
                <w:sz w:val="8"/>
                <w:szCs w:val="8"/>
                <w:lang w:val="en-US"/>
              </w:rPr>
            </w:pPr>
          </w:p>
        </w:tc>
      </w:tr>
      <w:tr w:rsidR="00F71546" w:rsidRPr="00126CCD" w14:paraId="572E8B6E" w14:textId="77777777" w:rsidTr="002E23B3">
        <w:tc>
          <w:tcPr>
            <w:tcW w:w="5000" w:type="pct"/>
            <w:gridSpan w:val="2"/>
            <w:shd w:val="clear" w:color="auto" w:fill="008232"/>
            <w:tcMar>
              <w:top w:w="57" w:type="dxa"/>
              <w:bottom w:w="57" w:type="dxa"/>
            </w:tcMar>
          </w:tcPr>
          <w:p w14:paraId="2A032EFE" w14:textId="2C25BD98" w:rsidR="00F71546" w:rsidRPr="004642B4" w:rsidRDefault="00F71546" w:rsidP="002E23B3">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r w:rsidR="00280F85">
              <w:rPr>
                <w:rFonts w:cs="Arial"/>
                <w:b/>
                <w:bCs/>
                <w:i/>
                <w:iCs/>
                <w:color w:val="FFFFFF"/>
                <w:sz w:val="22"/>
                <w:szCs w:val="20"/>
                <w:lang w:val="en-US"/>
              </w:rPr>
              <w:t xml:space="preserve"> </w:t>
            </w:r>
            <w:r w:rsidR="00280F85" w:rsidRPr="0021490D">
              <w:rPr>
                <w:rFonts w:cs="Arial"/>
                <w:b/>
                <w:bCs/>
                <w:color w:val="FFFFFF"/>
                <w:sz w:val="16"/>
                <w:szCs w:val="14"/>
                <w:lang w:val="en-US"/>
              </w:rPr>
              <w:t>(continued)</w:t>
            </w:r>
          </w:p>
        </w:tc>
      </w:tr>
      <w:tr w:rsidR="00F71546" w14:paraId="007F45DD" w14:textId="77777777" w:rsidTr="008344A8">
        <w:tc>
          <w:tcPr>
            <w:tcW w:w="1091" w:type="pct"/>
            <w:tcMar>
              <w:top w:w="57" w:type="dxa"/>
              <w:bottom w:w="57" w:type="dxa"/>
            </w:tcMar>
          </w:tcPr>
          <w:p w14:paraId="473A7DE0" w14:textId="77777777" w:rsidR="00F71546" w:rsidRPr="00DD5C27" w:rsidRDefault="00F71546" w:rsidP="002E23B3">
            <w:pPr>
              <w:rPr>
                <w:rFonts w:cs="Arial"/>
                <w:szCs w:val="19"/>
              </w:rPr>
            </w:pPr>
            <w:r w:rsidRPr="006F3D41">
              <w:rPr>
                <w:rFonts w:cs="Arial"/>
                <w:szCs w:val="19"/>
              </w:rPr>
              <w:t>Dazodalibep</w:t>
            </w:r>
            <w:r>
              <w:rPr>
                <w:rFonts w:cs="Arial"/>
                <w:szCs w:val="19"/>
              </w:rPr>
              <w:t xml:space="preserve"> </w:t>
            </w:r>
          </w:p>
        </w:tc>
        <w:tc>
          <w:tcPr>
            <w:tcW w:w="3909" w:type="pct"/>
            <w:tcMar>
              <w:top w:w="57" w:type="dxa"/>
              <w:bottom w:w="57" w:type="dxa"/>
            </w:tcMar>
          </w:tcPr>
          <w:p w14:paraId="6026AC33" w14:textId="77777777" w:rsidR="00583324" w:rsidRDefault="00F71546" w:rsidP="00583324">
            <w:pPr>
              <w:tabs>
                <w:tab w:val="center" w:pos="3152"/>
              </w:tabs>
              <w:rPr>
                <w:rFonts w:cs="Arial"/>
                <w:szCs w:val="19"/>
                <w:lang w:val="en-US"/>
              </w:rPr>
            </w:pPr>
            <w:r>
              <w:rPr>
                <w:rFonts w:cs="Arial"/>
                <w:szCs w:val="19"/>
                <w:lang w:val="en-US"/>
              </w:rPr>
              <w:t>M</w:t>
            </w:r>
            <w:r w:rsidRPr="00D22F60">
              <w:rPr>
                <w:rFonts w:cs="Arial"/>
                <w:szCs w:val="19"/>
                <w:lang w:val="en-US"/>
              </w:rPr>
              <w:t>oderate to severe</w:t>
            </w:r>
            <w:r>
              <w:rPr>
                <w:rFonts w:cs="Arial"/>
                <w:szCs w:val="19"/>
                <w:lang w:val="en-US"/>
              </w:rPr>
              <w:t xml:space="preserve"> r</w:t>
            </w:r>
            <w:r w:rsidRPr="00D22F60">
              <w:rPr>
                <w:rFonts w:cs="Arial"/>
                <w:szCs w:val="19"/>
                <w:lang w:val="en-US"/>
              </w:rPr>
              <w:t>heumatoid arthritis in adults</w:t>
            </w:r>
            <w:r>
              <w:rPr>
                <w:rFonts w:cs="Arial"/>
                <w:szCs w:val="19"/>
                <w:lang w:val="en-US"/>
              </w:rPr>
              <w:t xml:space="preserve"> – development discontinued </w:t>
            </w:r>
          </w:p>
          <w:p w14:paraId="3E98A1AD" w14:textId="2CC0165D" w:rsidR="00F71546" w:rsidRDefault="00F71546" w:rsidP="00583324">
            <w:pPr>
              <w:tabs>
                <w:tab w:val="center" w:pos="3152"/>
              </w:tabs>
              <w:rPr>
                <w:rFonts w:cs="Arial"/>
                <w:szCs w:val="19"/>
                <w:lang w:val="en-US"/>
              </w:rPr>
            </w:pPr>
            <w:r>
              <w:rPr>
                <w:rFonts w:cs="Arial"/>
                <w:szCs w:val="19"/>
                <w:lang w:val="en-US"/>
              </w:rPr>
              <w:t>(company decision)</w:t>
            </w:r>
          </w:p>
        </w:tc>
      </w:tr>
      <w:tr w:rsidR="00F71546" w14:paraId="2F402F6C" w14:textId="77777777" w:rsidTr="008344A8">
        <w:tc>
          <w:tcPr>
            <w:tcW w:w="1091" w:type="pct"/>
            <w:tcMar>
              <w:top w:w="57" w:type="dxa"/>
              <w:bottom w:w="57" w:type="dxa"/>
            </w:tcMar>
          </w:tcPr>
          <w:p w14:paraId="2DA7E4DC" w14:textId="77777777" w:rsidR="00F71546" w:rsidRPr="00C05FAF" w:rsidRDefault="00F71546" w:rsidP="002E23B3">
            <w:pPr>
              <w:rPr>
                <w:rFonts w:cs="Arial"/>
                <w:szCs w:val="19"/>
              </w:rPr>
            </w:pPr>
            <w:r w:rsidRPr="00DD5C27">
              <w:rPr>
                <w:rFonts w:cs="Arial"/>
                <w:szCs w:val="19"/>
              </w:rPr>
              <w:t>Devimistat</w:t>
            </w:r>
            <w:r>
              <w:rPr>
                <w:rFonts w:cs="Arial"/>
                <w:szCs w:val="19"/>
              </w:rPr>
              <w:t xml:space="preserve"> </w:t>
            </w:r>
          </w:p>
        </w:tc>
        <w:tc>
          <w:tcPr>
            <w:tcW w:w="3909" w:type="pct"/>
            <w:tcMar>
              <w:top w:w="57" w:type="dxa"/>
              <w:bottom w:w="57" w:type="dxa"/>
            </w:tcMar>
          </w:tcPr>
          <w:p w14:paraId="1D03A0E5" w14:textId="77777777" w:rsidR="00F71546" w:rsidRDefault="00F71546" w:rsidP="002E23B3">
            <w:pPr>
              <w:tabs>
                <w:tab w:val="center" w:pos="3152"/>
              </w:tabs>
              <w:rPr>
                <w:rFonts w:cs="Arial"/>
                <w:szCs w:val="19"/>
                <w:lang w:val="en-US"/>
              </w:rPr>
            </w:pPr>
            <w:r>
              <w:rPr>
                <w:rFonts w:cs="Arial"/>
                <w:szCs w:val="19"/>
                <w:lang w:val="en-US"/>
              </w:rPr>
              <w:t>Locally advanced p</w:t>
            </w:r>
            <w:r w:rsidRPr="00497B6C">
              <w:rPr>
                <w:rFonts w:cs="Arial"/>
                <w:szCs w:val="19"/>
                <w:lang w:val="en-US"/>
              </w:rPr>
              <w:t xml:space="preserve">ancreatic </w:t>
            </w:r>
            <w:r>
              <w:rPr>
                <w:rFonts w:cs="Arial"/>
                <w:szCs w:val="19"/>
                <w:lang w:val="en-US"/>
              </w:rPr>
              <w:t>a</w:t>
            </w:r>
            <w:r w:rsidRPr="00497B6C">
              <w:rPr>
                <w:rFonts w:cs="Arial"/>
                <w:szCs w:val="19"/>
                <w:lang w:val="en-US"/>
              </w:rPr>
              <w:t>denocarcinoma in adults</w:t>
            </w:r>
            <w:r>
              <w:rPr>
                <w:rFonts w:cs="Arial"/>
                <w:szCs w:val="19"/>
                <w:lang w:val="en-US"/>
              </w:rPr>
              <w:t>,</w:t>
            </w:r>
            <w:r w:rsidRPr="00497B6C">
              <w:rPr>
                <w:rFonts w:cs="Arial"/>
                <w:szCs w:val="19"/>
                <w:lang w:val="en-US"/>
              </w:rPr>
              <w:t xml:space="preserve"> first-line with </w:t>
            </w:r>
            <w:r>
              <w:rPr>
                <w:rFonts w:cs="Arial"/>
                <w:szCs w:val="19"/>
                <w:lang w:val="en-US"/>
              </w:rPr>
              <w:t>chemotherapy – development discontinued (company decision)</w:t>
            </w:r>
          </w:p>
        </w:tc>
      </w:tr>
      <w:tr w:rsidR="00F71546" w14:paraId="354B8013" w14:textId="77777777" w:rsidTr="008344A8">
        <w:tc>
          <w:tcPr>
            <w:tcW w:w="1091" w:type="pct"/>
            <w:tcMar>
              <w:top w:w="57" w:type="dxa"/>
              <w:bottom w:w="57" w:type="dxa"/>
            </w:tcMar>
          </w:tcPr>
          <w:p w14:paraId="4C68033C" w14:textId="77777777" w:rsidR="00F71546" w:rsidRDefault="00F71546" w:rsidP="002E23B3">
            <w:pPr>
              <w:rPr>
                <w:rFonts w:cs="Arial"/>
                <w:szCs w:val="19"/>
              </w:rPr>
            </w:pPr>
            <w:r w:rsidRPr="004B5B5E">
              <w:rPr>
                <w:rFonts w:cs="Arial"/>
                <w:szCs w:val="19"/>
              </w:rPr>
              <w:t>Dexpramipexole</w:t>
            </w:r>
            <w:r>
              <w:rPr>
                <w:rFonts w:cs="Arial"/>
                <w:szCs w:val="19"/>
              </w:rPr>
              <w:t xml:space="preserve"> </w:t>
            </w:r>
          </w:p>
        </w:tc>
        <w:tc>
          <w:tcPr>
            <w:tcW w:w="3909" w:type="pct"/>
            <w:tcMar>
              <w:top w:w="57" w:type="dxa"/>
              <w:bottom w:w="57" w:type="dxa"/>
            </w:tcMar>
          </w:tcPr>
          <w:p w14:paraId="4D50F172" w14:textId="77777777" w:rsidR="00F71546" w:rsidRDefault="00F71546" w:rsidP="002E23B3">
            <w:pPr>
              <w:tabs>
                <w:tab w:val="center" w:pos="3152"/>
              </w:tabs>
              <w:rPr>
                <w:rFonts w:cs="Arial"/>
                <w:szCs w:val="19"/>
                <w:lang w:val="en-US"/>
              </w:rPr>
            </w:pPr>
            <w:r w:rsidRPr="00121872">
              <w:rPr>
                <w:rFonts w:cs="Arial"/>
                <w:szCs w:val="19"/>
                <w:lang w:val="en-US"/>
              </w:rPr>
              <w:t xml:space="preserve">Moderate-to-severe eosinophilic </w:t>
            </w:r>
            <w:r>
              <w:rPr>
                <w:rFonts w:cs="Arial"/>
                <w:szCs w:val="19"/>
                <w:lang w:val="en-US"/>
              </w:rPr>
              <w:t xml:space="preserve">asthma </w:t>
            </w:r>
            <w:r w:rsidRPr="00121872">
              <w:rPr>
                <w:rFonts w:cs="Arial"/>
                <w:szCs w:val="19"/>
                <w:lang w:val="en-US"/>
              </w:rPr>
              <w:t xml:space="preserve">in adults and adolescents aged 12 years and </w:t>
            </w:r>
            <w:r>
              <w:rPr>
                <w:rFonts w:cs="Arial"/>
                <w:szCs w:val="19"/>
                <w:lang w:val="en-US"/>
              </w:rPr>
              <w:t>older – development discontinued (company decision)</w:t>
            </w:r>
          </w:p>
        </w:tc>
      </w:tr>
      <w:tr w:rsidR="00F71546" w14:paraId="77806B35" w14:textId="77777777" w:rsidTr="008344A8">
        <w:tc>
          <w:tcPr>
            <w:tcW w:w="1091" w:type="pct"/>
            <w:tcMar>
              <w:top w:w="57" w:type="dxa"/>
              <w:bottom w:w="57" w:type="dxa"/>
            </w:tcMar>
          </w:tcPr>
          <w:p w14:paraId="2C7D34B1" w14:textId="77777777" w:rsidR="00F71546" w:rsidRDefault="00F71546" w:rsidP="002E23B3">
            <w:pPr>
              <w:rPr>
                <w:rFonts w:cs="Arial"/>
                <w:szCs w:val="19"/>
              </w:rPr>
            </w:pPr>
            <w:r>
              <w:rPr>
                <w:rFonts w:cs="Arial"/>
                <w:szCs w:val="19"/>
              </w:rPr>
              <w:t xml:space="preserve">Domvanalimab </w:t>
            </w:r>
          </w:p>
        </w:tc>
        <w:tc>
          <w:tcPr>
            <w:tcW w:w="3909" w:type="pct"/>
            <w:tcMar>
              <w:top w:w="57" w:type="dxa"/>
              <w:bottom w:w="57" w:type="dxa"/>
            </w:tcMar>
          </w:tcPr>
          <w:p w14:paraId="5A5B3155" w14:textId="77777777" w:rsidR="00F71546" w:rsidRPr="00F34C3B" w:rsidRDefault="00F71546" w:rsidP="002E23B3">
            <w:pPr>
              <w:tabs>
                <w:tab w:val="center" w:pos="3152"/>
              </w:tabs>
              <w:rPr>
                <w:rFonts w:cs="Arial"/>
                <w:szCs w:val="19"/>
                <w:lang w:val="en-US"/>
              </w:rPr>
            </w:pPr>
            <w:r>
              <w:rPr>
                <w:rFonts w:cs="Arial"/>
                <w:szCs w:val="19"/>
                <w:lang w:val="en-US"/>
              </w:rPr>
              <w:t>U</w:t>
            </w:r>
            <w:r w:rsidRPr="004A56B8">
              <w:rPr>
                <w:rFonts w:cs="Arial"/>
                <w:szCs w:val="19"/>
                <w:lang w:val="en-US"/>
              </w:rPr>
              <w:t xml:space="preserve">nresectable, advanced </w:t>
            </w:r>
            <w:r>
              <w:rPr>
                <w:rFonts w:cs="Arial"/>
                <w:szCs w:val="19"/>
                <w:lang w:val="en-US"/>
              </w:rPr>
              <w:t>g</w:t>
            </w:r>
            <w:r w:rsidRPr="004A56B8">
              <w:rPr>
                <w:rFonts w:cs="Arial"/>
                <w:szCs w:val="19"/>
                <w:lang w:val="en-US"/>
              </w:rPr>
              <w:t xml:space="preserve">astro-oesophageal </w:t>
            </w:r>
            <w:r>
              <w:rPr>
                <w:rFonts w:cs="Arial"/>
                <w:szCs w:val="19"/>
                <w:lang w:val="en-US"/>
              </w:rPr>
              <w:t>a</w:t>
            </w:r>
            <w:r w:rsidRPr="004A56B8">
              <w:rPr>
                <w:rFonts w:cs="Arial"/>
                <w:szCs w:val="19"/>
                <w:lang w:val="en-US"/>
              </w:rPr>
              <w:t>denocarcinoma in adults</w:t>
            </w:r>
            <w:r>
              <w:rPr>
                <w:rFonts w:cs="Arial"/>
                <w:szCs w:val="19"/>
                <w:lang w:val="en-US"/>
              </w:rPr>
              <w:t>,</w:t>
            </w:r>
            <w:r w:rsidRPr="004A56B8">
              <w:rPr>
                <w:rFonts w:cs="Arial"/>
                <w:szCs w:val="19"/>
                <w:lang w:val="en-US"/>
              </w:rPr>
              <w:t xml:space="preserve"> first-line with zimberelimab and chemotherapy</w:t>
            </w:r>
            <w:r>
              <w:rPr>
                <w:rFonts w:cs="Arial"/>
                <w:szCs w:val="19"/>
                <w:lang w:val="en-US"/>
              </w:rPr>
              <w:t xml:space="preserve"> – development discontinued (lack of efficacy)</w:t>
            </w:r>
          </w:p>
        </w:tc>
      </w:tr>
      <w:tr w:rsidR="00F71546" w14:paraId="5EA5B499" w14:textId="77777777" w:rsidTr="008344A8">
        <w:tc>
          <w:tcPr>
            <w:tcW w:w="1091" w:type="pct"/>
            <w:tcMar>
              <w:top w:w="57" w:type="dxa"/>
              <w:bottom w:w="57" w:type="dxa"/>
            </w:tcMar>
          </w:tcPr>
          <w:p w14:paraId="149DCE96" w14:textId="77777777" w:rsidR="00F71546" w:rsidRPr="00996E46" w:rsidRDefault="00F71546" w:rsidP="002E23B3">
            <w:pPr>
              <w:rPr>
                <w:rFonts w:cs="Arial"/>
                <w:szCs w:val="19"/>
              </w:rPr>
            </w:pPr>
            <w:r w:rsidRPr="00872E49">
              <w:rPr>
                <w:rFonts w:cs="Arial"/>
                <w:szCs w:val="19"/>
              </w:rPr>
              <w:t>Donaperminogene seltoplasmid </w:t>
            </w:r>
            <w:r>
              <w:rPr>
                <w:rFonts w:cs="Arial"/>
                <w:szCs w:val="19"/>
              </w:rPr>
              <w:t>(</w:t>
            </w:r>
            <w:r>
              <w:rPr>
                <w:rFonts w:cs="Arial"/>
                <w:i/>
                <w:iCs/>
                <w:szCs w:val="19"/>
              </w:rPr>
              <w:t>Engensis</w:t>
            </w:r>
            <w:r>
              <w:rPr>
                <w:rFonts w:cs="Arial"/>
                <w:szCs w:val="19"/>
              </w:rPr>
              <w:t>)</w:t>
            </w:r>
          </w:p>
        </w:tc>
        <w:tc>
          <w:tcPr>
            <w:tcW w:w="3909" w:type="pct"/>
            <w:tcMar>
              <w:top w:w="57" w:type="dxa"/>
              <w:bottom w:w="57" w:type="dxa"/>
            </w:tcMar>
          </w:tcPr>
          <w:p w14:paraId="14140237" w14:textId="44F05556" w:rsidR="00F71546" w:rsidRPr="00F34C3B" w:rsidRDefault="00F71546" w:rsidP="00583324">
            <w:pPr>
              <w:tabs>
                <w:tab w:val="center" w:pos="3152"/>
              </w:tabs>
              <w:rPr>
                <w:rFonts w:cs="Arial"/>
                <w:szCs w:val="19"/>
                <w:lang w:val="en-US"/>
              </w:rPr>
            </w:pPr>
            <w:r w:rsidRPr="004F32A7">
              <w:rPr>
                <w:rFonts w:cs="Arial"/>
                <w:szCs w:val="19"/>
                <w:lang w:val="en-US"/>
              </w:rPr>
              <w:t>Painful diabetic peripheral neuropathies in adults</w:t>
            </w:r>
            <w:r>
              <w:rPr>
                <w:rFonts w:cs="Arial"/>
                <w:szCs w:val="19"/>
                <w:lang w:val="en-US"/>
              </w:rPr>
              <w:t xml:space="preserve"> – development discontinued (lack of efficacy)</w:t>
            </w:r>
          </w:p>
        </w:tc>
      </w:tr>
      <w:tr w:rsidR="00F71546" w14:paraId="7D2A359F" w14:textId="77777777" w:rsidTr="008344A8">
        <w:tc>
          <w:tcPr>
            <w:tcW w:w="1091" w:type="pct"/>
            <w:tcMar>
              <w:top w:w="57" w:type="dxa"/>
              <w:bottom w:w="57" w:type="dxa"/>
            </w:tcMar>
          </w:tcPr>
          <w:p w14:paraId="160E2967" w14:textId="77777777" w:rsidR="00F71546" w:rsidRPr="00963B3E" w:rsidRDefault="00F71546" w:rsidP="002E23B3">
            <w:pPr>
              <w:rPr>
                <w:rFonts w:cs="Arial"/>
                <w:szCs w:val="19"/>
              </w:rPr>
            </w:pPr>
            <w:r>
              <w:rPr>
                <w:rFonts w:cs="Arial"/>
                <w:szCs w:val="19"/>
              </w:rPr>
              <w:t>Dostarlimab (</w:t>
            </w:r>
            <w:r>
              <w:rPr>
                <w:rFonts w:cs="Arial"/>
                <w:i/>
                <w:iCs/>
                <w:szCs w:val="19"/>
              </w:rPr>
              <w:t>Jemperli</w:t>
            </w:r>
            <w:r>
              <w:rPr>
                <w:rFonts w:cs="Arial"/>
                <w:szCs w:val="19"/>
              </w:rPr>
              <w:t>)</w:t>
            </w:r>
          </w:p>
        </w:tc>
        <w:tc>
          <w:tcPr>
            <w:tcW w:w="3909" w:type="pct"/>
            <w:tcMar>
              <w:top w:w="57" w:type="dxa"/>
              <w:bottom w:w="57" w:type="dxa"/>
            </w:tcMar>
          </w:tcPr>
          <w:p w14:paraId="38570366" w14:textId="77777777" w:rsidR="00F71546" w:rsidRPr="00C05FAF" w:rsidRDefault="00F71546" w:rsidP="002E23B3">
            <w:pPr>
              <w:tabs>
                <w:tab w:val="center" w:pos="3152"/>
              </w:tabs>
              <w:rPr>
                <w:rFonts w:cs="Arial"/>
                <w:szCs w:val="19"/>
                <w:lang w:val="en-US"/>
              </w:rPr>
            </w:pPr>
            <w:r w:rsidRPr="00F34C3B">
              <w:rPr>
                <w:rFonts w:cs="Arial"/>
                <w:szCs w:val="19"/>
                <w:lang w:val="en-US"/>
              </w:rPr>
              <w:t>Advanced or recurrent</w:t>
            </w:r>
            <w:r>
              <w:rPr>
                <w:rFonts w:cs="Arial"/>
                <w:szCs w:val="19"/>
                <w:lang w:val="en-US"/>
              </w:rPr>
              <w:t xml:space="preserve"> endometrial cancer </w:t>
            </w:r>
            <w:r w:rsidRPr="00F34C3B">
              <w:rPr>
                <w:rFonts w:cs="Arial"/>
                <w:szCs w:val="19"/>
                <w:lang w:val="en-US"/>
              </w:rPr>
              <w:t>in adults</w:t>
            </w:r>
            <w:r>
              <w:rPr>
                <w:rFonts w:cs="Arial"/>
                <w:szCs w:val="19"/>
                <w:lang w:val="en-US"/>
              </w:rPr>
              <w:t>,</w:t>
            </w:r>
            <w:r w:rsidRPr="00F34C3B">
              <w:rPr>
                <w:rFonts w:cs="Arial"/>
                <w:szCs w:val="19"/>
                <w:lang w:val="en-US"/>
              </w:rPr>
              <w:t xml:space="preserve"> first-line maintenance therapy with niraparib </w:t>
            </w:r>
            <w:r>
              <w:rPr>
                <w:rFonts w:cs="Arial"/>
                <w:szCs w:val="19"/>
                <w:lang w:val="en-US"/>
              </w:rPr>
              <w:t>– development discontinued (company decision)</w:t>
            </w:r>
          </w:p>
        </w:tc>
      </w:tr>
      <w:tr w:rsidR="00F71546" w14:paraId="68AF2B83" w14:textId="77777777" w:rsidTr="008344A8">
        <w:tc>
          <w:tcPr>
            <w:tcW w:w="1091" w:type="pct"/>
            <w:tcMar>
              <w:top w:w="57" w:type="dxa"/>
              <w:bottom w:w="57" w:type="dxa"/>
            </w:tcMar>
          </w:tcPr>
          <w:p w14:paraId="5757FF3C" w14:textId="77777777" w:rsidR="00F71546" w:rsidRDefault="00F71546" w:rsidP="002E23B3">
            <w:pPr>
              <w:rPr>
                <w:rFonts w:cs="Arial"/>
                <w:szCs w:val="19"/>
              </w:rPr>
            </w:pPr>
            <w:r w:rsidRPr="001D179A">
              <w:rPr>
                <w:rFonts w:cs="Arial"/>
                <w:szCs w:val="19"/>
              </w:rPr>
              <w:t>Efgartigimod alfa</w:t>
            </w:r>
            <w:r>
              <w:rPr>
                <w:rFonts w:cs="Arial"/>
                <w:szCs w:val="19"/>
              </w:rPr>
              <w:t xml:space="preserve"> (</w:t>
            </w:r>
            <w:r>
              <w:rPr>
                <w:rFonts w:cs="Arial"/>
                <w:i/>
                <w:iCs/>
                <w:szCs w:val="19"/>
              </w:rPr>
              <w:t>Vyvgart</w:t>
            </w:r>
            <w:r>
              <w:rPr>
                <w:rFonts w:cs="Arial"/>
                <w:szCs w:val="19"/>
              </w:rPr>
              <w:t>)</w:t>
            </w:r>
            <w:r w:rsidRPr="001D179A">
              <w:rPr>
                <w:rFonts w:cs="Arial"/>
                <w:szCs w:val="19"/>
              </w:rPr>
              <w:t> </w:t>
            </w:r>
          </w:p>
        </w:tc>
        <w:tc>
          <w:tcPr>
            <w:tcW w:w="3909" w:type="pct"/>
            <w:tcMar>
              <w:top w:w="57" w:type="dxa"/>
              <w:bottom w:w="57" w:type="dxa"/>
            </w:tcMar>
          </w:tcPr>
          <w:p w14:paraId="4ACD61E4" w14:textId="77777777" w:rsidR="00583324" w:rsidRDefault="00F71546" w:rsidP="00583324">
            <w:pPr>
              <w:tabs>
                <w:tab w:val="center" w:pos="3152"/>
              </w:tabs>
              <w:rPr>
                <w:rFonts w:cs="Arial"/>
                <w:szCs w:val="19"/>
                <w:lang w:val="en-US"/>
              </w:rPr>
            </w:pPr>
            <w:r>
              <w:rPr>
                <w:rFonts w:cs="Arial"/>
                <w:szCs w:val="19"/>
                <w:lang w:val="en-US"/>
              </w:rPr>
              <w:t>M</w:t>
            </w:r>
            <w:r w:rsidRPr="00D32120">
              <w:rPr>
                <w:rFonts w:cs="Arial"/>
                <w:szCs w:val="19"/>
                <w:lang w:val="en-US"/>
              </w:rPr>
              <w:t xml:space="preserve">oderate to severe </w:t>
            </w:r>
            <w:r>
              <w:rPr>
                <w:rFonts w:cs="Arial"/>
                <w:szCs w:val="19"/>
                <w:lang w:val="en-US"/>
              </w:rPr>
              <w:t>b</w:t>
            </w:r>
            <w:r w:rsidRPr="00D32120">
              <w:rPr>
                <w:rFonts w:cs="Arial"/>
                <w:szCs w:val="19"/>
                <w:lang w:val="en-US"/>
              </w:rPr>
              <w:t>ullous pemphigoid in adults</w:t>
            </w:r>
            <w:r>
              <w:rPr>
                <w:rFonts w:cs="Arial"/>
                <w:szCs w:val="19"/>
                <w:lang w:val="en-US"/>
              </w:rPr>
              <w:t xml:space="preserve"> – development discontinued</w:t>
            </w:r>
            <w:r w:rsidR="00583324">
              <w:rPr>
                <w:rFonts w:cs="Arial"/>
                <w:szCs w:val="19"/>
                <w:lang w:val="en-US"/>
              </w:rPr>
              <w:t xml:space="preserve"> </w:t>
            </w:r>
          </w:p>
          <w:p w14:paraId="7CFF4962" w14:textId="5EB46D2E" w:rsidR="00F71546" w:rsidRPr="0076432E" w:rsidRDefault="00F71546" w:rsidP="00583324">
            <w:pPr>
              <w:tabs>
                <w:tab w:val="center" w:pos="3152"/>
              </w:tabs>
              <w:rPr>
                <w:rFonts w:cs="Arial"/>
                <w:szCs w:val="19"/>
                <w:lang w:val="en-US"/>
              </w:rPr>
            </w:pPr>
            <w:r>
              <w:rPr>
                <w:rFonts w:cs="Arial"/>
                <w:szCs w:val="19"/>
                <w:lang w:val="en-US"/>
              </w:rPr>
              <w:t>(company decision)</w:t>
            </w:r>
          </w:p>
        </w:tc>
      </w:tr>
      <w:tr w:rsidR="00F71546" w14:paraId="45F3C45F" w14:textId="77777777" w:rsidTr="008344A8">
        <w:tc>
          <w:tcPr>
            <w:tcW w:w="1091" w:type="pct"/>
            <w:tcMar>
              <w:top w:w="57" w:type="dxa"/>
              <w:bottom w:w="57" w:type="dxa"/>
            </w:tcMar>
          </w:tcPr>
          <w:p w14:paraId="2325249F" w14:textId="77777777" w:rsidR="00F71546" w:rsidRDefault="00F71546" w:rsidP="002E23B3">
            <w:pPr>
              <w:rPr>
                <w:rFonts w:cs="Arial"/>
                <w:szCs w:val="19"/>
              </w:rPr>
            </w:pPr>
            <w:r w:rsidRPr="003823AC">
              <w:rPr>
                <w:rFonts w:cs="Arial"/>
                <w:szCs w:val="19"/>
              </w:rPr>
              <w:t>Entacingene turiparvovec</w:t>
            </w:r>
          </w:p>
        </w:tc>
        <w:tc>
          <w:tcPr>
            <w:tcW w:w="3909" w:type="pct"/>
            <w:tcMar>
              <w:top w:w="57" w:type="dxa"/>
              <w:bottom w:w="57" w:type="dxa"/>
            </w:tcMar>
          </w:tcPr>
          <w:p w14:paraId="62FAAE0B" w14:textId="77777777" w:rsidR="00F71546" w:rsidRDefault="00F71546" w:rsidP="002E23B3">
            <w:pPr>
              <w:tabs>
                <w:tab w:val="center" w:pos="3152"/>
              </w:tabs>
              <w:rPr>
                <w:rFonts w:cs="Arial"/>
                <w:szCs w:val="19"/>
                <w:lang w:val="en-US"/>
              </w:rPr>
            </w:pPr>
            <w:r w:rsidRPr="00972246">
              <w:rPr>
                <w:rFonts w:cs="Arial"/>
                <w:szCs w:val="19"/>
                <w:lang w:val="en-US"/>
              </w:rPr>
              <w:t xml:space="preserve">Achromatopsia </w:t>
            </w:r>
            <w:r w:rsidRPr="00972246">
              <w:rPr>
                <w:rFonts w:cs="Arial"/>
                <w:szCs w:val="19"/>
                <w:lang w:val="en-US"/>
              </w:rPr>
              <w:tab/>
              <w:t>due to mutations in the CNGB 3 gene, in adults and children aged 3 years</w:t>
            </w:r>
            <w:r>
              <w:rPr>
                <w:rFonts w:cs="Arial"/>
                <w:szCs w:val="19"/>
                <w:lang w:val="en-US"/>
              </w:rPr>
              <w:t xml:space="preserve"> and older – development discontinued (company decision)</w:t>
            </w:r>
          </w:p>
        </w:tc>
      </w:tr>
      <w:tr w:rsidR="00F71546" w14:paraId="0135C01F" w14:textId="77777777" w:rsidTr="008344A8">
        <w:tc>
          <w:tcPr>
            <w:tcW w:w="1091" w:type="pct"/>
            <w:tcMar>
              <w:top w:w="57" w:type="dxa"/>
              <w:bottom w:w="57" w:type="dxa"/>
            </w:tcMar>
          </w:tcPr>
          <w:p w14:paraId="33C14B53" w14:textId="77777777" w:rsidR="00F71546" w:rsidRDefault="00F71546" w:rsidP="002E23B3">
            <w:pPr>
              <w:rPr>
                <w:rFonts w:cs="Arial"/>
                <w:szCs w:val="19"/>
              </w:rPr>
            </w:pPr>
            <w:r>
              <w:rPr>
                <w:rFonts w:cs="Arial"/>
                <w:szCs w:val="19"/>
              </w:rPr>
              <w:t xml:space="preserve">Itolizumab </w:t>
            </w:r>
          </w:p>
        </w:tc>
        <w:tc>
          <w:tcPr>
            <w:tcW w:w="3909" w:type="pct"/>
            <w:tcMar>
              <w:top w:w="57" w:type="dxa"/>
              <w:bottom w:w="57" w:type="dxa"/>
            </w:tcMar>
          </w:tcPr>
          <w:p w14:paraId="19738EB0" w14:textId="77777777" w:rsidR="00F71546" w:rsidRPr="0076432E" w:rsidRDefault="00F71546" w:rsidP="002E23B3">
            <w:pPr>
              <w:tabs>
                <w:tab w:val="center" w:pos="3152"/>
              </w:tabs>
              <w:rPr>
                <w:rFonts w:cs="Arial"/>
                <w:szCs w:val="19"/>
                <w:lang w:val="en-US"/>
              </w:rPr>
            </w:pPr>
            <w:r>
              <w:rPr>
                <w:rFonts w:cs="Arial"/>
                <w:szCs w:val="19"/>
                <w:lang w:val="en-US"/>
              </w:rPr>
              <w:t>Acute g</w:t>
            </w:r>
            <w:r w:rsidRPr="00D82368">
              <w:rPr>
                <w:rFonts w:cs="Arial"/>
                <w:szCs w:val="19"/>
                <w:lang w:val="en-US"/>
              </w:rPr>
              <w:t>raft versus host disease in adults and adolescents age</w:t>
            </w:r>
            <w:r>
              <w:rPr>
                <w:rFonts w:cs="Arial"/>
                <w:szCs w:val="19"/>
                <w:lang w:val="en-US"/>
              </w:rPr>
              <w:t>d</w:t>
            </w:r>
            <w:r w:rsidRPr="00D82368">
              <w:rPr>
                <w:rFonts w:cs="Arial"/>
                <w:szCs w:val="19"/>
                <w:lang w:val="en-US"/>
              </w:rPr>
              <w:t xml:space="preserve"> 12</w:t>
            </w:r>
            <w:r>
              <w:rPr>
                <w:rFonts w:cs="Arial"/>
                <w:szCs w:val="19"/>
                <w:lang w:val="en-US"/>
              </w:rPr>
              <w:t xml:space="preserve"> years</w:t>
            </w:r>
            <w:r w:rsidRPr="00D82368">
              <w:rPr>
                <w:rFonts w:cs="Arial"/>
                <w:szCs w:val="19"/>
                <w:lang w:val="en-US"/>
              </w:rPr>
              <w:t xml:space="preserve"> and o</w:t>
            </w:r>
            <w:r>
              <w:rPr>
                <w:rFonts w:cs="Arial"/>
                <w:szCs w:val="19"/>
                <w:lang w:val="en-US"/>
              </w:rPr>
              <w:t>lder,</w:t>
            </w:r>
            <w:r w:rsidRPr="00D82368">
              <w:rPr>
                <w:rFonts w:cs="Arial"/>
                <w:szCs w:val="19"/>
                <w:lang w:val="en-US"/>
              </w:rPr>
              <w:t xml:space="preserve"> with corticosteroids</w:t>
            </w:r>
            <w:r>
              <w:rPr>
                <w:rFonts w:cs="Arial"/>
                <w:szCs w:val="19"/>
                <w:lang w:val="en-US"/>
              </w:rPr>
              <w:t xml:space="preserve"> – development discontinued (company decision)</w:t>
            </w:r>
          </w:p>
        </w:tc>
      </w:tr>
      <w:tr w:rsidR="00F71546" w14:paraId="4A45539B" w14:textId="77777777" w:rsidTr="008344A8">
        <w:tc>
          <w:tcPr>
            <w:tcW w:w="1091" w:type="pct"/>
            <w:tcMar>
              <w:top w:w="57" w:type="dxa"/>
              <w:bottom w:w="57" w:type="dxa"/>
            </w:tcMar>
          </w:tcPr>
          <w:p w14:paraId="061811FF" w14:textId="77777777" w:rsidR="00F71546" w:rsidRDefault="00F71546" w:rsidP="002E23B3">
            <w:pPr>
              <w:rPr>
                <w:rFonts w:cs="Arial"/>
                <w:szCs w:val="19"/>
              </w:rPr>
            </w:pPr>
            <w:r w:rsidRPr="00005989">
              <w:rPr>
                <w:rFonts w:cs="Arial"/>
                <w:szCs w:val="19"/>
              </w:rPr>
              <w:t>Izokibep</w:t>
            </w:r>
            <w:r>
              <w:rPr>
                <w:rFonts w:cs="Arial"/>
                <w:szCs w:val="19"/>
              </w:rPr>
              <w:t xml:space="preserve"> </w:t>
            </w:r>
          </w:p>
        </w:tc>
        <w:tc>
          <w:tcPr>
            <w:tcW w:w="3909" w:type="pct"/>
            <w:tcMar>
              <w:top w:w="57" w:type="dxa"/>
              <w:bottom w:w="57" w:type="dxa"/>
            </w:tcMar>
          </w:tcPr>
          <w:p w14:paraId="647727F8" w14:textId="77777777" w:rsidR="00F71546" w:rsidRDefault="00F71546" w:rsidP="002E23B3">
            <w:pPr>
              <w:tabs>
                <w:tab w:val="center" w:pos="3152"/>
              </w:tabs>
              <w:rPr>
                <w:rFonts w:cs="Arial"/>
                <w:szCs w:val="19"/>
                <w:lang w:val="en-US"/>
              </w:rPr>
            </w:pPr>
            <w:r>
              <w:rPr>
                <w:rFonts w:cs="Arial"/>
                <w:szCs w:val="19"/>
                <w:lang w:val="en-US"/>
              </w:rPr>
              <w:t>Active ps</w:t>
            </w:r>
            <w:r w:rsidRPr="00F5163B">
              <w:rPr>
                <w:rFonts w:cs="Arial"/>
                <w:szCs w:val="19"/>
                <w:lang w:val="en-US"/>
              </w:rPr>
              <w:t xml:space="preserve">oriatic arthritis after inadequate response to </w:t>
            </w:r>
            <w:r>
              <w:rPr>
                <w:rFonts w:cs="Arial"/>
                <w:szCs w:val="19"/>
                <w:lang w:val="en-US"/>
              </w:rPr>
              <w:t>d</w:t>
            </w:r>
            <w:r w:rsidRPr="000A3FCE">
              <w:rPr>
                <w:rFonts w:cs="Arial"/>
                <w:szCs w:val="19"/>
                <w:lang w:val="en-US"/>
              </w:rPr>
              <w:t>isease-</w:t>
            </w:r>
            <w:r>
              <w:rPr>
                <w:rFonts w:cs="Arial"/>
                <w:szCs w:val="19"/>
                <w:lang w:val="en-US"/>
              </w:rPr>
              <w:t>m</w:t>
            </w:r>
            <w:r w:rsidRPr="000A3FCE">
              <w:rPr>
                <w:rFonts w:cs="Arial"/>
                <w:szCs w:val="19"/>
                <w:lang w:val="en-US"/>
              </w:rPr>
              <w:t xml:space="preserve">odifying </w:t>
            </w:r>
            <w:r>
              <w:rPr>
                <w:rFonts w:cs="Arial"/>
                <w:szCs w:val="19"/>
                <w:lang w:val="en-US"/>
              </w:rPr>
              <w:t>a</w:t>
            </w:r>
            <w:r w:rsidRPr="000A3FCE">
              <w:rPr>
                <w:rFonts w:cs="Arial"/>
                <w:szCs w:val="19"/>
                <w:lang w:val="en-US"/>
              </w:rPr>
              <w:t>nti-</w:t>
            </w:r>
            <w:r>
              <w:rPr>
                <w:rFonts w:cs="Arial"/>
                <w:szCs w:val="19"/>
                <w:lang w:val="en-US"/>
              </w:rPr>
              <w:t>r</w:t>
            </w:r>
            <w:r w:rsidRPr="000A3FCE">
              <w:rPr>
                <w:rFonts w:cs="Arial"/>
                <w:szCs w:val="19"/>
                <w:lang w:val="en-US"/>
              </w:rPr>
              <w:t xml:space="preserve">heumatic </w:t>
            </w:r>
            <w:r>
              <w:rPr>
                <w:rFonts w:cs="Arial"/>
                <w:szCs w:val="19"/>
                <w:lang w:val="en-US"/>
              </w:rPr>
              <w:t>d</w:t>
            </w:r>
            <w:r w:rsidRPr="000A3FCE">
              <w:rPr>
                <w:rFonts w:cs="Arial"/>
                <w:szCs w:val="19"/>
                <w:lang w:val="en-US"/>
              </w:rPr>
              <w:t>rug</w:t>
            </w:r>
            <w:r>
              <w:rPr>
                <w:rFonts w:cs="Arial"/>
                <w:szCs w:val="19"/>
                <w:lang w:val="en-US"/>
              </w:rPr>
              <w:t xml:space="preserve">s </w:t>
            </w:r>
            <w:r w:rsidRPr="00F5163B">
              <w:rPr>
                <w:rFonts w:cs="Arial"/>
                <w:szCs w:val="19"/>
                <w:lang w:val="en-US"/>
              </w:rPr>
              <w:t>in adults</w:t>
            </w:r>
            <w:r>
              <w:rPr>
                <w:rFonts w:cs="Arial"/>
                <w:szCs w:val="19"/>
                <w:lang w:val="en-US"/>
              </w:rPr>
              <w:t xml:space="preserve"> – development discontinued (company decision)</w:t>
            </w:r>
          </w:p>
        </w:tc>
      </w:tr>
      <w:tr w:rsidR="00F71546" w14:paraId="5B3B638B" w14:textId="77777777" w:rsidTr="008344A8">
        <w:tc>
          <w:tcPr>
            <w:tcW w:w="1091" w:type="pct"/>
            <w:tcMar>
              <w:top w:w="57" w:type="dxa"/>
              <w:bottom w:w="57" w:type="dxa"/>
            </w:tcMar>
          </w:tcPr>
          <w:p w14:paraId="60A53B39" w14:textId="77777777" w:rsidR="00F71546" w:rsidRDefault="00F71546" w:rsidP="002E23B3">
            <w:pPr>
              <w:rPr>
                <w:rFonts w:cs="Arial"/>
                <w:szCs w:val="19"/>
              </w:rPr>
            </w:pPr>
            <w:r>
              <w:rPr>
                <w:rFonts w:cs="Arial"/>
                <w:szCs w:val="19"/>
              </w:rPr>
              <w:t>Mitiperstat</w:t>
            </w:r>
          </w:p>
        </w:tc>
        <w:tc>
          <w:tcPr>
            <w:tcW w:w="3909" w:type="pct"/>
            <w:tcMar>
              <w:top w:w="57" w:type="dxa"/>
              <w:bottom w:w="57" w:type="dxa"/>
            </w:tcMar>
          </w:tcPr>
          <w:p w14:paraId="3DDDD259" w14:textId="77777777" w:rsidR="00F71546" w:rsidRDefault="00F71546" w:rsidP="002E23B3">
            <w:pPr>
              <w:tabs>
                <w:tab w:val="center" w:pos="3152"/>
              </w:tabs>
              <w:rPr>
                <w:rFonts w:cs="Arial"/>
                <w:szCs w:val="19"/>
                <w:lang w:val="en-US"/>
              </w:rPr>
            </w:pPr>
            <w:r w:rsidRPr="0076432E">
              <w:rPr>
                <w:rFonts w:cs="Arial"/>
                <w:szCs w:val="19"/>
                <w:lang w:val="en-US"/>
              </w:rPr>
              <w:t>Heart failure with preserved ejection fraction in adults</w:t>
            </w:r>
            <w:r>
              <w:rPr>
                <w:rFonts w:cs="Arial"/>
                <w:szCs w:val="19"/>
                <w:lang w:val="en-US"/>
              </w:rPr>
              <w:t xml:space="preserve"> – development discontinued </w:t>
            </w:r>
          </w:p>
          <w:p w14:paraId="01DB759B" w14:textId="77777777" w:rsidR="00F71546" w:rsidRDefault="00F71546" w:rsidP="002E23B3">
            <w:pPr>
              <w:tabs>
                <w:tab w:val="center" w:pos="3152"/>
              </w:tabs>
              <w:rPr>
                <w:rFonts w:cs="Arial"/>
                <w:szCs w:val="19"/>
                <w:lang w:val="en-US"/>
              </w:rPr>
            </w:pPr>
            <w:r>
              <w:rPr>
                <w:rFonts w:cs="Arial"/>
                <w:szCs w:val="19"/>
                <w:lang w:val="en-US"/>
              </w:rPr>
              <w:t>(lack of efficacy)</w:t>
            </w:r>
          </w:p>
        </w:tc>
      </w:tr>
      <w:tr w:rsidR="00F71546" w14:paraId="5D49E768" w14:textId="77777777" w:rsidTr="008344A8">
        <w:tc>
          <w:tcPr>
            <w:tcW w:w="1091" w:type="pct"/>
            <w:tcMar>
              <w:top w:w="57" w:type="dxa"/>
              <w:bottom w:w="57" w:type="dxa"/>
            </w:tcMar>
          </w:tcPr>
          <w:p w14:paraId="1066BA19" w14:textId="77777777" w:rsidR="00F71546" w:rsidRDefault="00F71546" w:rsidP="002E23B3">
            <w:pPr>
              <w:rPr>
                <w:rFonts w:cs="Arial"/>
                <w:szCs w:val="19"/>
              </w:rPr>
            </w:pPr>
            <w:r w:rsidRPr="00F0119B">
              <w:rPr>
                <w:rFonts w:cs="Arial"/>
                <w:szCs w:val="19"/>
              </w:rPr>
              <w:t>Nemvaleukin</w:t>
            </w:r>
            <w:r>
              <w:rPr>
                <w:rFonts w:cs="Arial"/>
                <w:szCs w:val="19"/>
              </w:rPr>
              <w:t xml:space="preserve"> </w:t>
            </w:r>
          </w:p>
        </w:tc>
        <w:tc>
          <w:tcPr>
            <w:tcW w:w="3909" w:type="pct"/>
            <w:tcMar>
              <w:top w:w="57" w:type="dxa"/>
              <w:bottom w:w="57" w:type="dxa"/>
            </w:tcMar>
          </w:tcPr>
          <w:p w14:paraId="4FFDF918" w14:textId="77777777" w:rsidR="00F71546" w:rsidRPr="00F34C3B" w:rsidRDefault="00F71546" w:rsidP="002E23B3">
            <w:pPr>
              <w:tabs>
                <w:tab w:val="center" w:pos="3152"/>
              </w:tabs>
              <w:rPr>
                <w:rFonts w:cs="Arial"/>
                <w:szCs w:val="19"/>
                <w:lang w:val="en-US"/>
              </w:rPr>
            </w:pPr>
            <w:r>
              <w:rPr>
                <w:rFonts w:cs="Arial"/>
                <w:szCs w:val="19"/>
                <w:lang w:val="en-US"/>
              </w:rPr>
              <w:t>Pl</w:t>
            </w:r>
            <w:r w:rsidRPr="00D56DBA">
              <w:rPr>
                <w:rFonts w:cs="Arial"/>
                <w:szCs w:val="19"/>
                <w:lang w:val="en-US"/>
              </w:rPr>
              <w:t>atinum-resistant</w:t>
            </w:r>
            <w:r>
              <w:rPr>
                <w:rFonts w:cs="Arial"/>
                <w:szCs w:val="19"/>
                <w:lang w:val="en-US"/>
              </w:rPr>
              <w:t xml:space="preserve"> o</w:t>
            </w:r>
            <w:r w:rsidRPr="00D56DBA">
              <w:rPr>
                <w:rFonts w:cs="Arial"/>
                <w:szCs w:val="19"/>
                <w:lang w:val="en-US"/>
              </w:rPr>
              <w:t>varian cancer in adults</w:t>
            </w:r>
            <w:r>
              <w:rPr>
                <w:rFonts w:cs="Arial"/>
                <w:szCs w:val="19"/>
                <w:lang w:val="en-US"/>
              </w:rPr>
              <w:t>,</w:t>
            </w:r>
            <w:r w:rsidRPr="00D56DBA">
              <w:rPr>
                <w:rFonts w:cs="Arial"/>
                <w:szCs w:val="19"/>
                <w:lang w:val="en-US"/>
              </w:rPr>
              <w:t xml:space="preserve"> with pembrolizumab </w:t>
            </w:r>
            <w:r>
              <w:rPr>
                <w:rFonts w:cs="Arial"/>
                <w:szCs w:val="19"/>
                <w:lang w:val="en-US"/>
              </w:rPr>
              <w:t>– development discontinued (company decision)</w:t>
            </w:r>
          </w:p>
        </w:tc>
      </w:tr>
      <w:tr w:rsidR="00F71546" w14:paraId="6DCAD90F" w14:textId="77777777" w:rsidTr="008344A8">
        <w:tc>
          <w:tcPr>
            <w:tcW w:w="1091" w:type="pct"/>
            <w:tcMar>
              <w:top w:w="57" w:type="dxa"/>
              <w:bottom w:w="57" w:type="dxa"/>
            </w:tcMar>
          </w:tcPr>
          <w:p w14:paraId="773F6AE0" w14:textId="77777777" w:rsidR="00F71546" w:rsidRPr="00BC23FE" w:rsidRDefault="00F71546" w:rsidP="002E23B3">
            <w:pPr>
              <w:rPr>
                <w:rFonts w:cs="Arial"/>
                <w:szCs w:val="19"/>
              </w:rPr>
            </w:pPr>
            <w:r>
              <w:rPr>
                <w:rFonts w:cs="Arial"/>
                <w:szCs w:val="19"/>
              </w:rPr>
              <w:t>Niraparib (</w:t>
            </w:r>
            <w:r>
              <w:rPr>
                <w:rFonts w:cs="Arial"/>
                <w:i/>
                <w:iCs/>
                <w:szCs w:val="19"/>
              </w:rPr>
              <w:t>Zejula</w:t>
            </w:r>
            <w:r>
              <w:rPr>
                <w:rFonts w:cs="Arial"/>
                <w:szCs w:val="19"/>
              </w:rPr>
              <w:t>)</w:t>
            </w:r>
          </w:p>
        </w:tc>
        <w:tc>
          <w:tcPr>
            <w:tcW w:w="3909" w:type="pct"/>
            <w:tcMar>
              <w:top w:w="57" w:type="dxa"/>
              <w:bottom w:w="57" w:type="dxa"/>
            </w:tcMar>
          </w:tcPr>
          <w:p w14:paraId="56F41B5E" w14:textId="77777777" w:rsidR="00F71546" w:rsidRDefault="00F71546" w:rsidP="002E23B3">
            <w:pPr>
              <w:tabs>
                <w:tab w:val="center" w:pos="3152"/>
              </w:tabs>
              <w:rPr>
                <w:rFonts w:cs="Arial"/>
                <w:szCs w:val="19"/>
                <w:lang w:val="en-US"/>
              </w:rPr>
            </w:pPr>
            <w:r w:rsidRPr="00F34C3B">
              <w:rPr>
                <w:rFonts w:cs="Arial"/>
                <w:szCs w:val="19"/>
                <w:lang w:val="en-US"/>
              </w:rPr>
              <w:t>Advanced or recurrent</w:t>
            </w:r>
            <w:r>
              <w:rPr>
                <w:rFonts w:cs="Arial"/>
                <w:szCs w:val="19"/>
                <w:lang w:val="en-US"/>
              </w:rPr>
              <w:t xml:space="preserve"> endometrial cancer </w:t>
            </w:r>
            <w:r w:rsidRPr="00F34C3B">
              <w:rPr>
                <w:rFonts w:cs="Arial"/>
                <w:szCs w:val="19"/>
                <w:lang w:val="en-US"/>
              </w:rPr>
              <w:t>in adults</w:t>
            </w:r>
            <w:r>
              <w:rPr>
                <w:rFonts w:cs="Arial"/>
                <w:szCs w:val="19"/>
                <w:lang w:val="en-US"/>
              </w:rPr>
              <w:t>,</w:t>
            </w:r>
            <w:r w:rsidRPr="00F34C3B">
              <w:rPr>
                <w:rFonts w:cs="Arial"/>
                <w:szCs w:val="19"/>
                <w:lang w:val="en-US"/>
              </w:rPr>
              <w:t xml:space="preserve"> first-line maintenance therapy with </w:t>
            </w:r>
            <w:r>
              <w:rPr>
                <w:rFonts w:cs="Arial"/>
                <w:szCs w:val="19"/>
                <w:lang w:val="en-US"/>
              </w:rPr>
              <w:t>dostarlimab</w:t>
            </w:r>
            <w:r w:rsidRPr="00F34C3B">
              <w:rPr>
                <w:rFonts w:cs="Arial"/>
                <w:szCs w:val="19"/>
                <w:lang w:val="en-US"/>
              </w:rPr>
              <w:t xml:space="preserve"> </w:t>
            </w:r>
            <w:r>
              <w:rPr>
                <w:rFonts w:cs="Arial"/>
                <w:szCs w:val="19"/>
                <w:lang w:val="en-US"/>
              </w:rPr>
              <w:t>– development discontinued (company decision)</w:t>
            </w:r>
          </w:p>
        </w:tc>
      </w:tr>
      <w:tr w:rsidR="00F71546" w14:paraId="22A264D9" w14:textId="77777777" w:rsidTr="008344A8">
        <w:tc>
          <w:tcPr>
            <w:tcW w:w="1091" w:type="pct"/>
            <w:tcMar>
              <w:top w:w="57" w:type="dxa"/>
              <w:bottom w:w="57" w:type="dxa"/>
            </w:tcMar>
          </w:tcPr>
          <w:p w14:paraId="19F61494" w14:textId="77777777" w:rsidR="00F71546" w:rsidRPr="00D047D9" w:rsidRDefault="00F71546" w:rsidP="002E23B3">
            <w:pPr>
              <w:rPr>
                <w:rFonts w:cs="Arial"/>
                <w:szCs w:val="19"/>
              </w:rPr>
            </w:pPr>
            <w:r>
              <w:rPr>
                <w:rFonts w:cs="Arial"/>
                <w:szCs w:val="19"/>
              </w:rPr>
              <w:t>Ocrelizumab (</w:t>
            </w:r>
            <w:r>
              <w:rPr>
                <w:rFonts w:cs="Arial"/>
                <w:i/>
                <w:iCs/>
                <w:szCs w:val="19"/>
              </w:rPr>
              <w:t>Ocrevus</w:t>
            </w:r>
            <w:r>
              <w:rPr>
                <w:rFonts w:cs="Arial"/>
                <w:szCs w:val="19"/>
              </w:rPr>
              <w:t>)</w:t>
            </w:r>
          </w:p>
        </w:tc>
        <w:tc>
          <w:tcPr>
            <w:tcW w:w="3909" w:type="pct"/>
            <w:tcMar>
              <w:top w:w="57" w:type="dxa"/>
              <w:bottom w:w="57" w:type="dxa"/>
            </w:tcMar>
          </w:tcPr>
          <w:p w14:paraId="10803C9F" w14:textId="56D3CE54" w:rsidR="00F71546" w:rsidRPr="0053765E" w:rsidRDefault="00F71546" w:rsidP="00583324">
            <w:pPr>
              <w:tabs>
                <w:tab w:val="center" w:pos="3152"/>
              </w:tabs>
              <w:rPr>
                <w:rFonts w:cs="Arial"/>
                <w:szCs w:val="19"/>
                <w:lang w:val="en-US"/>
              </w:rPr>
            </w:pPr>
            <w:r>
              <w:rPr>
                <w:rFonts w:cs="Arial"/>
                <w:szCs w:val="19"/>
                <w:lang w:val="en-US"/>
              </w:rPr>
              <w:t>A</w:t>
            </w:r>
            <w:r w:rsidRPr="00B2086B">
              <w:rPr>
                <w:rFonts w:cs="Arial"/>
                <w:szCs w:val="19"/>
                <w:lang w:val="en-US"/>
              </w:rPr>
              <w:t>ctive secondary progressive and early primary progressive</w:t>
            </w:r>
            <w:r>
              <w:rPr>
                <w:rFonts w:cs="Arial"/>
                <w:szCs w:val="19"/>
                <w:lang w:val="en-US"/>
              </w:rPr>
              <w:t xml:space="preserve"> m</w:t>
            </w:r>
            <w:r w:rsidRPr="00B2086B">
              <w:rPr>
                <w:rFonts w:cs="Arial"/>
                <w:szCs w:val="19"/>
                <w:lang w:val="en-US"/>
              </w:rPr>
              <w:t>ultiple sclerosis in adults</w:t>
            </w:r>
            <w:r>
              <w:rPr>
                <w:rFonts w:cs="Arial"/>
                <w:szCs w:val="19"/>
                <w:lang w:val="en-US"/>
              </w:rPr>
              <w:t>,</w:t>
            </w:r>
            <w:r w:rsidRPr="00B2086B">
              <w:rPr>
                <w:rFonts w:cs="Arial"/>
                <w:szCs w:val="19"/>
                <w:lang w:val="en-US"/>
              </w:rPr>
              <w:t xml:space="preserve"> higher dose regimen (1</w:t>
            </w:r>
            <w:r>
              <w:rPr>
                <w:rFonts w:cs="Arial"/>
                <w:szCs w:val="19"/>
                <w:lang w:val="en-US"/>
              </w:rPr>
              <w:t>,</w:t>
            </w:r>
            <w:r w:rsidRPr="00B2086B">
              <w:rPr>
                <w:rFonts w:cs="Arial"/>
                <w:szCs w:val="19"/>
                <w:lang w:val="en-US"/>
              </w:rPr>
              <w:t>200mg or 1</w:t>
            </w:r>
            <w:r>
              <w:rPr>
                <w:rFonts w:cs="Arial"/>
                <w:szCs w:val="19"/>
                <w:lang w:val="en-US"/>
              </w:rPr>
              <w:t>,</w:t>
            </w:r>
            <w:r w:rsidRPr="00B2086B">
              <w:rPr>
                <w:rFonts w:cs="Arial"/>
                <w:szCs w:val="19"/>
                <w:lang w:val="en-US"/>
              </w:rPr>
              <w:t>800mg six monthly)</w:t>
            </w:r>
            <w:r>
              <w:rPr>
                <w:rFonts w:cs="Arial"/>
                <w:szCs w:val="19"/>
                <w:lang w:val="en-US"/>
              </w:rPr>
              <w:t xml:space="preserve"> – development discontinued (lack of efficacy)</w:t>
            </w:r>
          </w:p>
        </w:tc>
      </w:tr>
      <w:tr w:rsidR="00F71546" w14:paraId="52B52371" w14:textId="77777777" w:rsidTr="008344A8">
        <w:tc>
          <w:tcPr>
            <w:tcW w:w="1091" w:type="pct"/>
            <w:tcMar>
              <w:top w:w="57" w:type="dxa"/>
              <w:bottom w:w="57" w:type="dxa"/>
            </w:tcMar>
          </w:tcPr>
          <w:p w14:paraId="4B039E71" w14:textId="77777777" w:rsidR="00F71546" w:rsidRPr="00672A42" w:rsidRDefault="00F71546" w:rsidP="002E23B3">
            <w:pPr>
              <w:rPr>
                <w:rFonts w:cs="Arial"/>
                <w:szCs w:val="19"/>
              </w:rPr>
            </w:pPr>
            <w:r>
              <w:rPr>
                <w:rFonts w:cs="Arial"/>
                <w:szCs w:val="19"/>
              </w:rPr>
              <w:t>Tanimilast</w:t>
            </w:r>
          </w:p>
        </w:tc>
        <w:tc>
          <w:tcPr>
            <w:tcW w:w="3909" w:type="pct"/>
            <w:tcMar>
              <w:top w:w="57" w:type="dxa"/>
              <w:bottom w:w="57" w:type="dxa"/>
            </w:tcMar>
          </w:tcPr>
          <w:p w14:paraId="64E22513" w14:textId="77777777" w:rsidR="00F71546" w:rsidRDefault="00F71546" w:rsidP="002E23B3">
            <w:pPr>
              <w:tabs>
                <w:tab w:val="center" w:pos="3152"/>
              </w:tabs>
              <w:rPr>
                <w:rFonts w:cs="Arial"/>
                <w:szCs w:val="19"/>
                <w:lang w:val="en-US"/>
              </w:rPr>
            </w:pPr>
            <w:r w:rsidRPr="0053765E">
              <w:rPr>
                <w:rFonts w:cs="Arial"/>
                <w:szCs w:val="19"/>
                <w:lang w:val="en-US"/>
              </w:rPr>
              <w:t xml:space="preserve">Moderate to severe </w:t>
            </w:r>
            <w:r>
              <w:rPr>
                <w:rFonts w:cs="Arial"/>
                <w:szCs w:val="19"/>
                <w:lang w:val="en-US"/>
              </w:rPr>
              <w:t>c</w:t>
            </w:r>
            <w:r w:rsidRPr="0053765E">
              <w:rPr>
                <w:rFonts w:cs="Arial"/>
                <w:szCs w:val="19"/>
                <w:lang w:val="en-US"/>
              </w:rPr>
              <w:t>hronic obstructive pulmonary disease</w:t>
            </w:r>
            <w:r>
              <w:rPr>
                <w:rFonts w:cs="Arial"/>
                <w:szCs w:val="19"/>
                <w:lang w:val="en-US"/>
              </w:rPr>
              <w:t xml:space="preserve"> </w:t>
            </w:r>
            <w:r w:rsidRPr="0053765E">
              <w:rPr>
                <w:rFonts w:cs="Arial"/>
                <w:szCs w:val="19"/>
                <w:lang w:val="en-US"/>
              </w:rPr>
              <w:t>in adults</w:t>
            </w:r>
            <w:r>
              <w:rPr>
                <w:rFonts w:cs="Arial"/>
                <w:szCs w:val="19"/>
                <w:lang w:val="en-US"/>
              </w:rPr>
              <w:t xml:space="preserve"> – development discontinued (lack of efficacy)</w:t>
            </w:r>
          </w:p>
        </w:tc>
      </w:tr>
      <w:tr w:rsidR="00F71546" w14:paraId="480C1D80" w14:textId="77777777" w:rsidTr="008344A8">
        <w:tc>
          <w:tcPr>
            <w:tcW w:w="1091" w:type="pct"/>
            <w:tcMar>
              <w:top w:w="57" w:type="dxa"/>
              <w:bottom w:w="57" w:type="dxa"/>
            </w:tcMar>
          </w:tcPr>
          <w:p w14:paraId="0A1D8237" w14:textId="77777777" w:rsidR="00F71546" w:rsidRPr="00660B05" w:rsidRDefault="00F71546" w:rsidP="002E23B3">
            <w:pPr>
              <w:rPr>
                <w:rFonts w:cs="Arial"/>
                <w:szCs w:val="19"/>
              </w:rPr>
            </w:pPr>
            <w:r>
              <w:rPr>
                <w:rFonts w:cs="Arial"/>
                <w:szCs w:val="19"/>
              </w:rPr>
              <w:t xml:space="preserve">Tolebrutinib </w:t>
            </w:r>
          </w:p>
        </w:tc>
        <w:tc>
          <w:tcPr>
            <w:tcW w:w="3909" w:type="pct"/>
            <w:tcMar>
              <w:top w:w="57" w:type="dxa"/>
              <w:bottom w:w="57" w:type="dxa"/>
            </w:tcMar>
          </w:tcPr>
          <w:p w14:paraId="29193B7E" w14:textId="77777777" w:rsidR="00F71546" w:rsidRPr="008E641A" w:rsidRDefault="00F71546" w:rsidP="002E23B3">
            <w:pPr>
              <w:tabs>
                <w:tab w:val="center" w:pos="3152"/>
              </w:tabs>
              <w:rPr>
                <w:rFonts w:cs="Arial"/>
                <w:szCs w:val="19"/>
                <w:lang w:val="en-US"/>
              </w:rPr>
            </w:pPr>
            <w:r w:rsidRPr="00373ABC">
              <w:rPr>
                <w:rFonts w:cs="Arial"/>
                <w:szCs w:val="19"/>
                <w:lang w:val="en-US"/>
              </w:rPr>
              <w:t xml:space="preserve">Early primary progressive </w:t>
            </w:r>
            <w:r>
              <w:rPr>
                <w:rFonts w:cs="Arial"/>
                <w:szCs w:val="19"/>
                <w:lang w:val="en-US"/>
              </w:rPr>
              <w:t>multiple scleroisis</w:t>
            </w:r>
            <w:r w:rsidRPr="00373ABC">
              <w:rPr>
                <w:rFonts w:cs="Arial"/>
                <w:szCs w:val="19"/>
                <w:lang w:val="en-US"/>
              </w:rPr>
              <w:t xml:space="preserve"> in adults</w:t>
            </w:r>
            <w:r>
              <w:rPr>
                <w:rFonts w:cs="Arial"/>
                <w:szCs w:val="19"/>
                <w:lang w:val="en-US"/>
              </w:rPr>
              <w:t>, fi</w:t>
            </w:r>
            <w:r w:rsidRPr="00373ABC">
              <w:rPr>
                <w:rFonts w:cs="Arial"/>
                <w:szCs w:val="19"/>
                <w:lang w:val="en-US"/>
              </w:rPr>
              <w:t>rst-line</w:t>
            </w:r>
            <w:r>
              <w:rPr>
                <w:rFonts w:cs="Arial"/>
                <w:szCs w:val="19"/>
                <w:lang w:val="en-US"/>
              </w:rPr>
              <w:t xml:space="preserve"> – development discontinued (lack of efficacy)</w:t>
            </w:r>
          </w:p>
        </w:tc>
      </w:tr>
      <w:tr w:rsidR="00F71546" w14:paraId="29950A4D" w14:textId="77777777" w:rsidTr="008344A8">
        <w:tc>
          <w:tcPr>
            <w:tcW w:w="1091" w:type="pct"/>
            <w:tcMar>
              <w:top w:w="57" w:type="dxa"/>
              <w:bottom w:w="57" w:type="dxa"/>
            </w:tcMar>
          </w:tcPr>
          <w:p w14:paraId="13D49158" w14:textId="77777777" w:rsidR="00F71546" w:rsidRDefault="00F71546" w:rsidP="002E23B3">
            <w:pPr>
              <w:rPr>
                <w:rFonts w:cs="Arial"/>
                <w:szCs w:val="19"/>
              </w:rPr>
            </w:pPr>
            <w:r w:rsidRPr="00EC517A">
              <w:rPr>
                <w:rFonts w:cs="Arial"/>
                <w:szCs w:val="19"/>
              </w:rPr>
              <w:t>Venetoclax (</w:t>
            </w:r>
            <w:r w:rsidRPr="00EC517A">
              <w:rPr>
                <w:rFonts w:cs="Arial"/>
                <w:i/>
                <w:iCs/>
                <w:szCs w:val="19"/>
              </w:rPr>
              <w:t>Venclyxto</w:t>
            </w:r>
            <w:r>
              <w:rPr>
                <w:rFonts w:cs="Arial"/>
                <w:szCs w:val="19"/>
              </w:rPr>
              <w:t>)</w:t>
            </w:r>
          </w:p>
          <w:p w14:paraId="5CD88847" w14:textId="77777777" w:rsidR="00F71546" w:rsidRPr="00A63D29" w:rsidRDefault="00F71546" w:rsidP="002E23B3">
            <w:pPr>
              <w:rPr>
                <w:rFonts w:cs="Arial"/>
                <w:szCs w:val="19"/>
              </w:rPr>
            </w:pPr>
          </w:p>
        </w:tc>
        <w:tc>
          <w:tcPr>
            <w:tcW w:w="3909" w:type="pct"/>
            <w:tcMar>
              <w:top w:w="57" w:type="dxa"/>
              <w:bottom w:w="57" w:type="dxa"/>
            </w:tcMar>
          </w:tcPr>
          <w:p w14:paraId="79F0E52E" w14:textId="77777777" w:rsidR="00F71546" w:rsidRDefault="00F71546" w:rsidP="002E23B3">
            <w:pPr>
              <w:tabs>
                <w:tab w:val="center" w:pos="3152"/>
              </w:tabs>
              <w:rPr>
                <w:rFonts w:cs="Arial"/>
                <w:szCs w:val="19"/>
                <w:lang w:val="en-US"/>
              </w:rPr>
            </w:pPr>
            <w:r w:rsidRPr="00A43CA3">
              <w:rPr>
                <w:rFonts w:cs="Arial"/>
                <w:szCs w:val="19"/>
                <w:lang w:val="en-US"/>
              </w:rPr>
              <w:t xml:space="preserve">Acute myeloid leukaemia after allogeneic </w:t>
            </w:r>
            <w:r>
              <w:rPr>
                <w:rFonts w:cs="Arial"/>
                <w:szCs w:val="19"/>
                <w:lang w:val="en-US"/>
              </w:rPr>
              <w:t xml:space="preserve">stem cell transplantation </w:t>
            </w:r>
            <w:r w:rsidRPr="00A43CA3">
              <w:rPr>
                <w:rFonts w:cs="Arial"/>
                <w:szCs w:val="19"/>
                <w:lang w:val="en-US"/>
              </w:rPr>
              <w:t>in adults and children aged 12 years and older</w:t>
            </w:r>
            <w:r>
              <w:rPr>
                <w:rFonts w:cs="Arial"/>
                <w:szCs w:val="19"/>
                <w:lang w:val="en-US"/>
              </w:rPr>
              <w:t>,</w:t>
            </w:r>
            <w:r w:rsidRPr="00A43CA3">
              <w:rPr>
                <w:rFonts w:cs="Arial"/>
                <w:szCs w:val="19"/>
                <w:lang w:val="en-US"/>
              </w:rPr>
              <w:t xml:space="preserve"> maintenance therapy with azacitidine</w:t>
            </w:r>
            <w:r>
              <w:rPr>
                <w:rFonts w:cs="Arial"/>
                <w:szCs w:val="19"/>
                <w:lang w:val="en-US"/>
              </w:rPr>
              <w:t xml:space="preserve"> – development discontinued (company decision)</w:t>
            </w:r>
          </w:p>
        </w:tc>
      </w:tr>
      <w:tr w:rsidR="00F71546" w14:paraId="27DEE9BE" w14:textId="77777777" w:rsidTr="008344A8">
        <w:tc>
          <w:tcPr>
            <w:tcW w:w="1091" w:type="pct"/>
            <w:tcMar>
              <w:top w:w="57" w:type="dxa"/>
              <w:bottom w:w="57" w:type="dxa"/>
            </w:tcMar>
          </w:tcPr>
          <w:p w14:paraId="55B8F7B9" w14:textId="61581DE2" w:rsidR="00F71546" w:rsidRPr="009C6F7C" w:rsidRDefault="00F71546" w:rsidP="002E23B3">
            <w:pPr>
              <w:rPr>
                <w:rFonts w:cs="Arial"/>
                <w:szCs w:val="19"/>
              </w:rPr>
            </w:pPr>
            <w:r>
              <w:rPr>
                <w:rFonts w:cs="Arial"/>
                <w:szCs w:val="19"/>
              </w:rPr>
              <w:t>TCB-008</w:t>
            </w:r>
            <w:r w:rsidR="009C6F7C">
              <w:rPr>
                <w:rFonts w:cs="Arial"/>
                <w:szCs w:val="19"/>
              </w:rPr>
              <w:t xml:space="preserve"> (</w:t>
            </w:r>
            <w:r w:rsidR="009C6F7C">
              <w:rPr>
                <w:rFonts w:cs="Arial"/>
                <w:i/>
                <w:iCs/>
                <w:szCs w:val="19"/>
              </w:rPr>
              <w:t>OmnImmune</w:t>
            </w:r>
            <w:r w:rsidR="009C6F7C">
              <w:rPr>
                <w:rFonts w:cs="Arial"/>
                <w:szCs w:val="19"/>
              </w:rPr>
              <w:t>)</w:t>
            </w:r>
          </w:p>
        </w:tc>
        <w:tc>
          <w:tcPr>
            <w:tcW w:w="3909" w:type="pct"/>
            <w:tcMar>
              <w:top w:w="57" w:type="dxa"/>
              <w:bottom w:w="57" w:type="dxa"/>
            </w:tcMar>
          </w:tcPr>
          <w:p w14:paraId="3404668C" w14:textId="77777777" w:rsidR="00F71546" w:rsidRDefault="00F71546" w:rsidP="002E23B3">
            <w:pPr>
              <w:tabs>
                <w:tab w:val="center" w:pos="3152"/>
              </w:tabs>
              <w:rPr>
                <w:rFonts w:cs="Arial"/>
                <w:szCs w:val="19"/>
                <w:lang w:val="en-US"/>
              </w:rPr>
            </w:pPr>
            <w:r w:rsidRPr="004403C9">
              <w:rPr>
                <w:rFonts w:cs="Arial"/>
                <w:szCs w:val="19"/>
                <w:lang w:val="en-US"/>
              </w:rPr>
              <w:t xml:space="preserve">Relapsed or refractory </w:t>
            </w:r>
            <w:r>
              <w:rPr>
                <w:rFonts w:cs="Arial"/>
                <w:szCs w:val="19"/>
                <w:lang w:val="en-US"/>
              </w:rPr>
              <w:t>a</w:t>
            </w:r>
            <w:r w:rsidRPr="004403C9">
              <w:rPr>
                <w:rFonts w:cs="Arial"/>
                <w:szCs w:val="19"/>
                <w:lang w:val="en-US"/>
              </w:rPr>
              <w:t>cute myeloid leukaemi</w:t>
            </w:r>
            <w:r>
              <w:rPr>
                <w:rFonts w:cs="Arial"/>
                <w:szCs w:val="19"/>
                <w:lang w:val="en-US"/>
              </w:rPr>
              <w:t xml:space="preserve">a </w:t>
            </w:r>
            <w:r w:rsidRPr="004403C9">
              <w:rPr>
                <w:rFonts w:cs="Arial"/>
                <w:szCs w:val="19"/>
                <w:lang w:val="en-US"/>
              </w:rPr>
              <w:t>in adults</w:t>
            </w:r>
            <w:r>
              <w:rPr>
                <w:rFonts w:cs="Arial"/>
                <w:szCs w:val="19"/>
                <w:lang w:val="en-US"/>
              </w:rPr>
              <w:t xml:space="preserve"> – development discontinued (company decision)</w:t>
            </w:r>
          </w:p>
        </w:tc>
      </w:tr>
      <w:tr w:rsidR="00F71546" w14:paraId="3231F428" w14:textId="77777777" w:rsidTr="008344A8">
        <w:tc>
          <w:tcPr>
            <w:tcW w:w="1091" w:type="pct"/>
            <w:tcMar>
              <w:top w:w="57" w:type="dxa"/>
              <w:bottom w:w="57" w:type="dxa"/>
            </w:tcMar>
          </w:tcPr>
          <w:p w14:paraId="2DB9F28B" w14:textId="77777777" w:rsidR="00F71546" w:rsidRPr="00533F4E" w:rsidRDefault="00F71546" w:rsidP="002E23B3">
            <w:pPr>
              <w:rPr>
                <w:rFonts w:cs="Arial"/>
                <w:szCs w:val="19"/>
              </w:rPr>
            </w:pPr>
            <w:r>
              <w:rPr>
                <w:rFonts w:cs="Arial"/>
                <w:szCs w:val="19"/>
              </w:rPr>
              <w:t>Treprostinil (</w:t>
            </w:r>
            <w:r>
              <w:rPr>
                <w:rFonts w:cs="Arial"/>
                <w:i/>
                <w:iCs/>
                <w:szCs w:val="19"/>
              </w:rPr>
              <w:t>Tyvaso</w:t>
            </w:r>
            <w:r>
              <w:rPr>
                <w:rFonts w:cs="Arial"/>
                <w:szCs w:val="19"/>
              </w:rPr>
              <w:t>)</w:t>
            </w:r>
          </w:p>
        </w:tc>
        <w:tc>
          <w:tcPr>
            <w:tcW w:w="3909" w:type="pct"/>
            <w:tcMar>
              <w:top w:w="57" w:type="dxa"/>
              <w:bottom w:w="57" w:type="dxa"/>
            </w:tcMar>
          </w:tcPr>
          <w:p w14:paraId="519A9423" w14:textId="4CA2CB27" w:rsidR="00F71546" w:rsidRPr="00A43CA3" w:rsidRDefault="00F71546" w:rsidP="002E23B3">
            <w:pPr>
              <w:tabs>
                <w:tab w:val="center" w:pos="3152"/>
              </w:tabs>
              <w:rPr>
                <w:rFonts w:cs="Arial"/>
                <w:szCs w:val="19"/>
                <w:lang w:val="en-US"/>
              </w:rPr>
            </w:pPr>
            <w:r>
              <w:rPr>
                <w:rFonts w:cs="Arial"/>
                <w:szCs w:val="19"/>
                <w:lang w:val="en-US"/>
              </w:rPr>
              <w:t>Treatment of p</w:t>
            </w:r>
            <w:r w:rsidRPr="007B3E39">
              <w:rPr>
                <w:rFonts w:cs="Arial"/>
                <w:szCs w:val="19"/>
                <w:lang w:val="en-US"/>
              </w:rPr>
              <w:t>ulmonary hypertension associated with interstitial lung disease (WHO functional class 3) in adults to improve exercise ability</w:t>
            </w:r>
            <w:r w:rsidR="008344A8">
              <w:rPr>
                <w:rFonts w:cs="Arial"/>
                <w:szCs w:val="19"/>
                <w:lang w:val="en-US"/>
              </w:rPr>
              <w:t>,</w:t>
            </w:r>
            <w:r w:rsidRPr="007B3E39">
              <w:rPr>
                <w:rFonts w:cs="Arial"/>
                <w:szCs w:val="19"/>
                <w:lang w:val="en-US"/>
              </w:rPr>
              <w:t xml:space="preserve"> new inhaled solution formulation</w:t>
            </w:r>
            <w:r>
              <w:rPr>
                <w:rFonts w:cs="Arial"/>
                <w:szCs w:val="19"/>
                <w:lang w:val="en-US"/>
              </w:rPr>
              <w:t xml:space="preserve"> – EU filing withdrawn</w:t>
            </w:r>
          </w:p>
        </w:tc>
      </w:tr>
      <w:tr w:rsidR="00F71546" w14:paraId="45662A3F" w14:textId="77777777" w:rsidTr="008344A8">
        <w:tc>
          <w:tcPr>
            <w:tcW w:w="1091" w:type="pct"/>
            <w:tcMar>
              <w:top w:w="57" w:type="dxa"/>
              <w:bottom w:w="57" w:type="dxa"/>
            </w:tcMar>
          </w:tcPr>
          <w:p w14:paraId="41707C85" w14:textId="77777777" w:rsidR="00F71546" w:rsidRPr="00F65894" w:rsidRDefault="00F71546" w:rsidP="002E23B3">
            <w:pPr>
              <w:rPr>
                <w:rFonts w:cs="Arial"/>
                <w:szCs w:val="19"/>
              </w:rPr>
            </w:pPr>
            <w:r w:rsidRPr="00F65894">
              <w:rPr>
                <w:rFonts w:cs="Arial"/>
                <w:szCs w:val="19"/>
              </w:rPr>
              <w:t>Vosoritide</w:t>
            </w:r>
            <w:r>
              <w:rPr>
                <w:rFonts w:cs="Arial"/>
                <w:szCs w:val="19"/>
              </w:rPr>
              <w:t xml:space="preserve"> (</w:t>
            </w:r>
            <w:r>
              <w:rPr>
                <w:rFonts w:cs="Arial"/>
                <w:i/>
                <w:iCs/>
                <w:szCs w:val="19"/>
              </w:rPr>
              <w:t>Voxzogo</w:t>
            </w:r>
            <w:r>
              <w:rPr>
                <w:rFonts w:cs="Arial"/>
                <w:szCs w:val="19"/>
              </w:rPr>
              <w:t>)</w:t>
            </w:r>
          </w:p>
        </w:tc>
        <w:tc>
          <w:tcPr>
            <w:tcW w:w="3909" w:type="pct"/>
            <w:tcMar>
              <w:top w:w="57" w:type="dxa"/>
              <w:bottom w:w="57" w:type="dxa"/>
            </w:tcMar>
          </w:tcPr>
          <w:p w14:paraId="1365D9EE" w14:textId="77777777" w:rsidR="00F71546" w:rsidRDefault="00F71546" w:rsidP="002E23B3">
            <w:pPr>
              <w:tabs>
                <w:tab w:val="center" w:pos="3152"/>
              </w:tabs>
              <w:rPr>
                <w:rFonts w:cs="Arial"/>
                <w:szCs w:val="19"/>
                <w:lang w:val="en-US"/>
              </w:rPr>
            </w:pPr>
            <w:r w:rsidRPr="006762E2">
              <w:rPr>
                <w:rFonts w:cs="Arial"/>
                <w:szCs w:val="19"/>
                <w:lang w:val="en-US"/>
              </w:rPr>
              <w:t xml:space="preserve">Treatment of achondroplasia in patients </w:t>
            </w:r>
            <w:r>
              <w:rPr>
                <w:rFonts w:cs="Arial"/>
                <w:szCs w:val="19"/>
                <w:lang w:val="en-US"/>
              </w:rPr>
              <w:t xml:space="preserve">aged </w:t>
            </w:r>
            <w:r w:rsidRPr="006762E2">
              <w:rPr>
                <w:rFonts w:cs="Arial"/>
                <w:szCs w:val="19"/>
                <w:lang w:val="en-US"/>
              </w:rPr>
              <w:t>4 months and older whose epiphyses are not closed</w:t>
            </w:r>
            <w:r>
              <w:rPr>
                <w:rFonts w:cs="Arial"/>
                <w:szCs w:val="19"/>
                <w:lang w:val="en-US"/>
              </w:rPr>
              <w:t xml:space="preserve"> – UK development discontinued (company decision)</w:t>
            </w:r>
          </w:p>
        </w:tc>
      </w:tr>
      <w:tr w:rsidR="00F71546" w14:paraId="463362D7" w14:textId="77777777" w:rsidTr="008344A8">
        <w:tc>
          <w:tcPr>
            <w:tcW w:w="1091" w:type="pct"/>
            <w:tcMar>
              <w:top w:w="57" w:type="dxa"/>
              <w:bottom w:w="57" w:type="dxa"/>
            </w:tcMar>
          </w:tcPr>
          <w:p w14:paraId="7B6F81DC" w14:textId="50DFD1B3" w:rsidR="00F71546" w:rsidRPr="00EC517A" w:rsidRDefault="00F71546" w:rsidP="002E23B3">
            <w:pPr>
              <w:rPr>
                <w:rFonts w:cs="Arial"/>
                <w:szCs w:val="19"/>
              </w:rPr>
            </w:pPr>
            <w:r>
              <w:rPr>
                <w:rFonts w:cs="Arial"/>
                <w:szCs w:val="19"/>
              </w:rPr>
              <w:t>Zimber</w:t>
            </w:r>
            <w:r w:rsidR="00C16718">
              <w:rPr>
                <w:rFonts w:cs="Arial"/>
                <w:szCs w:val="19"/>
              </w:rPr>
              <w:t>e</w:t>
            </w:r>
            <w:r>
              <w:rPr>
                <w:rFonts w:cs="Arial"/>
                <w:szCs w:val="19"/>
              </w:rPr>
              <w:t>limab</w:t>
            </w:r>
          </w:p>
        </w:tc>
        <w:tc>
          <w:tcPr>
            <w:tcW w:w="3909" w:type="pct"/>
            <w:tcMar>
              <w:top w:w="57" w:type="dxa"/>
              <w:bottom w:w="57" w:type="dxa"/>
            </w:tcMar>
          </w:tcPr>
          <w:p w14:paraId="7FD5BFFE" w14:textId="77777777" w:rsidR="00F71546" w:rsidRPr="00A43CA3" w:rsidRDefault="00F71546" w:rsidP="002E23B3">
            <w:pPr>
              <w:tabs>
                <w:tab w:val="center" w:pos="3152"/>
              </w:tabs>
              <w:rPr>
                <w:rFonts w:cs="Arial"/>
                <w:szCs w:val="19"/>
                <w:lang w:val="en-US"/>
              </w:rPr>
            </w:pPr>
            <w:r>
              <w:rPr>
                <w:rFonts w:cs="Arial"/>
                <w:szCs w:val="19"/>
                <w:lang w:val="en-US"/>
              </w:rPr>
              <w:t>U</w:t>
            </w:r>
            <w:r w:rsidRPr="004A56B8">
              <w:rPr>
                <w:rFonts w:cs="Arial"/>
                <w:szCs w:val="19"/>
                <w:lang w:val="en-US"/>
              </w:rPr>
              <w:t xml:space="preserve">nresectable, advanced </w:t>
            </w:r>
            <w:r>
              <w:rPr>
                <w:rFonts w:cs="Arial"/>
                <w:szCs w:val="19"/>
                <w:lang w:val="en-US"/>
              </w:rPr>
              <w:t>g</w:t>
            </w:r>
            <w:r w:rsidRPr="004A56B8">
              <w:rPr>
                <w:rFonts w:cs="Arial"/>
                <w:szCs w:val="19"/>
                <w:lang w:val="en-US"/>
              </w:rPr>
              <w:t xml:space="preserve">astro-oesophageal </w:t>
            </w:r>
            <w:r>
              <w:rPr>
                <w:rFonts w:cs="Arial"/>
                <w:szCs w:val="19"/>
                <w:lang w:val="en-US"/>
              </w:rPr>
              <w:t>a</w:t>
            </w:r>
            <w:r w:rsidRPr="004A56B8">
              <w:rPr>
                <w:rFonts w:cs="Arial"/>
                <w:szCs w:val="19"/>
                <w:lang w:val="en-US"/>
              </w:rPr>
              <w:t>denocarcinoma in adults</w:t>
            </w:r>
            <w:r>
              <w:rPr>
                <w:rFonts w:cs="Arial"/>
                <w:szCs w:val="19"/>
                <w:lang w:val="en-US"/>
              </w:rPr>
              <w:t>,</w:t>
            </w:r>
            <w:r w:rsidRPr="004A56B8">
              <w:rPr>
                <w:rFonts w:cs="Arial"/>
                <w:szCs w:val="19"/>
                <w:lang w:val="en-US"/>
              </w:rPr>
              <w:t xml:space="preserve"> first-line with </w:t>
            </w:r>
            <w:r>
              <w:rPr>
                <w:rFonts w:cs="Arial"/>
                <w:szCs w:val="19"/>
                <w:lang w:val="en-US"/>
              </w:rPr>
              <w:t>domvanalimab</w:t>
            </w:r>
            <w:r w:rsidRPr="004A56B8">
              <w:rPr>
                <w:rFonts w:cs="Arial"/>
                <w:szCs w:val="19"/>
                <w:lang w:val="en-US"/>
              </w:rPr>
              <w:t xml:space="preserve"> and chemotherapy</w:t>
            </w:r>
            <w:r>
              <w:rPr>
                <w:rFonts w:cs="Arial"/>
                <w:szCs w:val="19"/>
                <w:lang w:val="en-US"/>
              </w:rPr>
              <w:t xml:space="preserve"> – development discontinued (lack of efficacy)</w:t>
            </w:r>
          </w:p>
        </w:tc>
      </w:tr>
      <w:tr w:rsidR="00F71546" w:rsidRPr="000F19E1" w14:paraId="5F0CA9DC" w14:textId="77777777" w:rsidTr="008344A8">
        <w:tc>
          <w:tcPr>
            <w:tcW w:w="1091" w:type="pct"/>
            <w:tcMar>
              <w:top w:w="0" w:type="dxa"/>
              <w:bottom w:w="0" w:type="dxa"/>
            </w:tcMar>
          </w:tcPr>
          <w:p w14:paraId="3C63BDC7" w14:textId="77777777" w:rsidR="00F71546" w:rsidRPr="000F19E1" w:rsidRDefault="00F71546" w:rsidP="002E23B3">
            <w:pPr>
              <w:rPr>
                <w:rFonts w:cs="Arial"/>
                <w:bCs/>
                <w:sz w:val="8"/>
                <w:szCs w:val="8"/>
              </w:rPr>
            </w:pPr>
          </w:p>
        </w:tc>
        <w:tc>
          <w:tcPr>
            <w:tcW w:w="3909" w:type="pct"/>
            <w:tcMar>
              <w:top w:w="0" w:type="dxa"/>
              <w:bottom w:w="0" w:type="dxa"/>
            </w:tcMar>
          </w:tcPr>
          <w:p w14:paraId="597455CE" w14:textId="77777777" w:rsidR="00F71546" w:rsidRPr="000F19E1" w:rsidRDefault="00F71546" w:rsidP="002E23B3">
            <w:pPr>
              <w:tabs>
                <w:tab w:val="center" w:pos="3152"/>
              </w:tabs>
              <w:rPr>
                <w:rFonts w:cs="Arial"/>
                <w:sz w:val="8"/>
                <w:szCs w:val="8"/>
                <w:lang w:val="en-US"/>
              </w:rPr>
            </w:pPr>
          </w:p>
        </w:tc>
      </w:tr>
      <w:tr w:rsidR="00F71546" w:rsidRPr="000F19E1" w14:paraId="17760FC8" w14:textId="77777777" w:rsidTr="008344A8">
        <w:tc>
          <w:tcPr>
            <w:tcW w:w="1091" w:type="pct"/>
            <w:shd w:val="clear" w:color="auto" w:fill="DAEEF3"/>
            <w:tcMar>
              <w:top w:w="0" w:type="dxa"/>
              <w:bottom w:w="0" w:type="dxa"/>
            </w:tcMar>
          </w:tcPr>
          <w:p w14:paraId="03DD3797" w14:textId="77777777" w:rsidR="00F71546" w:rsidRPr="000F19E1" w:rsidRDefault="00F71546" w:rsidP="002E23B3">
            <w:pPr>
              <w:rPr>
                <w:rFonts w:cs="Arial"/>
                <w:bCs/>
                <w:sz w:val="8"/>
                <w:szCs w:val="8"/>
              </w:rPr>
            </w:pPr>
          </w:p>
        </w:tc>
        <w:tc>
          <w:tcPr>
            <w:tcW w:w="3909" w:type="pct"/>
            <w:shd w:val="clear" w:color="auto" w:fill="DAEEF3"/>
            <w:tcMar>
              <w:top w:w="0" w:type="dxa"/>
              <w:bottom w:w="0" w:type="dxa"/>
            </w:tcMar>
          </w:tcPr>
          <w:p w14:paraId="58AA4717" w14:textId="77777777" w:rsidR="00F71546" w:rsidRPr="000F19E1" w:rsidRDefault="00F71546" w:rsidP="002E23B3">
            <w:pPr>
              <w:tabs>
                <w:tab w:val="center" w:pos="3152"/>
              </w:tabs>
              <w:rPr>
                <w:rFonts w:cs="Arial"/>
                <w:sz w:val="8"/>
                <w:szCs w:val="8"/>
                <w:lang w:val="en-US"/>
              </w:rPr>
            </w:pPr>
          </w:p>
        </w:tc>
      </w:tr>
    </w:tbl>
    <w:p w14:paraId="4E9ADCFB" w14:textId="77777777" w:rsidR="00F71546" w:rsidRPr="008949EF" w:rsidRDefault="00F71546" w:rsidP="003D16EF">
      <w:pPr>
        <w:rPr>
          <w:sz w:val="8"/>
          <w:szCs w:val="8"/>
        </w:rPr>
      </w:pPr>
    </w:p>
    <w:sectPr w:rsidR="00F71546" w:rsidRPr="008949EF" w:rsidSect="00F566AB">
      <w:headerReference w:type="even" r:id="rId19"/>
      <w:headerReference w:type="default" r:id="rId20"/>
      <w:footerReference w:type="default" r:id="rId21"/>
      <w:headerReference w:type="first" r:id="rId22"/>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F07F" w14:textId="77777777" w:rsidR="003F2BDA" w:rsidRDefault="003F2BDA">
      <w:r>
        <w:separator/>
      </w:r>
    </w:p>
  </w:endnote>
  <w:endnote w:type="continuationSeparator" w:id="0">
    <w:p w14:paraId="7D8647DA" w14:textId="77777777" w:rsidR="003F2BDA" w:rsidRDefault="003F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710A1C" w14:paraId="2D5AB32E" w14:textId="77777777">
      <w:tc>
        <w:tcPr>
          <w:tcW w:w="10980" w:type="dxa"/>
          <w:shd w:val="clear" w:color="auto" w:fill="3366FF"/>
          <w:tcMar>
            <w:top w:w="28" w:type="dxa"/>
            <w:left w:w="57" w:type="dxa"/>
            <w:bottom w:w="28" w:type="dxa"/>
            <w:right w:w="57" w:type="dxa"/>
          </w:tcMar>
        </w:tcPr>
        <w:p w14:paraId="3B75B2D7" w14:textId="77777777" w:rsidR="000D44DB" w:rsidRPr="00710A1C" w:rsidRDefault="000D44DB" w:rsidP="00710A1C">
          <w:pPr>
            <w:spacing w:before="60" w:after="60"/>
            <w:ind w:right="57"/>
            <w:rPr>
              <w:rFonts w:ascii="Verdana" w:hAnsi="Verdana" w:cs="Arial"/>
              <w:b/>
              <w:bCs/>
              <w:color w:val="000080"/>
              <w:sz w:val="15"/>
              <w:szCs w:val="15"/>
              <w:lang w:val="en-US"/>
            </w:rPr>
          </w:pPr>
          <w:r w:rsidRPr="00710A1C">
            <w:rPr>
              <w:rFonts w:ascii="Verdana" w:hAnsi="Verdana" w:cs="Arial"/>
              <w:b/>
              <w:bCs/>
              <w:color w:val="FFFFFF"/>
              <w:sz w:val="15"/>
              <w:szCs w:val="15"/>
              <w:lang w:val="en-US"/>
            </w:rPr>
            <w:t xml:space="preserve">If you do not wish to continue receiving NDO </w:t>
          </w:r>
          <w:r w:rsidRPr="00710A1C">
            <w:rPr>
              <w:rFonts w:ascii="Verdana" w:hAnsi="Verdana" w:cs="Arial"/>
              <w:b/>
              <w:bCs/>
              <w:i/>
              <w:color w:val="FFFFFF"/>
              <w:sz w:val="15"/>
              <w:szCs w:val="15"/>
              <w:lang w:val="en-US"/>
            </w:rPr>
            <w:t>Newsletter</w:t>
          </w:r>
          <w:r w:rsidRPr="00710A1C">
            <w:rPr>
              <w:rFonts w:ascii="Verdana" w:hAnsi="Verdana" w:cs="Arial"/>
              <w:b/>
              <w:bCs/>
              <w:color w:val="FFFFFF"/>
              <w:sz w:val="15"/>
              <w:szCs w:val="15"/>
              <w:lang w:val="en-US"/>
            </w:rPr>
            <w:t xml:space="preserve"> log in and update your profile at </w:t>
          </w:r>
          <w:hyperlink r:id="rId1" w:history="1">
            <w:r w:rsidRPr="00710A1C">
              <w:rPr>
                <w:rStyle w:val="Hyperlink"/>
                <w:rFonts w:cs="Arial"/>
                <w:b/>
                <w:bCs/>
                <w:color w:val="FFFFFF"/>
                <w:sz w:val="15"/>
                <w:szCs w:val="15"/>
                <w:lang w:val="en-US"/>
              </w:rPr>
              <w:t>www.ukmi.nhs.uk/ndo</w:t>
            </w:r>
          </w:hyperlink>
        </w:p>
      </w:tc>
    </w:tr>
    <w:tr w:rsidR="000D44DB" w14:paraId="7C3362AC" w14:textId="77777777">
      <w:tc>
        <w:tcPr>
          <w:tcW w:w="10980" w:type="dxa"/>
          <w:tcMar>
            <w:left w:w="28" w:type="dxa"/>
            <w:right w:w="28" w:type="dxa"/>
          </w:tcMar>
        </w:tcPr>
        <w:p w14:paraId="0B98B3B8" w14:textId="77777777" w:rsidR="000D44DB" w:rsidRPr="00710A1C" w:rsidRDefault="000D44DB" w:rsidP="00710A1C">
          <w:pPr>
            <w:spacing w:before="120" w:after="60"/>
            <w:ind w:left="57" w:right="57"/>
            <w:rPr>
              <w:sz w:val="15"/>
              <w:szCs w:val="15"/>
            </w:rPr>
          </w:pPr>
          <w:r w:rsidRPr="00710A1C">
            <w:rPr>
              <w:rFonts w:ascii="Verdana" w:hAnsi="Verdana" w:cs="Arial"/>
              <w:b/>
              <w:bCs/>
              <w:color w:val="333399"/>
              <w:sz w:val="15"/>
              <w:szCs w:val="15"/>
              <w:lang w:val="en-US"/>
            </w:rPr>
            <w:t>In September 2011</w:t>
          </w:r>
          <w:r w:rsidRPr="00710A1C">
            <w:rPr>
              <w:rFonts w:ascii="Verdana" w:hAnsi="Verdana" w:cs="Arial"/>
              <w:bCs/>
              <w:color w:val="000000"/>
              <w:sz w:val="15"/>
              <w:szCs w:val="15"/>
              <w:lang w:val="en-US"/>
            </w:rPr>
            <w:t xml:space="preserve"> </w:t>
          </w:r>
          <w:r w:rsidRPr="00710A1C">
            <w:rPr>
              <w:rFonts w:ascii="Verdana" w:hAnsi="Verdana" w:cs="Arial"/>
              <w:b/>
              <w:bCs/>
              <w:color w:val="000000"/>
              <w:sz w:val="15"/>
              <w:szCs w:val="15"/>
              <w:lang w:val="en-US"/>
            </w:rPr>
            <w:t>| 229 monographs updated | 14 evidence-based evaluations added | 2,200 registered NDO users</w:t>
          </w:r>
        </w:p>
      </w:tc>
    </w:tr>
  </w:tbl>
  <w:p w14:paraId="5A5D4F9A" w14:textId="77777777" w:rsidR="000D44DB"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7CE89AB2" w14:textId="77777777" w:rsidTr="001734BF">
      <w:trPr>
        <w:trHeight w:val="262"/>
      </w:trPr>
      <w:tc>
        <w:tcPr>
          <w:tcW w:w="10774" w:type="dxa"/>
          <w:shd w:val="clear" w:color="auto" w:fill="0070C0"/>
          <w:tcMar>
            <w:top w:w="28" w:type="dxa"/>
            <w:left w:w="57" w:type="dxa"/>
            <w:bottom w:w="28" w:type="dxa"/>
            <w:right w:w="57" w:type="dxa"/>
          </w:tcMar>
        </w:tcPr>
        <w:p w14:paraId="1623F7DD"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 xml:space="preserve">This is </w:t>
          </w:r>
          <w:proofErr w:type="gramStart"/>
          <w:r w:rsidRPr="00114EBA">
            <w:rPr>
              <w:rFonts w:cs="Arial"/>
              <w:b/>
              <w:bCs/>
              <w:color w:val="FFFFFF"/>
              <w:sz w:val="17"/>
              <w:szCs w:val="17"/>
              <w:lang w:val="en-US"/>
            </w:rPr>
            <w:t>a</w:t>
          </w:r>
          <w:proofErr w:type="gramEnd"/>
          <w:r w:rsidRPr="00114EBA">
            <w:rPr>
              <w:rFonts w:cs="Arial"/>
              <w:b/>
              <w:bCs/>
              <w:color w:val="FFFFFF"/>
              <w:sz w:val="17"/>
              <w:szCs w:val="17"/>
              <w:lang w:val="en-US"/>
            </w:rPr>
            <w:t xml:space="preserve"> NHS document not to be used for commercial purposes</w:t>
          </w:r>
        </w:p>
      </w:tc>
    </w:tr>
    <w:tr w:rsidR="001F4283" w:rsidRPr="00862949" w14:paraId="02DB9921" w14:textId="77777777" w:rsidTr="001734BF">
      <w:trPr>
        <w:trHeight w:val="331"/>
      </w:trPr>
      <w:tc>
        <w:tcPr>
          <w:tcW w:w="10774" w:type="dxa"/>
          <w:shd w:val="clear" w:color="auto" w:fill="DAEEF3"/>
          <w:tcMar>
            <w:left w:w="28" w:type="dxa"/>
            <w:right w:w="28" w:type="dxa"/>
          </w:tcMar>
        </w:tcPr>
        <w:p w14:paraId="02838E76"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organisations develop medicines management policies and to inform prescribing decisions when a product has been launched. </w:t>
          </w:r>
        </w:p>
        <w:p w14:paraId="0BFCF8A5"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3D8E4086" w14:textId="77777777" w:rsidR="000D44DB"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344959A5" w14:textId="77777777" w:rsidTr="001734BF">
      <w:trPr>
        <w:trHeight w:val="262"/>
      </w:trPr>
      <w:tc>
        <w:tcPr>
          <w:tcW w:w="10774" w:type="dxa"/>
          <w:shd w:val="clear" w:color="auto" w:fill="0070C0"/>
          <w:tcMar>
            <w:top w:w="28" w:type="dxa"/>
            <w:left w:w="57" w:type="dxa"/>
            <w:bottom w:w="28" w:type="dxa"/>
            <w:right w:w="57" w:type="dxa"/>
          </w:tcMar>
        </w:tcPr>
        <w:p w14:paraId="646FE8F8"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 xml:space="preserve">This is </w:t>
          </w:r>
          <w:proofErr w:type="gramStart"/>
          <w:r w:rsidRPr="00114EBA">
            <w:rPr>
              <w:rFonts w:cs="Arial"/>
              <w:b/>
              <w:bCs/>
              <w:color w:val="FFFFFF"/>
              <w:sz w:val="17"/>
              <w:szCs w:val="17"/>
              <w:lang w:val="en-US"/>
            </w:rPr>
            <w:t>a</w:t>
          </w:r>
          <w:proofErr w:type="gramEnd"/>
          <w:r w:rsidRPr="00114EBA">
            <w:rPr>
              <w:rFonts w:cs="Arial"/>
              <w:b/>
              <w:bCs/>
              <w:color w:val="FFFFFF"/>
              <w:sz w:val="17"/>
              <w:szCs w:val="17"/>
              <w:lang w:val="en-US"/>
            </w:rPr>
            <w:t xml:space="preserve"> NHS document not to be used for commercial purposes</w:t>
          </w:r>
        </w:p>
      </w:tc>
    </w:tr>
    <w:tr w:rsidR="001F4283" w:rsidRPr="00862949" w14:paraId="4478C460" w14:textId="77777777" w:rsidTr="001734BF">
      <w:trPr>
        <w:trHeight w:val="331"/>
      </w:trPr>
      <w:tc>
        <w:tcPr>
          <w:tcW w:w="10774" w:type="dxa"/>
          <w:shd w:val="clear" w:color="auto" w:fill="DAEEF3"/>
          <w:tcMar>
            <w:left w:w="28" w:type="dxa"/>
            <w:right w:w="28" w:type="dxa"/>
          </w:tcMar>
        </w:tcPr>
        <w:p w14:paraId="7D00E9D3"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organisations develop medicines management policies and to inform prescribing decisions when a product has been launched. </w:t>
          </w:r>
        </w:p>
        <w:p w14:paraId="27175085"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68126A58" w14:textId="77777777" w:rsidR="000D44DB" w:rsidRPr="00862949" w:rsidRDefault="000D44DB" w:rsidP="00F95449">
    <w:pPr>
      <w:spacing w:before="60" w:after="60"/>
      <w:ind w:left="57" w:right="57"/>
      <w:jc w:val="center"/>
      <w:rPr>
        <w:rFonts w:cs="Arial"/>
        <w:bCs/>
        <w:color w:val="333399"/>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D8C5" w14:textId="77777777" w:rsidR="003F2BDA" w:rsidRDefault="003F2BDA">
      <w:r>
        <w:separator/>
      </w:r>
    </w:p>
  </w:footnote>
  <w:footnote w:type="continuationSeparator" w:id="0">
    <w:p w14:paraId="18974BB2" w14:textId="77777777" w:rsidR="003F2BDA" w:rsidRDefault="003F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1222" w14:textId="56D68E53" w:rsidR="000D44DB" w:rsidRPr="00CD021E"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2" behindDoc="1" locked="0" layoutInCell="1" allowOverlap="1" wp14:anchorId="5663ECFD" wp14:editId="52877AF4">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284C2B3" wp14:editId="2A2E219F">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CCAD5F" wp14:editId="352402D5">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CD021E">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D2F5" w14:textId="001EFCB1" w:rsidR="000D44DB" w:rsidRPr="00CD021E"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Pr>
        <w:noProof/>
        <w:color w:val="00B050"/>
        <w:sz w:val="32"/>
        <w:szCs w:val="32"/>
      </w:rPr>
      <w:drawing>
        <wp:anchor distT="0" distB="0" distL="114300" distR="114300" simplePos="0" relativeHeight="251658240" behindDoc="0" locked="0" layoutInCell="1" allowOverlap="1" wp14:anchorId="418D7FBE" wp14:editId="6C6A781C">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6ED46" w14:textId="77777777" w:rsidR="000D44DB" w:rsidRPr="00CD021E"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562CE4">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0" behindDoc="0" locked="0" layoutInCell="1" allowOverlap="1" wp14:anchorId="3B92A91D" wp14:editId="046E9701">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562CE4">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CB5BC1">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CD021E" w14:paraId="520C7971" w14:textId="77777777" w:rsidTr="002772ED">
      <w:tc>
        <w:tcPr>
          <w:tcW w:w="10774" w:type="dxa"/>
          <w:tcBorders>
            <w:top w:val="nil"/>
            <w:left w:val="nil"/>
            <w:bottom w:val="nil"/>
            <w:right w:val="nil"/>
          </w:tcBorders>
          <w:shd w:val="clear" w:color="auto" w:fill="DAEEF3"/>
        </w:tcPr>
        <w:p w14:paraId="6FF98266" w14:textId="69420BAD" w:rsidR="000D44DB" w:rsidRPr="00403CC8" w:rsidRDefault="00403CC8" w:rsidP="00EB3E6F">
          <w:pPr>
            <w:pStyle w:val="Header"/>
            <w:spacing w:before="60" w:after="60"/>
            <w:rPr>
              <w:rFonts w:cs="Arial"/>
              <w:b/>
              <w:bCs/>
              <w:color w:val="0070C0"/>
              <w:sz w:val="36"/>
              <w:szCs w:val="36"/>
              <w14:shadow w14:blurRad="50800" w14:dist="38100" w14:dir="2700000" w14:sx="100000" w14:sy="100000" w14:kx="0" w14:ky="0" w14:algn="tl">
                <w14:srgbClr w14:val="000000">
                  <w14:alpha w14:val="60000"/>
                </w14:srgbClr>
              </w14:shadow>
            </w:rPr>
          </w:pPr>
          <w:r>
            <w:rPr>
              <w:rFonts w:cs="Arial"/>
              <w:b/>
              <w:bCs/>
              <w:color w:val="0070C0"/>
              <w:sz w:val="36"/>
              <w:szCs w:val="36"/>
              <w14:shadow w14:blurRad="50800" w14:dist="38100" w14:dir="2700000" w14:sx="100000" w14:sy="100000" w14:kx="0" w14:ky="0" w14:algn="tl">
                <w14:srgbClr w14:val="000000">
                  <w14:alpha w14:val="60000"/>
                </w14:srgbClr>
              </w14:shadow>
            </w:rPr>
            <w:t>December</w:t>
          </w:r>
          <w:r w:rsidR="00A75BCB">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532402">
            <w:rPr>
              <w:rFonts w:cs="Arial"/>
              <w:b/>
              <w:bCs/>
              <w:color w:val="0070C0"/>
              <w:sz w:val="36"/>
              <w:szCs w:val="36"/>
              <w14:shadow w14:blurRad="50800" w14:dist="38100" w14:dir="2700000" w14:sx="100000" w14:sy="100000" w14:kx="0" w14:ky="0" w14:algn="tl">
                <w14:srgbClr w14:val="000000">
                  <w14:alpha w14:val="60000"/>
                </w14:srgbClr>
              </w14:shadow>
            </w:rPr>
            <w:t>5</w:t>
          </w:r>
        </w:p>
      </w:tc>
    </w:tr>
    <w:tr w:rsidR="000D44DB" w:rsidRPr="00CD021E" w14:paraId="48C52604" w14:textId="77777777" w:rsidTr="002772ED">
      <w:tc>
        <w:tcPr>
          <w:tcW w:w="10774" w:type="dxa"/>
          <w:tcBorders>
            <w:top w:val="nil"/>
            <w:left w:val="nil"/>
            <w:bottom w:val="nil"/>
            <w:right w:val="nil"/>
          </w:tcBorders>
          <w:shd w:val="clear" w:color="auto" w:fill="0070C0"/>
        </w:tcPr>
        <w:p w14:paraId="439BBD97" w14:textId="77777777" w:rsidR="000D44DB" w:rsidRPr="00CD021E"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CD021E">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CD021E" w14:paraId="7A4CD03D" w14:textId="77777777" w:rsidTr="002772ED">
      <w:tc>
        <w:tcPr>
          <w:tcW w:w="10774" w:type="dxa"/>
          <w:tcBorders>
            <w:top w:val="nil"/>
            <w:left w:val="nil"/>
            <w:bottom w:val="nil"/>
            <w:right w:val="nil"/>
          </w:tcBorders>
          <w:shd w:val="clear" w:color="auto" w:fill="DAEEF3"/>
        </w:tcPr>
        <w:p w14:paraId="4E505154" w14:textId="77777777" w:rsidR="000D44DB" w:rsidRPr="00C315D6" w:rsidRDefault="00885CAE" w:rsidP="00CB6344">
          <w:pPr>
            <w:pStyle w:val="Header"/>
            <w:tabs>
              <w:tab w:val="clear" w:pos="4153"/>
              <w:tab w:val="clear" w:pos="8306"/>
              <w:tab w:val="left" w:pos="2197"/>
            </w:tabs>
            <w:spacing w:before="120" w:after="120"/>
            <w:rPr>
              <w:rFonts w:cs="Arial"/>
              <w:b/>
              <w:bCs/>
              <w:color w:val="0070C0"/>
              <w:sz w:val="18"/>
              <w:szCs w:val="18"/>
            </w:rPr>
          </w:pPr>
          <w:r w:rsidRPr="009B0BCE">
            <w:rPr>
              <w:rFonts w:cs="Arial"/>
              <w:b/>
              <w:bCs/>
              <w:color w:val="0070C0"/>
              <w:sz w:val="18"/>
              <w:szCs w:val="18"/>
            </w:rPr>
            <w:t xml:space="preserve">This newsletter is produced by </w:t>
          </w:r>
          <w:hyperlink r:id="rId3" w:history="1">
            <w:r w:rsidRPr="00551321">
              <w:rPr>
                <w:rStyle w:val="Hyperlink"/>
                <w:rFonts w:ascii="Arial" w:hAnsi="Arial" w:cs="Arial"/>
                <w:b/>
                <w:bCs/>
              </w:rPr>
              <w:t xml:space="preserve">SPS </w:t>
            </w:r>
            <w:r w:rsidR="003C4624">
              <w:rPr>
                <w:rStyle w:val="Hyperlink"/>
                <w:rFonts w:ascii="Arial" w:hAnsi="Arial" w:cs="Arial"/>
                <w:b/>
                <w:bCs/>
              </w:rPr>
              <w:t>H</w:t>
            </w:r>
            <w:r w:rsidRPr="00551321">
              <w:rPr>
                <w:rStyle w:val="Hyperlink"/>
                <w:rFonts w:ascii="Arial" w:hAnsi="Arial" w:cs="Arial"/>
                <w:b/>
                <w:bCs/>
              </w:rPr>
              <w:t xml:space="preserve">orizon </w:t>
            </w:r>
            <w:r w:rsidR="003C4624">
              <w:rPr>
                <w:rStyle w:val="Hyperlink"/>
                <w:rFonts w:ascii="Arial" w:hAnsi="Arial" w:cs="Arial"/>
                <w:b/>
                <w:bCs/>
              </w:rPr>
              <w:t>S</w:t>
            </w:r>
            <w:r w:rsidRPr="00551321">
              <w:rPr>
                <w:rStyle w:val="Hyperlink"/>
                <w:rFonts w:ascii="Arial" w:hAnsi="Arial" w:cs="Arial"/>
                <w:b/>
                <w:bCs/>
              </w:rPr>
              <w:t>canning</w:t>
            </w:r>
          </w:hyperlink>
          <w:r w:rsidRPr="009B0BCE">
            <w:rPr>
              <w:rFonts w:cs="Arial"/>
              <w:b/>
              <w:bCs/>
              <w:color w:val="0070C0"/>
              <w:sz w:val="18"/>
              <w:szCs w:val="18"/>
            </w:rPr>
            <w:t xml:space="preserve"> and highlights recent</w:t>
          </w:r>
          <w:r>
            <w:rPr>
              <w:rFonts w:cs="Arial"/>
              <w:b/>
              <w:bCs/>
              <w:color w:val="0070C0"/>
              <w:sz w:val="18"/>
              <w:szCs w:val="18"/>
            </w:rPr>
            <w:t xml:space="preserve"> new product launches and </w:t>
          </w:r>
          <w:r w:rsidRPr="009B0BCE">
            <w:rPr>
              <w:rFonts w:cs="Arial"/>
              <w:b/>
              <w:bCs/>
              <w:color w:val="0070C0"/>
              <w:sz w:val="18"/>
              <w:szCs w:val="18"/>
            </w:rPr>
            <w:t xml:space="preserve">medicines regulatory changes. More detailed information on medicines </w:t>
          </w:r>
          <w:r>
            <w:rPr>
              <w:rFonts w:cs="Arial"/>
              <w:b/>
              <w:bCs/>
              <w:color w:val="0070C0"/>
              <w:sz w:val="18"/>
              <w:szCs w:val="18"/>
            </w:rPr>
            <w:t>estimated</w:t>
          </w:r>
          <w:r w:rsidRPr="009B0BCE">
            <w:rPr>
              <w:rFonts w:cs="Arial"/>
              <w:b/>
              <w:bCs/>
              <w:color w:val="0070C0"/>
              <w:sz w:val="18"/>
              <w:szCs w:val="18"/>
            </w:rPr>
            <w:t xml:space="preserve"> to </w:t>
          </w:r>
          <w:r>
            <w:rPr>
              <w:rFonts w:cs="Arial"/>
              <w:b/>
              <w:bCs/>
              <w:color w:val="0070C0"/>
              <w:sz w:val="18"/>
              <w:szCs w:val="18"/>
            </w:rPr>
            <w:t>become available for use</w:t>
          </w:r>
          <w:r w:rsidRPr="009B0BCE">
            <w:rPr>
              <w:rFonts w:cs="Arial"/>
              <w:b/>
              <w:bCs/>
              <w:color w:val="0070C0"/>
              <w:sz w:val="18"/>
              <w:szCs w:val="18"/>
            </w:rPr>
            <w:t xml:space="preserve"> in the next 2</w:t>
          </w:r>
          <w:r>
            <w:rPr>
              <w:rFonts w:cs="Arial"/>
              <w:b/>
              <w:bCs/>
              <w:color w:val="0070C0"/>
              <w:sz w:val="18"/>
              <w:szCs w:val="18"/>
            </w:rPr>
            <w:t xml:space="preserve"> financial years</w:t>
          </w:r>
          <w:r w:rsidRPr="009B0BCE">
            <w:rPr>
              <w:rFonts w:cs="Arial"/>
              <w:b/>
              <w:bCs/>
              <w:color w:val="0070C0"/>
              <w:sz w:val="18"/>
              <w:szCs w:val="18"/>
            </w:rPr>
            <w:t xml:space="preserve"> and on marketed medicines expected to have major new indications approved</w:t>
          </w:r>
          <w:r>
            <w:rPr>
              <w:rFonts w:cs="Arial"/>
              <w:b/>
              <w:bCs/>
              <w:color w:val="0070C0"/>
              <w:sz w:val="18"/>
              <w:szCs w:val="18"/>
            </w:rPr>
            <w:t xml:space="preserve"> is</w:t>
          </w:r>
          <w:r w:rsidRPr="009B0BCE">
            <w:rPr>
              <w:rFonts w:cs="Arial"/>
              <w:b/>
              <w:bCs/>
              <w:color w:val="0070C0"/>
              <w:sz w:val="18"/>
              <w:szCs w:val="18"/>
            </w:rPr>
            <w:t xml:space="preserve"> in </w:t>
          </w:r>
          <w:hyperlink r:id="rId4" w:history="1">
            <w:r w:rsidRPr="009B0BCE">
              <w:rPr>
                <w:rStyle w:val="Hyperlink"/>
                <w:rFonts w:ascii="Arial" w:hAnsi="Arial" w:cs="Arial"/>
                <w:b/>
                <w:bCs/>
              </w:rPr>
              <w:t>Prescribing Outlook</w:t>
            </w:r>
          </w:hyperlink>
          <w:r w:rsidRPr="009B0BCE">
            <w:rPr>
              <w:rFonts w:cs="Arial"/>
              <w:b/>
              <w:bCs/>
              <w:color w:val="0070C0"/>
              <w:sz w:val="18"/>
              <w:szCs w:val="18"/>
            </w:rPr>
            <w:t>.</w:t>
          </w:r>
        </w:p>
      </w:tc>
    </w:tr>
  </w:tbl>
  <w:p w14:paraId="6FDDB45C" w14:textId="77777777" w:rsidR="000D44DB" w:rsidRPr="00CD021E"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1A39" w14:textId="426FD1F5" w:rsidR="0090527B"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E90" w14:textId="494B5D6E" w:rsidR="0090527B"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6D73" w14:textId="6B4C179B" w:rsidR="000D44DB" w:rsidRPr="00CD021E"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CB5BC1">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1" behindDoc="0" locked="0" layoutInCell="1" allowOverlap="1" wp14:anchorId="063B9F77" wp14:editId="38614F3B">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CB5BC1">
      <w:rPr>
        <w:rFonts w:cs="Arial"/>
        <w:noProof/>
        <w:color w:val="008A3E"/>
        <w:sz w:val="40"/>
        <w:szCs w:val="40"/>
      </w:rPr>
      <w:drawing>
        <wp:anchor distT="0" distB="0" distL="114300" distR="114300" simplePos="0" relativeHeight="251658243" behindDoc="0" locked="0" layoutInCell="1" allowOverlap="1" wp14:anchorId="08294A5A" wp14:editId="33160FD9">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CB5BC1">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CD021E">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FEDA" w14:textId="3FD0D36A" w:rsidR="0090527B"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566pt;height:499.5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C7"/>
    <w:rsid w:val="0000035C"/>
    <w:rsid w:val="000005B6"/>
    <w:rsid w:val="000005EF"/>
    <w:rsid w:val="00000A0A"/>
    <w:rsid w:val="00000BE4"/>
    <w:rsid w:val="00000F87"/>
    <w:rsid w:val="0000199C"/>
    <w:rsid w:val="00001F19"/>
    <w:rsid w:val="0000290B"/>
    <w:rsid w:val="00002A08"/>
    <w:rsid w:val="00002FD9"/>
    <w:rsid w:val="00003329"/>
    <w:rsid w:val="00003421"/>
    <w:rsid w:val="000034B3"/>
    <w:rsid w:val="00003C95"/>
    <w:rsid w:val="00003D95"/>
    <w:rsid w:val="000042E9"/>
    <w:rsid w:val="00005014"/>
    <w:rsid w:val="00005119"/>
    <w:rsid w:val="00005271"/>
    <w:rsid w:val="000052F0"/>
    <w:rsid w:val="00005673"/>
    <w:rsid w:val="00005703"/>
    <w:rsid w:val="000057D2"/>
    <w:rsid w:val="00005989"/>
    <w:rsid w:val="00005CE9"/>
    <w:rsid w:val="00006527"/>
    <w:rsid w:val="000065F4"/>
    <w:rsid w:val="000068E0"/>
    <w:rsid w:val="000072EC"/>
    <w:rsid w:val="0000751E"/>
    <w:rsid w:val="000075ED"/>
    <w:rsid w:val="0000769C"/>
    <w:rsid w:val="000102A1"/>
    <w:rsid w:val="000102E8"/>
    <w:rsid w:val="00010447"/>
    <w:rsid w:val="0001067C"/>
    <w:rsid w:val="00010B1D"/>
    <w:rsid w:val="00010B20"/>
    <w:rsid w:val="00011176"/>
    <w:rsid w:val="000111C5"/>
    <w:rsid w:val="000114B1"/>
    <w:rsid w:val="00011D4B"/>
    <w:rsid w:val="00011E5B"/>
    <w:rsid w:val="00012B74"/>
    <w:rsid w:val="00012BA7"/>
    <w:rsid w:val="00012BF5"/>
    <w:rsid w:val="00012DCA"/>
    <w:rsid w:val="00012E19"/>
    <w:rsid w:val="00012E28"/>
    <w:rsid w:val="000132A0"/>
    <w:rsid w:val="00013575"/>
    <w:rsid w:val="000135BF"/>
    <w:rsid w:val="00013853"/>
    <w:rsid w:val="0001388F"/>
    <w:rsid w:val="00013B16"/>
    <w:rsid w:val="00013CD9"/>
    <w:rsid w:val="00013E21"/>
    <w:rsid w:val="00014028"/>
    <w:rsid w:val="00014115"/>
    <w:rsid w:val="00014240"/>
    <w:rsid w:val="0001441B"/>
    <w:rsid w:val="00014631"/>
    <w:rsid w:val="00014657"/>
    <w:rsid w:val="000148ED"/>
    <w:rsid w:val="00014AFE"/>
    <w:rsid w:val="00015455"/>
    <w:rsid w:val="000158C2"/>
    <w:rsid w:val="00015915"/>
    <w:rsid w:val="000159C6"/>
    <w:rsid w:val="00015A48"/>
    <w:rsid w:val="00015B43"/>
    <w:rsid w:val="000165BE"/>
    <w:rsid w:val="000166D7"/>
    <w:rsid w:val="0001694F"/>
    <w:rsid w:val="00016C87"/>
    <w:rsid w:val="00016CDC"/>
    <w:rsid w:val="00016E17"/>
    <w:rsid w:val="000171BC"/>
    <w:rsid w:val="000173BA"/>
    <w:rsid w:val="0001791D"/>
    <w:rsid w:val="00017CA2"/>
    <w:rsid w:val="00017D66"/>
    <w:rsid w:val="00020261"/>
    <w:rsid w:val="000202B3"/>
    <w:rsid w:val="000202FE"/>
    <w:rsid w:val="000203F6"/>
    <w:rsid w:val="00020714"/>
    <w:rsid w:val="000207FB"/>
    <w:rsid w:val="00020D00"/>
    <w:rsid w:val="0002143C"/>
    <w:rsid w:val="0002181A"/>
    <w:rsid w:val="000225BB"/>
    <w:rsid w:val="000225EE"/>
    <w:rsid w:val="0002265E"/>
    <w:rsid w:val="0002269F"/>
    <w:rsid w:val="00022775"/>
    <w:rsid w:val="0002291B"/>
    <w:rsid w:val="000229C8"/>
    <w:rsid w:val="00022CCE"/>
    <w:rsid w:val="00022FB9"/>
    <w:rsid w:val="0002372C"/>
    <w:rsid w:val="00023B87"/>
    <w:rsid w:val="00023E2E"/>
    <w:rsid w:val="00023F1B"/>
    <w:rsid w:val="00023FBB"/>
    <w:rsid w:val="00025142"/>
    <w:rsid w:val="00025A1E"/>
    <w:rsid w:val="00025AD9"/>
    <w:rsid w:val="00025B8F"/>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E87"/>
    <w:rsid w:val="00031218"/>
    <w:rsid w:val="00031336"/>
    <w:rsid w:val="00031909"/>
    <w:rsid w:val="00031E46"/>
    <w:rsid w:val="000320DC"/>
    <w:rsid w:val="000322AB"/>
    <w:rsid w:val="000327BA"/>
    <w:rsid w:val="00032BD9"/>
    <w:rsid w:val="0003313C"/>
    <w:rsid w:val="00033349"/>
    <w:rsid w:val="0003344C"/>
    <w:rsid w:val="000341CF"/>
    <w:rsid w:val="0003447E"/>
    <w:rsid w:val="0003499B"/>
    <w:rsid w:val="00034BCE"/>
    <w:rsid w:val="00034E8C"/>
    <w:rsid w:val="00034EB0"/>
    <w:rsid w:val="00035436"/>
    <w:rsid w:val="0003552B"/>
    <w:rsid w:val="00035B23"/>
    <w:rsid w:val="00035CA7"/>
    <w:rsid w:val="00035D82"/>
    <w:rsid w:val="00035DBD"/>
    <w:rsid w:val="00036A16"/>
    <w:rsid w:val="000373F3"/>
    <w:rsid w:val="0003742D"/>
    <w:rsid w:val="000374FF"/>
    <w:rsid w:val="000375C8"/>
    <w:rsid w:val="000378F6"/>
    <w:rsid w:val="000379EB"/>
    <w:rsid w:val="00037AE9"/>
    <w:rsid w:val="00037BAB"/>
    <w:rsid w:val="00037BE4"/>
    <w:rsid w:val="00037F62"/>
    <w:rsid w:val="00040013"/>
    <w:rsid w:val="0004019A"/>
    <w:rsid w:val="000401A1"/>
    <w:rsid w:val="00040734"/>
    <w:rsid w:val="00040B83"/>
    <w:rsid w:val="00040CA3"/>
    <w:rsid w:val="000410DA"/>
    <w:rsid w:val="000416FC"/>
    <w:rsid w:val="00041AC8"/>
    <w:rsid w:val="00041BDC"/>
    <w:rsid w:val="0004243E"/>
    <w:rsid w:val="000427D5"/>
    <w:rsid w:val="00042CCD"/>
    <w:rsid w:val="00043342"/>
    <w:rsid w:val="000435DE"/>
    <w:rsid w:val="00043A2D"/>
    <w:rsid w:val="00043ED2"/>
    <w:rsid w:val="00044148"/>
    <w:rsid w:val="00044204"/>
    <w:rsid w:val="00044475"/>
    <w:rsid w:val="00044C33"/>
    <w:rsid w:val="000452E2"/>
    <w:rsid w:val="00045745"/>
    <w:rsid w:val="0004575D"/>
    <w:rsid w:val="000457B4"/>
    <w:rsid w:val="00045D5B"/>
    <w:rsid w:val="00045DDF"/>
    <w:rsid w:val="0004601F"/>
    <w:rsid w:val="00046375"/>
    <w:rsid w:val="00046777"/>
    <w:rsid w:val="00046C42"/>
    <w:rsid w:val="00046CCE"/>
    <w:rsid w:val="0004702B"/>
    <w:rsid w:val="0004733A"/>
    <w:rsid w:val="00047608"/>
    <w:rsid w:val="00047E3B"/>
    <w:rsid w:val="00050249"/>
    <w:rsid w:val="000507C3"/>
    <w:rsid w:val="00050920"/>
    <w:rsid w:val="0005105D"/>
    <w:rsid w:val="000515F0"/>
    <w:rsid w:val="00051791"/>
    <w:rsid w:val="000518A6"/>
    <w:rsid w:val="000519EA"/>
    <w:rsid w:val="00051B61"/>
    <w:rsid w:val="00051F32"/>
    <w:rsid w:val="000523FE"/>
    <w:rsid w:val="00052436"/>
    <w:rsid w:val="000529B6"/>
    <w:rsid w:val="00052AD4"/>
    <w:rsid w:val="00052BA6"/>
    <w:rsid w:val="00053F21"/>
    <w:rsid w:val="00054462"/>
    <w:rsid w:val="0005460C"/>
    <w:rsid w:val="00055486"/>
    <w:rsid w:val="00056696"/>
    <w:rsid w:val="000566A1"/>
    <w:rsid w:val="00056809"/>
    <w:rsid w:val="00056DB0"/>
    <w:rsid w:val="000570FC"/>
    <w:rsid w:val="0005783A"/>
    <w:rsid w:val="00057C03"/>
    <w:rsid w:val="00057FA2"/>
    <w:rsid w:val="0006026C"/>
    <w:rsid w:val="0006036B"/>
    <w:rsid w:val="00060AC6"/>
    <w:rsid w:val="00060BB0"/>
    <w:rsid w:val="0006109A"/>
    <w:rsid w:val="0006141D"/>
    <w:rsid w:val="00061A5F"/>
    <w:rsid w:val="00061B9D"/>
    <w:rsid w:val="00061FEF"/>
    <w:rsid w:val="00062740"/>
    <w:rsid w:val="000627FC"/>
    <w:rsid w:val="00062834"/>
    <w:rsid w:val="00062B47"/>
    <w:rsid w:val="00062F98"/>
    <w:rsid w:val="0006320B"/>
    <w:rsid w:val="00063C19"/>
    <w:rsid w:val="000646B3"/>
    <w:rsid w:val="00064C77"/>
    <w:rsid w:val="00064E8C"/>
    <w:rsid w:val="00064EB7"/>
    <w:rsid w:val="00064EF7"/>
    <w:rsid w:val="0006514E"/>
    <w:rsid w:val="000652C1"/>
    <w:rsid w:val="00065458"/>
    <w:rsid w:val="00066145"/>
    <w:rsid w:val="0006622F"/>
    <w:rsid w:val="00066787"/>
    <w:rsid w:val="00066A42"/>
    <w:rsid w:val="00066B48"/>
    <w:rsid w:val="00067279"/>
    <w:rsid w:val="000672F8"/>
    <w:rsid w:val="0006730B"/>
    <w:rsid w:val="0006785A"/>
    <w:rsid w:val="00067942"/>
    <w:rsid w:val="00067D4E"/>
    <w:rsid w:val="00067D5B"/>
    <w:rsid w:val="000702DB"/>
    <w:rsid w:val="00070442"/>
    <w:rsid w:val="00070948"/>
    <w:rsid w:val="00070A7A"/>
    <w:rsid w:val="00071178"/>
    <w:rsid w:val="0007155B"/>
    <w:rsid w:val="000719B7"/>
    <w:rsid w:val="00071A86"/>
    <w:rsid w:val="00071BD9"/>
    <w:rsid w:val="00071DB1"/>
    <w:rsid w:val="0007203F"/>
    <w:rsid w:val="0007204B"/>
    <w:rsid w:val="00072F47"/>
    <w:rsid w:val="00073808"/>
    <w:rsid w:val="00074396"/>
    <w:rsid w:val="00074465"/>
    <w:rsid w:val="0007446E"/>
    <w:rsid w:val="00074745"/>
    <w:rsid w:val="00074951"/>
    <w:rsid w:val="00074F67"/>
    <w:rsid w:val="0007521F"/>
    <w:rsid w:val="000752E8"/>
    <w:rsid w:val="000755B8"/>
    <w:rsid w:val="00075D05"/>
    <w:rsid w:val="00075D4B"/>
    <w:rsid w:val="0007679E"/>
    <w:rsid w:val="00077371"/>
    <w:rsid w:val="00077C0C"/>
    <w:rsid w:val="00080116"/>
    <w:rsid w:val="000808F9"/>
    <w:rsid w:val="00080A6B"/>
    <w:rsid w:val="00080C64"/>
    <w:rsid w:val="00080EE8"/>
    <w:rsid w:val="000811FF"/>
    <w:rsid w:val="0008125C"/>
    <w:rsid w:val="00081277"/>
    <w:rsid w:val="000813E4"/>
    <w:rsid w:val="00081417"/>
    <w:rsid w:val="0008159C"/>
    <w:rsid w:val="0008195B"/>
    <w:rsid w:val="00081B23"/>
    <w:rsid w:val="00081CFF"/>
    <w:rsid w:val="00081F6A"/>
    <w:rsid w:val="0008258A"/>
    <w:rsid w:val="00082DF6"/>
    <w:rsid w:val="00082E64"/>
    <w:rsid w:val="0008303B"/>
    <w:rsid w:val="00083231"/>
    <w:rsid w:val="000834AE"/>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F97"/>
    <w:rsid w:val="00087308"/>
    <w:rsid w:val="00087474"/>
    <w:rsid w:val="0008785C"/>
    <w:rsid w:val="00087A3E"/>
    <w:rsid w:val="00090233"/>
    <w:rsid w:val="000906FB"/>
    <w:rsid w:val="000907E5"/>
    <w:rsid w:val="00091245"/>
    <w:rsid w:val="00091EAA"/>
    <w:rsid w:val="00092238"/>
    <w:rsid w:val="0009266A"/>
    <w:rsid w:val="00092AEC"/>
    <w:rsid w:val="000933A6"/>
    <w:rsid w:val="0009391C"/>
    <w:rsid w:val="00093CB7"/>
    <w:rsid w:val="0009414D"/>
    <w:rsid w:val="00094388"/>
    <w:rsid w:val="00094B31"/>
    <w:rsid w:val="00094FC6"/>
    <w:rsid w:val="0009514E"/>
    <w:rsid w:val="0009515F"/>
    <w:rsid w:val="000951E1"/>
    <w:rsid w:val="000954DD"/>
    <w:rsid w:val="000955AC"/>
    <w:rsid w:val="00095653"/>
    <w:rsid w:val="000957EA"/>
    <w:rsid w:val="00095818"/>
    <w:rsid w:val="00095974"/>
    <w:rsid w:val="00095B4D"/>
    <w:rsid w:val="00095EE7"/>
    <w:rsid w:val="000966BB"/>
    <w:rsid w:val="00096800"/>
    <w:rsid w:val="00096BBF"/>
    <w:rsid w:val="00096C4B"/>
    <w:rsid w:val="000972E6"/>
    <w:rsid w:val="0009792A"/>
    <w:rsid w:val="00097B79"/>
    <w:rsid w:val="00097E17"/>
    <w:rsid w:val="00097E4F"/>
    <w:rsid w:val="000A0040"/>
    <w:rsid w:val="000A02AD"/>
    <w:rsid w:val="000A0B38"/>
    <w:rsid w:val="000A1199"/>
    <w:rsid w:val="000A22E9"/>
    <w:rsid w:val="000A241E"/>
    <w:rsid w:val="000A2810"/>
    <w:rsid w:val="000A289B"/>
    <w:rsid w:val="000A2C52"/>
    <w:rsid w:val="000A2E37"/>
    <w:rsid w:val="000A36D0"/>
    <w:rsid w:val="000A3B1E"/>
    <w:rsid w:val="000A3FCE"/>
    <w:rsid w:val="000A41D4"/>
    <w:rsid w:val="000A421F"/>
    <w:rsid w:val="000A4BCB"/>
    <w:rsid w:val="000A4BE4"/>
    <w:rsid w:val="000A5077"/>
    <w:rsid w:val="000A50F2"/>
    <w:rsid w:val="000A534D"/>
    <w:rsid w:val="000A5ABE"/>
    <w:rsid w:val="000A5B0D"/>
    <w:rsid w:val="000A60E1"/>
    <w:rsid w:val="000A60F4"/>
    <w:rsid w:val="000A61FB"/>
    <w:rsid w:val="000A7968"/>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59"/>
    <w:rsid w:val="000B2C16"/>
    <w:rsid w:val="000B2FC7"/>
    <w:rsid w:val="000B310F"/>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843"/>
    <w:rsid w:val="000B6EB2"/>
    <w:rsid w:val="000B706F"/>
    <w:rsid w:val="000B77F8"/>
    <w:rsid w:val="000B78CC"/>
    <w:rsid w:val="000B7AE2"/>
    <w:rsid w:val="000C0203"/>
    <w:rsid w:val="000C041C"/>
    <w:rsid w:val="000C091B"/>
    <w:rsid w:val="000C0A85"/>
    <w:rsid w:val="000C0F48"/>
    <w:rsid w:val="000C0F5C"/>
    <w:rsid w:val="000C1071"/>
    <w:rsid w:val="000C1356"/>
    <w:rsid w:val="000C18D0"/>
    <w:rsid w:val="000C1900"/>
    <w:rsid w:val="000C1FB5"/>
    <w:rsid w:val="000C200D"/>
    <w:rsid w:val="000C20E9"/>
    <w:rsid w:val="000C2555"/>
    <w:rsid w:val="000C25C3"/>
    <w:rsid w:val="000C2DF1"/>
    <w:rsid w:val="000C34B2"/>
    <w:rsid w:val="000C35ED"/>
    <w:rsid w:val="000C3692"/>
    <w:rsid w:val="000C37AC"/>
    <w:rsid w:val="000C3B1F"/>
    <w:rsid w:val="000C43D9"/>
    <w:rsid w:val="000C44B7"/>
    <w:rsid w:val="000C458C"/>
    <w:rsid w:val="000C4D1E"/>
    <w:rsid w:val="000C5329"/>
    <w:rsid w:val="000C5D43"/>
    <w:rsid w:val="000C5F42"/>
    <w:rsid w:val="000C60E6"/>
    <w:rsid w:val="000C6548"/>
    <w:rsid w:val="000C6591"/>
    <w:rsid w:val="000C6D2E"/>
    <w:rsid w:val="000C709F"/>
    <w:rsid w:val="000C72CA"/>
    <w:rsid w:val="000C7872"/>
    <w:rsid w:val="000C7AFF"/>
    <w:rsid w:val="000C7BA9"/>
    <w:rsid w:val="000C7C7C"/>
    <w:rsid w:val="000C7CAA"/>
    <w:rsid w:val="000D0476"/>
    <w:rsid w:val="000D04C1"/>
    <w:rsid w:val="000D0624"/>
    <w:rsid w:val="000D0DF7"/>
    <w:rsid w:val="000D0E50"/>
    <w:rsid w:val="000D1171"/>
    <w:rsid w:val="000D13A6"/>
    <w:rsid w:val="000D2113"/>
    <w:rsid w:val="000D2266"/>
    <w:rsid w:val="000D2736"/>
    <w:rsid w:val="000D2C27"/>
    <w:rsid w:val="000D30E7"/>
    <w:rsid w:val="000D35F7"/>
    <w:rsid w:val="000D3646"/>
    <w:rsid w:val="000D3760"/>
    <w:rsid w:val="000D3BCC"/>
    <w:rsid w:val="000D43AC"/>
    <w:rsid w:val="000D44DB"/>
    <w:rsid w:val="000D4645"/>
    <w:rsid w:val="000D467B"/>
    <w:rsid w:val="000D525B"/>
    <w:rsid w:val="000D5524"/>
    <w:rsid w:val="000D58C9"/>
    <w:rsid w:val="000D59A0"/>
    <w:rsid w:val="000D5DA8"/>
    <w:rsid w:val="000D5F42"/>
    <w:rsid w:val="000D62F3"/>
    <w:rsid w:val="000D6630"/>
    <w:rsid w:val="000D682D"/>
    <w:rsid w:val="000D7E24"/>
    <w:rsid w:val="000D7EAD"/>
    <w:rsid w:val="000E06CA"/>
    <w:rsid w:val="000E07FC"/>
    <w:rsid w:val="000E0B79"/>
    <w:rsid w:val="000E0C92"/>
    <w:rsid w:val="000E0D69"/>
    <w:rsid w:val="000E0ECF"/>
    <w:rsid w:val="000E0F57"/>
    <w:rsid w:val="000E12A8"/>
    <w:rsid w:val="000E184E"/>
    <w:rsid w:val="000E1A44"/>
    <w:rsid w:val="000E1DE0"/>
    <w:rsid w:val="000E21D3"/>
    <w:rsid w:val="000E247B"/>
    <w:rsid w:val="000E247C"/>
    <w:rsid w:val="000E27E9"/>
    <w:rsid w:val="000E2A6C"/>
    <w:rsid w:val="000E2DC9"/>
    <w:rsid w:val="000E2E4B"/>
    <w:rsid w:val="000E2FF1"/>
    <w:rsid w:val="000E3DFD"/>
    <w:rsid w:val="000E4477"/>
    <w:rsid w:val="000E45E9"/>
    <w:rsid w:val="000E4A24"/>
    <w:rsid w:val="000E5217"/>
    <w:rsid w:val="000E5C17"/>
    <w:rsid w:val="000E6471"/>
    <w:rsid w:val="000E69A5"/>
    <w:rsid w:val="000E721B"/>
    <w:rsid w:val="000E74D2"/>
    <w:rsid w:val="000E789D"/>
    <w:rsid w:val="000F0055"/>
    <w:rsid w:val="000F00F8"/>
    <w:rsid w:val="000F0481"/>
    <w:rsid w:val="000F04BF"/>
    <w:rsid w:val="000F0699"/>
    <w:rsid w:val="000F078E"/>
    <w:rsid w:val="000F0BA2"/>
    <w:rsid w:val="000F0F98"/>
    <w:rsid w:val="000F1228"/>
    <w:rsid w:val="000F1485"/>
    <w:rsid w:val="000F19E1"/>
    <w:rsid w:val="000F1B61"/>
    <w:rsid w:val="000F2032"/>
    <w:rsid w:val="000F22ED"/>
    <w:rsid w:val="000F2362"/>
    <w:rsid w:val="000F2409"/>
    <w:rsid w:val="000F2C70"/>
    <w:rsid w:val="000F35A9"/>
    <w:rsid w:val="000F377A"/>
    <w:rsid w:val="000F3964"/>
    <w:rsid w:val="000F3BFE"/>
    <w:rsid w:val="000F3C1E"/>
    <w:rsid w:val="000F3DE4"/>
    <w:rsid w:val="000F3EC1"/>
    <w:rsid w:val="000F40FF"/>
    <w:rsid w:val="000F4C32"/>
    <w:rsid w:val="000F4C9B"/>
    <w:rsid w:val="000F52A7"/>
    <w:rsid w:val="000F58A1"/>
    <w:rsid w:val="000F5AA4"/>
    <w:rsid w:val="000F5AC6"/>
    <w:rsid w:val="000F5C5A"/>
    <w:rsid w:val="000F5D25"/>
    <w:rsid w:val="000F613C"/>
    <w:rsid w:val="000F6985"/>
    <w:rsid w:val="000F715A"/>
    <w:rsid w:val="000F72CB"/>
    <w:rsid w:val="000F7AE5"/>
    <w:rsid w:val="000F7B5F"/>
    <w:rsid w:val="001007E8"/>
    <w:rsid w:val="0010093F"/>
    <w:rsid w:val="00100AA8"/>
    <w:rsid w:val="00100B3E"/>
    <w:rsid w:val="0010109D"/>
    <w:rsid w:val="00101327"/>
    <w:rsid w:val="001017B0"/>
    <w:rsid w:val="0010229B"/>
    <w:rsid w:val="00102869"/>
    <w:rsid w:val="00102BB5"/>
    <w:rsid w:val="0010320B"/>
    <w:rsid w:val="001036A5"/>
    <w:rsid w:val="001044CC"/>
    <w:rsid w:val="00104591"/>
    <w:rsid w:val="00104765"/>
    <w:rsid w:val="00104B62"/>
    <w:rsid w:val="00104CAF"/>
    <w:rsid w:val="00104F3E"/>
    <w:rsid w:val="00105230"/>
    <w:rsid w:val="001054D4"/>
    <w:rsid w:val="00105520"/>
    <w:rsid w:val="0010589B"/>
    <w:rsid w:val="00105BB1"/>
    <w:rsid w:val="00105C0B"/>
    <w:rsid w:val="00105CAF"/>
    <w:rsid w:val="0010629A"/>
    <w:rsid w:val="00106609"/>
    <w:rsid w:val="00106691"/>
    <w:rsid w:val="00107168"/>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F6B"/>
    <w:rsid w:val="0011546D"/>
    <w:rsid w:val="001155CF"/>
    <w:rsid w:val="00115872"/>
    <w:rsid w:val="00116043"/>
    <w:rsid w:val="001160C4"/>
    <w:rsid w:val="00116463"/>
    <w:rsid w:val="00116553"/>
    <w:rsid w:val="00116637"/>
    <w:rsid w:val="001168CC"/>
    <w:rsid w:val="001169DD"/>
    <w:rsid w:val="0011771E"/>
    <w:rsid w:val="001200DD"/>
    <w:rsid w:val="0012045D"/>
    <w:rsid w:val="0012063A"/>
    <w:rsid w:val="001209AC"/>
    <w:rsid w:val="00120B32"/>
    <w:rsid w:val="0012143F"/>
    <w:rsid w:val="00121872"/>
    <w:rsid w:val="00122124"/>
    <w:rsid w:val="001221E3"/>
    <w:rsid w:val="0012226D"/>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36E"/>
    <w:rsid w:val="00127A3E"/>
    <w:rsid w:val="00130301"/>
    <w:rsid w:val="001304D0"/>
    <w:rsid w:val="00130543"/>
    <w:rsid w:val="00130B6B"/>
    <w:rsid w:val="00130D1C"/>
    <w:rsid w:val="001314D3"/>
    <w:rsid w:val="001314E0"/>
    <w:rsid w:val="0013190B"/>
    <w:rsid w:val="00131942"/>
    <w:rsid w:val="00131B41"/>
    <w:rsid w:val="00131B76"/>
    <w:rsid w:val="00131CFA"/>
    <w:rsid w:val="00131D4C"/>
    <w:rsid w:val="00131F7B"/>
    <w:rsid w:val="001325E6"/>
    <w:rsid w:val="0013261A"/>
    <w:rsid w:val="00132D15"/>
    <w:rsid w:val="001338F8"/>
    <w:rsid w:val="00134027"/>
    <w:rsid w:val="0013460E"/>
    <w:rsid w:val="00134D56"/>
    <w:rsid w:val="00134DB3"/>
    <w:rsid w:val="00134DB5"/>
    <w:rsid w:val="00135434"/>
    <w:rsid w:val="00135B8B"/>
    <w:rsid w:val="00135D8F"/>
    <w:rsid w:val="00136298"/>
    <w:rsid w:val="0013684D"/>
    <w:rsid w:val="00136887"/>
    <w:rsid w:val="00136EE3"/>
    <w:rsid w:val="00136FC4"/>
    <w:rsid w:val="001370F3"/>
    <w:rsid w:val="001373C5"/>
    <w:rsid w:val="001375C8"/>
    <w:rsid w:val="00137605"/>
    <w:rsid w:val="00137C23"/>
    <w:rsid w:val="00137EA2"/>
    <w:rsid w:val="00140395"/>
    <w:rsid w:val="00140724"/>
    <w:rsid w:val="0014076F"/>
    <w:rsid w:val="00140EF1"/>
    <w:rsid w:val="0014109C"/>
    <w:rsid w:val="001410D6"/>
    <w:rsid w:val="0014116C"/>
    <w:rsid w:val="00141635"/>
    <w:rsid w:val="00141796"/>
    <w:rsid w:val="001429B9"/>
    <w:rsid w:val="00142EAA"/>
    <w:rsid w:val="00144258"/>
    <w:rsid w:val="00144425"/>
    <w:rsid w:val="0014519F"/>
    <w:rsid w:val="00145426"/>
    <w:rsid w:val="001455B3"/>
    <w:rsid w:val="00145984"/>
    <w:rsid w:val="001459AF"/>
    <w:rsid w:val="00145A91"/>
    <w:rsid w:val="00145B63"/>
    <w:rsid w:val="00145CFD"/>
    <w:rsid w:val="00145DFA"/>
    <w:rsid w:val="00146059"/>
    <w:rsid w:val="001460E1"/>
    <w:rsid w:val="00146C32"/>
    <w:rsid w:val="00147177"/>
    <w:rsid w:val="001473E8"/>
    <w:rsid w:val="001474FC"/>
    <w:rsid w:val="00147874"/>
    <w:rsid w:val="00147DEE"/>
    <w:rsid w:val="00147E5F"/>
    <w:rsid w:val="00150038"/>
    <w:rsid w:val="00150095"/>
    <w:rsid w:val="00150374"/>
    <w:rsid w:val="00150648"/>
    <w:rsid w:val="001507BD"/>
    <w:rsid w:val="001508D4"/>
    <w:rsid w:val="001509A6"/>
    <w:rsid w:val="00150AB6"/>
    <w:rsid w:val="0015194F"/>
    <w:rsid w:val="0015213C"/>
    <w:rsid w:val="001521A6"/>
    <w:rsid w:val="00153126"/>
    <w:rsid w:val="00153942"/>
    <w:rsid w:val="00153ECC"/>
    <w:rsid w:val="00154281"/>
    <w:rsid w:val="0015493E"/>
    <w:rsid w:val="0015496C"/>
    <w:rsid w:val="00154F9D"/>
    <w:rsid w:val="00155081"/>
    <w:rsid w:val="001552E6"/>
    <w:rsid w:val="0015546F"/>
    <w:rsid w:val="00155BD9"/>
    <w:rsid w:val="00155D5A"/>
    <w:rsid w:val="00156078"/>
    <w:rsid w:val="00156870"/>
    <w:rsid w:val="00156AAF"/>
    <w:rsid w:val="00156CE9"/>
    <w:rsid w:val="00157445"/>
    <w:rsid w:val="001575AB"/>
    <w:rsid w:val="00157760"/>
    <w:rsid w:val="00157B8C"/>
    <w:rsid w:val="00157C96"/>
    <w:rsid w:val="00160A03"/>
    <w:rsid w:val="00160C3F"/>
    <w:rsid w:val="00160C4D"/>
    <w:rsid w:val="00160CE3"/>
    <w:rsid w:val="00161702"/>
    <w:rsid w:val="00161AC5"/>
    <w:rsid w:val="00162022"/>
    <w:rsid w:val="0016202E"/>
    <w:rsid w:val="001620E8"/>
    <w:rsid w:val="00162453"/>
    <w:rsid w:val="00162626"/>
    <w:rsid w:val="00162C56"/>
    <w:rsid w:val="0016413C"/>
    <w:rsid w:val="001642D5"/>
    <w:rsid w:val="00164CA0"/>
    <w:rsid w:val="00164FB6"/>
    <w:rsid w:val="001650FE"/>
    <w:rsid w:val="001655B0"/>
    <w:rsid w:val="001655B4"/>
    <w:rsid w:val="001655F0"/>
    <w:rsid w:val="00165695"/>
    <w:rsid w:val="0016571D"/>
    <w:rsid w:val="00165736"/>
    <w:rsid w:val="001659BD"/>
    <w:rsid w:val="001659E9"/>
    <w:rsid w:val="0016613D"/>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F6"/>
    <w:rsid w:val="00170A84"/>
    <w:rsid w:val="00170D05"/>
    <w:rsid w:val="00170FE8"/>
    <w:rsid w:val="0017100D"/>
    <w:rsid w:val="001714C4"/>
    <w:rsid w:val="00171709"/>
    <w:rsid w:val="00171736"/>
    <w:rsid w:val="001719DC"/>
    <w:rsid w:val="00171B78"/>
    <w:rsid w:val="00171F52"/>
    <w:rsid w:val="0017278A"/>
    <w:rsid w:val="001731F8"/>
    <w:rsid w:val="00173504"/>
    <w:rsid w:val="001736EE"/>
    <w:rsid w:val="001738EB"/>
    <w:rsid w:val="00173AE7"/>
    <w:rsid w:val="00173BE6"/>
    <w:rsid w:val="00173F9E"/>
    <w:rsid w:val="00174031"/>
    <w:rsid w:val="00174144"/>
    <w:rsid w:val="001745D3"/>
    <w:rsid w:val="00174929"/>
    <w:rsid w:val="0017531D"/>
    <w:rsid w:val="00175832"/>
    <w:rsid w:val="00175908"/>
    <w:rsid w:val="00175B07"/>
    <w:rsid w:val="001760AF"/>
    <w:rsid w:val="0017623C"/>
    <w:rsid w:val="00176569"/>
    <w:rsid w:val="001765B1"/>
    <w:rsid w:val="001766A3"/>
    <w:rsid w:val="00176A18"/>
    <w:rsid w:val="00176C78"/>
    <w:rsid w:val="00176D60"/>
    <w:rsid w:val="00176FAB"/>
    <w:rsid w:val="00177544"/>
    <w:rsid w:val="0017769E"/>
    <w:rsid w:val="0017782F"/>
    <w:rsid w:val="00177EF9"/>
    <w:rsid w:val="0018042E"/>
    <w:rsid w:val="001804CD"/>
    <w:rsid w:val="00180B42"/>
    <w:rsid w:val="00180D2E"/>
    <w:rsid w:val="00180F31"/>
    <w:rsid w:val="00181004"/>
    <w:rsid w:val="00181198"/>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7D8"/>
    <w:rsid w:val="0018793A"/>
    <w:rsid w:val="00187A70"/>
    <w:rsid w:val="00187BB1"/>
    <w:rsid w:val="00187C58"/>
    <w:rsid w:val="00187CDB"/>
    <w:rsid w:val="00190171"/>
    <w:rsid w:val="001905A1"/>
    <w:rsid w:val="00190606"/>
    <w:rsid w:val="00190876"/>
    <w:rsid w:val="00190C73"/>
    <w:rsid w:val="00190CC6"/>
    <w:rsid w:val="00190DD4"/>
    <w:rsid w:val="00191B7B"/>
    <w:rsid w:val="00191C5D"/>
    <w:rsid w:val="00192083"/>
    <w:rsid w:val="00192383"/>
    <w:rsid w:val="00192F26"/>
    <w:rsid w:val="00193B7B"/>
    <w:rsid w:val="00193CF3"/>
    <w:rsid w:val="00193F5C"/>
    <w:rsid w:val="00194127"/>
    <w:rsid w:val="00194410"/>
    <w:rsid w:val="00194557"/>
    <w:rsid w:val="001948CB"/>
    <w:rsid w:val="00194D95"/>
    <w:rsid w:val="00194D9C"/>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1339"/>
    <w:rsid w:val="001A1527"/>
    <w:rsid w:val="001A1555"/>
    <w:rsid w:val="001A1661"/>
    <w:rsid w:val="001A175F"/>
    <w:rsid w:val="001A19B4"/>
    <w:rsid w:val="001A1B68"/>
    <w:rsid w:val="001A1BB2"/>
    <w:rsid w:val="001A27B9"/>
    <w:rsid w:val="001A2A37"/>
    <w:rsid w:val="001A2B11"/>
    <w:rsid w:val="001A2F36"/>
    <w:rsid w:val="001A2FFF"/>
    <w:rsid w:val="001A31FA"/>
    <w:rsid w:val="001A3496"/>
    <w:rsid w:val="001A381D"/>
    <w:rsid w:val="001A3DFA"/>
    <w:rsid w:val="001A3EF1"/>
    <w:rsid w:val="001A4093"/>
    <w:rsid w:val="001A42CE"/>
    <w:rsid w:val="001A43F6"/>
    <w:rsid w:val="001A453A"/>
    <w:rsid w:val="001A46DA"/>
    <w:rsid w:val="001A4757"/>
    <w:rsid w:val="001A4D97"/>
    <w:rsid w:val="001A4FB3"/>
    <w:rsid w:val="001A501A"/>
    <w:rsid w:val="001A52CF"/>
    <w:rsid w:val="001A5914"/>
    <w:rsid w:val="001A5BFF"/>
    <w:rsid w:val="001A5D00"/>
    <w:rsid w:val="001A5E41"/>
    <w:rsid w:val="001A6195"/>
    <w:rsid w:val="001A62CD"/>
    <w:rsid w:val="001A639A"/>
    <w:rsid w:val="001A6519"/>
    <w:rsid w:val="001A6715"/>
    <w:rsid w:val="001A6A70"/>
    <w:rsid w:val="001A6F06"/>
    <w:rsid w:val="001A719C"/>
    <w:rsid w:val="001A755E"/>
    <w:rsid w:val="001A7C03"/>
    <w:rsid w:val="001A7CE0"/>
    <w:rsid w:val="001A7D50"/>
    <w:rsid w:val="001A7E97"/>
    <w:rsid w:val="001A7ECF"/>
    <w:rsid w:val="001B0F05"/>
    <w:rsid w:val="001B10C5"/>
    <w:rsid w:val="001B12D9"/>
    <w:rsid w:val="001B12FB"/>
    <w:rsid w:val="001B16C8"/>
    <w:rsid w:val="001B1A60"/>
    <w:rsid w:val="001B1CF8"/>
    <w:rsid w:val="001B20B3"/>
    <w:rsid w:val="001B20EC"/>
    <w:rsid w:val="001B3187"/>
    <w:rsid w:val="001B322B"/>
    <w:rsid w:val="001B3587"/>
    <w:rsid w:val="001B364C"/>
    <w:rsid w:val="001B377B"/>
    <w:rsid w:val="001B38ED"/>
    <w:rsid w:val="001B3B03"/>
    <w:rsid w:val="001B3C11"/>
    <w:rsid w:val="001B3C27"/>
    <w:rsid w:val="001B3C2A"/>
    <w:rsid w:val="001B4020"/>
    <w:rsid w:val="001B406D"/>
    <w:rsid w:val="001B40C8"/>
    <w:rsid w:val="001B42D3"/>
    <w:rsid w:val="001B5580"/>
    <w:rsid w:val="001B5808"/>
    <w:rsid w:val="001B5AEE"/>
    <w:rsid w:val="001B5E4E"/>
    <w:rsid w:val="001B5EBE"/>
    <w:rsid w:val="001B608F"/>
    <w:rsid w:val="001B6210"/>
    <w:rsid w:val="001B630E"/>
    <w:rsid w:val="001B6498"/>
    <w:rsid w:val="001B6EB6"/>
    <w:rsid w:val="001B700A"/>
    <w:rsid w:val="001B7294"/>
    <w:rsid w:val="001B7AC1"/>
    <w:rsid w:val="001B7C4F"/>
    <w:rsid w:val="001B7CFF"/>
    <w:rsid w:val="001C0985"/>
    <w:rsid w:val="001C0BB4"/>
    <w:rsid w:val="001C0CFC"/>
    <w:rsid w:val="001C0F6D"/>
    <w:rsid w:val="001C12DF"/>
    <w:rsid w:val="001C162D"/>
    <w:rsid w:val="001C19C1"/>
    <w:rsid w:val="001C21C3"/>
    <w:rsid w:val="001C2379"/>
    <w:rsid w:val="001C24D1"/>
    <w:rsid w:val="001C26D4"/>
    <w:rsid w:val="001C29D1"/>
    <w:rsid w:val="001C304B"/>
    <w:rsid w:val="001C3113"/>
    <w:rsid w:val="001C3616"/>
    <w:rsid w:val="001C372A"/>
    <w:rsid w:val="001C38E9"/>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59B"/>
    <w:rsid w:val="001D0BAA"/>
    <w:rsid w:val="001D179A"/>
    <w:rsid w:val="001D194C"/>
    <w:rsid w:val="001D19F8"/>
    <w:rsid w:val="001D1AC6"/>
    <w:rsid w:val="001D1BE1"/>
    <w:rsid w:val="001D1C22"/>
    <w:rsid w:val="001D1CB8"/>
    <w:rsid w:val="001D1EE8"/>
    <w:rsid w:val="001D25F7"/>
    <w:rsid w:val="001D2869"/>
    <w:rsid w:val="001D2ACD"/>
    <w:rsid w:val="001D3504"/>
    <w:rsid w:val="001D37D3"/>
    <w:rsid w:val="001D3E33"/>
    <w:rsid w:val="001D44A9"/>
    <w:rsid w:val="001D477C"/>
    <w:rsid w:val="001D48C2"/>
    <w:rsid w:val="001D4D0E"/>
    <w:rsid w:val="001D4F72"/>
    <w:rsid w:val="001D5156"/>
    <w:rsid w:val="001D51EE"/>
    <w:rsid w:val="001D553A"/>
    <w:rsid w:val="001D56D8"/>
    <w:rsid w:val="001D5D63"/>
    <w:rsid w:val="001D5E32"/>
    <w:rsid w:val="001D662A"/>
    <w:rsid w:val="001D6674"/>
    <w:rsid w:val="001D68A9"/>
    <w:rsid w:val="001D69F6"/>
    <w:rsid w:val="001D6ED1"/>
    <w:rsid w:val="001D73E9"/>
    <w:rsid w:val="001D7529"/>
    <w:rsid w:val="001D7622"/>
    <w:rsid w:val="001D7849"/>
    <w:rsid w:val="001E0988"/>
    <w:rsid w:val="001E0B4B"/>
    <w:rsid w:val="001E1104"/>
    <w:rsid w:val="001E17EE"/>
    <w:rsid w:val="001E2057"/>
    <w:rsid w:val="001E3126"/>
    <w:rsid w:val="001E342F"/>
    <w:rsid w:val="001E3641"/>
    <w:rsid w:val="001E3BB7"/>
    <w:rsid w:val="001E3C87"/>
    <w:rsid w:val="001E4075"/>
    <w:rsid w:val="001E4458"/>
    <w:rsid w:val="001E4757"/>
    <w:rsid w:val="001E4A4E"/>
    <w:rsid w:val="001E4EC8"/>
    <w:rsid w:val="001E5296"/>
    <w:rsid w:val="001E52D0"/>
    <w:rsid w:val="001E5898"/>
    <w:rsid w:val="001E679C"/>
    <w:rsid w:val="001E6E9B"/>
    <w:rsid w:val="001E74A2"/>
    <w:rsid w:val="001E7571"/>
    <w:rsid w:val="001E79EC"/>
    <w:rsid w:val="001E7C9C"/>
    <w:rsid w:val="001E7D80"/>
    <w:rsid w:val="001F0064"/>
    <w:rsid w:val="001F019D"/>
    <w:rsid w:val="001F02C9"/>
    <w:rsid w:val="001F0305"/>
    <w:rsid w:val="001F04C1"/>
    <w:rsid w:val="001F066B"/>
    <w:rsid w:val="001F06CB"/>
    <w:rsid w:val="001F0917"/>
    <w:rsid w:val="001F0E07"/>
    <w:rsid w:val="001F10BF"/>
    <w:rsid w:val="001F1264"/>
    <w:rsid w:val="001F265E"/>
    <w:rsid w:val="001F27B4"/>
    <w:rsid w:val="001F27EF"/>
    <w:rsid w:val="001F2A08"/>
    <w:rsid w:val="001F2AF4"/>
    <w:rsid w:val="001F2BDD"/>
    <w:rsid w:val="001F2EC3"/>
    <w:rsid w:val="001F3A14"/>
    <w:rsid w:val="001F3F6B"/>
    <w:rsid w:val="001F3F92"/>
    <w:rsid w:val="001F4031"/>
    <w:rsid w:val="001F4041"/>
    <w:rsid w:val="001F4191"/>
    <w:rsid w:val="001F4283"/>
    <w:rsid w:val="001F4BC4"/>
    <w:rsid w:val="001F4FE5"/>
    <w:rsid w:val="001F51FB"/>
    <w:rsid w:val="001F526D"/>
    <w:rsid w:val="001F5CB2"/>
    <w:rsid w:val="001F6640"/>
    <w:rsid w:val="001F668A"/>
    <w:rsid w:val="001F692A"/>
    <w:rsid w:val="001F6A76"/>
    <w:rsid w:val="001F6B79"/>
    <w:rsid w:val="001F70B0"/>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CE7"/>
    <w:rsid w:val="0020209C"/>
    <w:rsid w:val="00202205"/>
    <w:rsid w:val="002025B5"/>
    <w:rsid w:val="00202618"/>
    <w:rsid w:val="0020266D"/>
    <w:rsid w:val="00202F0E"/>
    <w:rsid w:val="002032D7"/>
    <w:rsid w:val="002035D3"/>
    <w:rsid w:val="00203771"/>
    <w:rsid w:val="00203EAB"/>
    <w:rsid w:val="00203EED"/>
    <w:rsid w:val="0020407D"/>
    <w:rsid w:val="002048E5"/>
    <w:rsid w:val="00204902"/>
    <w:rsid w:val="00205930"/>
    <w:rsid w:val="00206439"/>
    <w:rsid w:val="00206457"/>
    <w:rsid w:val="00206A85"/>
    <w:rsid w:val="00206B8C"/>
    <w:rsid w:val="00206B91"/>
    <w:rsid w:val="00206F96"/>
    <w:rsid w:val="00207716"/>
    <w:rsid w:val="00210012"/>
    <w:rsid w:val="002102F3"/>
    <w:rsid w:val="002103DD"/>
    <w:rsid w:val="00210665"/>
    <w:rsid w:val="00210AFF"/>
    <w:rsid w:val="00210E29"/>
    <w:rsid w:val="002116E1"/>
    <w:rsid w:val="00211AEA"/>
    <w:rsid w:val="00211DBE"/>
    <w:rsid w:val="00211E03"/>
    <w:rsid w:val="00211E9E"/>
    <w:rsid w:val="0021206E"/>
    <w:rsid w:val="002122ED"/>
    <w:rsid w:val="002129BF"/>
    <w:rsid w:val="00212C2D"/>
    <w:rsid w:val="002136A6"/>
    <w:rsid w:val="00213AAA"/>
    <w:rsid w:val="0021490D"/>
    <w:rsid w:val="00214A82"/>
    <w:rsid w:val="00214C79"/>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B6"/>
    <w:rsid w:val="00217568"/>
    <w:rsid w:val="00217608"/>
    <w:rsid w:val="002176E7"/>
    <w:rsid w:val="00217798"/>
    <w:rsid w:val="00217885"/>
    <w:rsid w:val="002178E0"/>
    <w:rsid w:val="00217AF0"/>
    <w:rsid w:val="00217B22"/>
    <w:rsid w:val="00217C37"/>
    <w:rsid w:val="00217D57"/>
    <w:rsid w:val="00217E5F"/>
    <w:rsid w:val="00220199"/>
    <w:rsid w:val="00221008"/>
    <w:rsid w:val="00221168"/>
    <w:rsid w:val="00221460"/>
    <w:rsid w:val="00221936"/>
    <w:rsid w:val="002222EC"/>
    <w:rsid w:val="00222562"/>
    <w:rsid w:val="00222611"/>
    <w:rsid w:val="0022269C"/>
    <w:rsid w:val="00222C18"/>
    <w:rsid w:val="00223048"/>
    <w:rsid w:val="002230B3"/>
    <w:rsid w:val="0022323F"/>
    <w:rsid w:val="00223499"/>
    <w:rsid w:val="00223525"/>
    <w:rsid w:val="00223BD2"/>
    <w:rsid w:val="002243B2"/>
    <w:rsid w:val="00224558"/>
    <w:rsid w:val="00224922"/>
    <w:rsid w:val="002250B5"/>
    <w:rsid w:val="00225968"/>
    <w:rsid w:val="00226AC8"/>
    <w:rsid w:val="00226B8B"/>
    <w:rsid w:val="00227007"/>
    <w:rsid w:val="00227831"/>
    <w:rsid w:val="00227D77"/>
    <w:rsid w:val="00227D9A"/>
    <w:rsid w:val="00227EE4"/>
    <w:rsid w:val="0023026E"/>
    <w:rsid w:val="002306DA"/>
    <w:rsid w:val="002308E6"/>
    <w:rsid w:val="00230AC9"/>
    <w:rsid w:val="00230ADF"/>
    <w:rsid w:val="00230D85"/>
    <w:rsid w:val="00230ED9"/>
    <w:rsid w:val="002313E1"/>
    <w:rsid w:val="0023181D"/>
    <w:rsid w:val="0023182B"/>
    <w:rsid w:val="00231D41"/>
    <w:rsid w:val="00232009"/>
    <w:rsid w:val="00232690"/>
    <w:rsid w:val="00232775"/>
    <w:rsid w:val="002328B4"/>
    <w:rsid w:val="00232CE9"/>
    <w:rsid w:val="00233281"/>
    <w:rsid w:val="00233467"/>
    <w:rsid w:val="002337E3"/>
    <w:rsid w:val="00233F46"/>
    <w:rsid w:val="002344C2"/>
    <w:rsid w:val="00234984"/>
    <w:rsid w:val="00234F01"/>
    <w:rsid w:val="002351A0"/>
    <w:rsid w:val="00235925"/>
    <w:rsid w:val="00235CCC"/>
    <w:rsid w:val="00235EEF"/>
    <w:rsid w:val="00236081"/>
    <w:rsid w:val="00236831"/>
    <w:rsid w:val="00236B8C"/>
    <w:rsid w:val="00236C64"/>
    <w:rsid w:val="00236D6E"/>
    <w:rsid w:val="00236DF8"/>
    <w:rsid w:val="00236F7D"/>
    <w:rsid w:val="0023700E"/>
    <w:rsid w:val="00237301"/>
    <w:rsid w:val="00237491"/>
    <w:rsid w:val="002375C3"/>
    <w:rsid w:val="00237742"/>
    <w:rsid w:val="002377CA"/>
    <w:rsid w:val="00237E30"/>
    <w:rsid w:val="002401AA"/>
    <w:rsid w:val="002403AB"/>
    <w:rsid w:val="00240540"/>
    <w:rsid w:val="002406C1"/>
    <w:rsid w:val="00240970"/>
    <w:rsid w:val="002413F9"/>
    <w:rsid w:val="002418C5"/>
    <w:rsid w:val="00241924"/>
    <w:rsid w:val="00241952"/>
    <w:rsid w:val="00241CE5"/>
    <w:rsid w:val="00242508"/>
    <w:rsid w:val="002428CD"/>
    <w:rsid w:val="00242E99"/>
    <w:rsid w:val="0024358F"/>
    <w:rsid w:val="002436C3"/>
    <w:rsid w:val="0024378C"/>
    <w:rsid w:val="00243B48"/>
    <w:rsid w:val="002442D2"/>
    <w:rsid w:val="002446F5"/>
    <w:rsid w:val="00244F54"/>
    <w:rsid w:val="002452CD"/>
    <w:rsid w:val="00245778"/>
    <w:rsid w:val="002459A7"/>
    <w:rsid w:val="00245CD4"/>
    <w:rsid w:val="002461A0"/>
    <w:rsid w:val="002461AE"/>
    <w:rsid w:val="00246381"/>
    <w:rsid w:val="0024647E"/>
    <w:rsid w:val="00246488"/>
    <w:rsid w:val="002464D6"/>
    <w:rsid w:val="00246D42"/>
    <w:rsid w:val="002474BB"/>
    <w:rsid w:val="00247547"/>
    <w:rsid w:val="0024757C"/>
    <w:rsid w:val="0024791E"/>
    <w:rsid w:val="00247DA9"/>
    <w:rsid w:val="00247EEF"/>
    <w:rsid w:val="00250008"/>
    <w:rsid w:val="00250197"/>
    <w:rsid w:val="00250199"/>
    <w:rsid w:val="00250BBC"/>
    <w:rsid w:val="0025166D"/>
    <w:rsid w:val="002517D6"/>
    <w:rsid w:val="00251857"/>
    <w:rsid w:val="00251CAD"/>
    <w:rsid w:val="00251CDB"/>
    <w:rsid w:val="00251F27"/>
    <w:rsid w:val="0025288D"/>
    <w:rsid w:val="0025295F"/>
    <w:rsid w:val="00252CAC"/>
    <w:rsid w:val="00252F03"/>
    <w:rsid w:val="00254068"/>
    <w:rsid w:val="00254132"/>
    <w:rsid w:val="0025437F"/>
    <w:rsid w:val="002543B7"/>
    <w:rsid w:val="002543E4"/>
    <w:rsid w:val="0025491D"/>
    <w:rsid w:val="00254C66"/>
    <w:rsid w:val="00254F01"/>
    <w:rsid w:val="00255EE8"/>
    <w:rsid w:val="00255FCE"/>
    <w:rsid w:val="00256194"/>
    <w:rsid w:val="002561EB"/>
    <w:rsid w:val="002562FC"/>
    <w:rsid w:val="0025655B"/>
    <w:rsid w:val="00256DF7"/>
    <w:rsid w:val="0025779A"/>
    <w:rsid w:val="0025779D"/>
    <w:rsid w:val="0026029A"/>
    <w:rsid w:val="00260D15"/>
    <w:rsid w:val="00260E67"/>
    <w:rsid w:val="00260F20"/>
    <w:rsid w:val="00261176"/>
    <w:rsid w:val="00261393"/>
    <w:rsid w:val="002613DB"/>
    <w:rsid w:val="002618A3"/>
    <w:rsid w:val="00262123"/>
    <w:rsid w:val="00262646"/>
    <w:rsid w:val="00262D2B"/>
    <w:rsid w:val="002636FF"/>
    <w:rsid w:val="002645DA"/>
    <w:rsid w:val="00264DF4"/>
    <w:rsid w:val="00264E7D"/>
    <w:rsid w:val="002657DE"/>
    <w:rsid w:val="002664C8"/>
    <w:rsid w:val="00266664"/>
    <w:rsid w:val="00266C14"/>
    <w:rsid w:val="00266FD1"/>
    <w:rsid w:val="00267219"/>
    <w:rsid w:val="002676F0"/>
    <w:rsid w:val="002678EF"/>
    <w:rsid w:val="00267C97"/>
    <w:rsid w:val="00270446"/>
    <w:rsid w:val="002709C0"/>
    <w:rsid w:val="00270D16"/>
    <w:rsid w:val="00270ED1"/>
    <w:rsid w:val="0027103B"/>
    <w:rsid w:val="0027108A"/>
    <w:rsid w:val="0027121E"/>
    <w:rsid w:val="00271908"/>
    <w:rsid w:val="002719B4"/>
    <w:rsid w:val="00271DA3"/>
    <w:rsid w:val="00272180"/>
    <w:rsid w:val="00272224"/>
    <w:rsid w:val="0027239D"/>
    <w:rsid w:val="00272821"/>
    <w:rsid w:val="00272AB6"/>
    <w:rsid w:val="00272F4D"/>
    <w:rsid w:val="0027343A"/>
    <w:rsid w:val="0027364E"/>
    <w:rsid w:val="00273CD5"/>
    <w:rsid w:val="00274631"/>
    <w:rsid w:val="00274945"/>
    <w:rsid w:val="00274BBF"/>
    <w:rsid w:val="0027520A"/>
    <w:rsid w:val="00275496"/>
    <w:rsid w:val="0027561D"/>
    <w:rsid w:val="0027585D"/>
    <w:rsid w:val="00275FB4"/>
    <w:rsid w:val="00276E24"/>
    <w:rsid w:val="002772ED"/>
    <w:rsid w:val="00277358"/>
    <w:rsid w:val="00277383"/>
    <w:rsid w:val="0027787A"/>
    <w:rsid w:val="00277E59"/>
    <w:rsid w:val="00277F37"/>
    <w:rsid w:val="00277FA6"/>
    <w:rsid w:val="002803B0"/>
    <w:rsid w:val="0028083E"/>
    <w:rsid w:val="002808C0"/>
    <w:rsid w:val="00280A17"/>
    <w:rsid w:val="00280F85"/>
    <w:rsid w:val="002810C1"/>
    <w:rsid w:val="0028153E"/>
    <w:rsid w:val="00281667"/>
    <w:rsid w:val="00281697"/>
    <w:rsid w:val="00281FAA"/>
    <w:rsid w:val="00281FDB"/>
    <w:rsid w:val="0028231C"/>
    <w:rsid w:val="002823E7"/>
    <w:rsid w:val="002824CF"/>
    <w:rsid w:val="002832D4"/>
    <w:rsid w:val="00283478"/>
    <w:rsid w:val="00283911"/>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B60"/>
    <w:rsid w:val="00285C95"/>
    <w:rsid w:val="00285D4D"/>
    <w:rsid w:val="00285DB7"/>
    <w:rsid w:val="0028600C"/>
    <w:rsid w:val="00286614"/>
    <w:rsid w:val="0028663B"/>
    <w:rsid w:val="002872FD"/>
    <w:rsid w:val="002873A1"/>
    <w:rsid w:val="00287719"/>
    <w:rsid w:val="00287779"/>
    <w:rsid w:val="002879F7"/>
    <w:rsid w:val="00287E8A"/>
    <w:rsid w:val="00290279"/>
    <w:rsid w:val="00290C6C"/>
    <w:rsid w:val="002910D9"/>
    <w:rsid w:val="00291C64"/>
    <w:rsid w:val="00291ECE"/>
    <w:rsid w:val="00292281"/>
    <w:rsid w:val="002922FD"/>
    <w:rsid w:val="002928CE"/>
    <w:rsid w:val="00292D97"/>
    <w:rsid w:val="00293126"/>
    <w:rsid w:val="002931D4"/>
    <w:rsid w:val="00293C95"/>
    <w:rsid w:val="00293CD8"/>
    <w:rsid w:val="002941AC"/>
    <w:rsid w:val="00294DEF"/>
    <w:rsid w:val="00295028"/>
    <w:rsid w:val="00295262"/>
    <w:rsid w:val="002955A7"/>
    <w:rsid w:val="002958D3"/>
    <w:rsid w:val="00295902"/>
    <w:rsid w:val="00295BB7"/>
    <w:rsid w:val="00295F1E"/>
    <w:rsid w:val="00295FEA"/>
    <w:rsid w:val="00296333"/>
    <w:rsid w:val="00296462"/>
    <w:rsid w:val="0029646F"/>
    <w:rsid w:val="00296630"/>
    <w:rsid w:val="00296802"/>
    <w:rsid w:val="002968A9"/>
    <w:rsid w:val="00296B5F"/>
    <w:rsid w:val="00296BAF"/>
    <w:rsid w:val="00296FDD"/>
    <w:rsid w:val="0029703E"/>
    <w:rsid w:val="002970D6"/>
    <w:rsid w:val="002970ED"/>
    <w:rsid w:val="00297669"/>
    <w:rsid w:val="00297711"/>
    <w:rsid w:val="00297BDD"/>
    <w:rsid w:val="00297D57"/>
    <w:rsid w:val="002A005D"/>
    <w:rsid w:val="002A0275"/>
    <w:rsid w:val="002A0481"/>
    <w:rsid w:val="002A0C6D"/>
    <w:rsid w:val="002A0DC3"/>
    <w:rsid w:val="002A113E"/>
    <w:rsid w:val="002A13AA"/>
    <w:rsid w:val="002A1658"/>
    <w:rsid w:val="002A1691"/>
    <w:rsid w:val="002A1C66"/>
    <w:rsid w:val="002A1C73"/>
    <w:rsid w:val="002A1FB4"/>
    <w:rsid w:val="002A2277"/>
    <w:rsid w:val="002A27A0"/>
    <w:rsid w:val="002A3751"/>
    <w:rsid w:val="002A38A0"/>
    <w:rsid w:val="002A3F2C"/>
    <w:rsid w:val="002A4093"/>
    <w:rsid w:val="002A4128"/>
    <w:rsid w:val="002A4668"/>
    <w:rsid w:val="002A48F7"/>
    <w:rsid w:val="002A4A88"/>
    <w:rsid w:val="002A5138"/>
    <w:rsid w:val="002A5147"/>
    <w:rsid w:val="002A552B"/>
    <w:rsid w:val="002A55E2"/>
    <w:rsid w:val="002A56EA"/>
    <w:rsid w:val="002A57FC"/>
    <w:rsid w:val="002A5875"/>
    <w:rsid w:val="002A59D9"/>
    <w:rsid w:val="002A6072"/>
    <w:rsid w:val="002A64C7"/>
    <w:rsid w:val="002A6761"/>
    <w:rsid w:val="002A6BD3"/>
    <w:rsid w:val="002A6DA7"/>
    <w:rsid w:val="002A72AF"/>
    <w:rsid w:val="002A72DE"/>
    <w:rsid w:val="002A75FA"/>
    <w:rsid w:val="002A7722"/>
    <w:rsid w:val="002A77F9"/>
    <w:rsid w:val="002A7C62"/>
    <w:rsid w:val="002A7FD3"/>
    <w:rsid w:val="002B0125"/>
    <w:rsid w:val="002B0131"/>
    <w:rsid w:val="002B0601"/>
    <w:rsid w:val="002B0C0C"/>
    <w:rsid w:val="002B0D66"/>
    <w:rsid w:val="002B10C1"/>
    <w:rsid w:val="002B10D7"/>
    <w:rsid w:val="002B1B71"/>
    <w:rsid w:val="002B1C28"/>
    <w:rsid w:val="002B1D1D"/>
    <w:rsid w:val="002B2009"/>
    <w:rsid w:val="002B20ED"/>
    <w:rsid w:val="002B23C6"/>
    <w:rsid w:val="002B2526"/>
    <w:rsid w:val="002B28AE"/>
    <w:rsid w:val="002B2EDF"/>
    <w:rsid w:val="002B2FC0"/>
    <w:rsid w:val="002B2FD5"/>
    <w:rsid w:val="002B30EB"/>
    <w:rsid w:val="002B31A3"/>
    <w:rsid w:val="002B336E"/>
    <w:rsid w:val="002B34B2"/>
    <w:rsid w:val="002B38F1"/>
    <w:rsid w:val="002B3C01"/>
    <w:rsid w:val="002B3D58"/>
    <w:rsid w:val="002B435F"/>
    <w:rsid w:val="002B43A2"/>
    <w:rsid w:val="002B43C9"/>
    <w:rsid w:val="002B5110"/>
    <w:rsid w:val="002B51FD"/>
    <w:rsid w:val="002B5479"/>
    <w:rsid w:val="002B5C09"/>
    <w:rsid w:val="002B602B"/>
    <w:rsid w:val="002B64DB"/>
    <w:rsid w:val="002B65CC"/>
    <w:rsid w:val="002B6B56"/>
    <w:rsid w:val="002B6C12"/>
    <w:rsid w:val="002B72BD"/>
    <w:rsid w:val="002B7E68"/>
    <w:rsid w:val="002B7FAB"/>
    <w:rsid w:val="002C002D"/>
    <w:rsid w:val="002C0146"/>
    <w:rsid w:val="002C029E"/>
    <w:rsid w:val="002C02C7"/>
    <w:rsid w:val="002C0380"/>
    <w:rsid w:val="002C077D"/>
    <w:rsid w:val="002C0931"/>
    <w:rsid w:val="002C10CE"/>
    <w:rsid w:val="002C1246"/>
    <w:rsid w:val="002C1393"/>
    <w:rsid w:val="002C179E"/>
    <w:rsid w:val="002C1B55"/>
    <w:rsid w:val="002C1C98"/>
    <w:rsid w:val="002C1CAA"/>
    <w:rsid w:val="002C1ED9"/>
    <w:rsid w:val="002C2AC0"/>
    <w:rsid w:val="002C362D"/>
    <w:rsid w:val="002C3BCC"/>
    <w:rsid w:val="002C420F"/>
    <w:rsid w:val="002C426A"/>
    <w:rsid w:val="002C47BE"/>
    <w:rsid w:val="002C48CD"/>
    <w:rsid w:val="002C4ACD"/>
    <w:rsid w:val="002C51FF"/>
    <w:rsid w:val="002C5267"/>
    <w:rsid w:val="002C5815"/>
    <w:rsid w:val="002C5863"/>
    <w:rsid w:val="002C5BCB"/>
    <w:rsid w:val="002C5C27"/>
    <w:rsid w:val="002C5EC5"/>
    <w:rsid w:val="002C6327"/>
    <w:rsid w:val="002C656E"/>
    <w:rsid w:val="002C686F"/>
    <w:rsid w:val="002C6B91"/>
    <w:rsid w:val="002C6BA2"/>
    <w:rsid w:val="002C6CA2"/>
    <w:rsid w:val="002C6F2A"/>
    <w:rsid w:val="002C70B9"/>
    <w:rsid w:val="002C716C"/>
    <w:rsid w:val="002C78F7"/>
    <w:rsid w:val="002C7C1C"/>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F9B"/>
    <w:rsid w:val="002D3267"/>
    <w:rsid w:val="002D33E0"/>
    <w:rsid w:val="002D3400"/>
    <w:rsid w:val="002D3674"/>
    <w:rsid w:val="002D4119"/>
    <w:rsid w:val="002D424E"/>
    <w:rsid w:val="002D432D"/>
    <w:rsid w:val="002D46E3"/>
    <w:rsid w:val="002D4FCA"/>
    <w:rsid w:val="002D53FA"/>
    <w:rsid w:val="002D5439"/>
    <w:rsid w:val="002D5710"/>
    <w:rsid w:val="002D57DD"/>
    <w:rsid w:val="002D582F"/>
    <w:rsid w:val="002D5B8B"/>
    <w:rsid w:val="002D5BE6"/>
    <w:rsid w:val="002D655C"/>
    <w:rsid w:val="002D69C3"/>
    <w:rsid w:val="002D6EB1"/>
    <w:rsid w:val="002D7226"/>
    <w:rsid w:val="002D779F"/>
    <w:rsid w:val="002D77A7"/>
    <w:rsid w:val="002D7C5E"/>
    <w:rsid w:val="002E070D"/>
    <w:rsid w:val="002E073E"/>
    <w:rsid w:val="002E0DCF"/>
    <w:rsid w:val="002E1352"/>
    <w:rsid w:val="002E1417"/>
    <w:rsid w:val="002E1873"/>
    <w:rsid w:val="002E23E2"/>
    <w:rsid w:val="002E2774"/>
    <w:rsid w:val="002E27E7"/>
    <w:rsid w:val="002E29CE"/>
    <w:rsid w:val="002E2B15"/>
    <w:rsid w:val="002E30EE"/>
    <w:rsid w:val="002E3651"/>
    <w:rsid w:val="002E367B"/>
    <w:rsid w:val="002E3ABC"/>
    <w:rsid w:val="002E3C3A"/>
    <w:rsid w:val="002E43EB"/>
    <w:rsid w:val="002E44A8"/>
    <w:rsid w:val="002E4627"/>
    <w:rsid w:val="002E4B6E"/>
    <w:rsid w:val="002E4E4E"/>
    <w:rsid w:val="002E5146"/>
    <w:rsid w:val="002E5748"/>
    <w:rsid w:val="002E57CF"/>
    <w:rsid w:val="002E595A"/>
    <w:rsid w:val="002E5991"/>
    <w:rsid w:val="002E5CE7"/>
    <w:rsid w:val="002E64B4"/>
    <w:rsid w:val="002E64FC"/>
    <w:rsid w:val="002E6A10"/>
    <w:rsid w:val="002E701E"/>
    <w:rsid w:val="002E7020"/>
    <w:rsid w:val="002E73C6"/>
    <w:rsid w:val="002E7CC8"/>
    <w:rsid w:val="002F0135"/>
    <w:rsid w:val="002F0446"/>
    <w:rsid w:val="002F0A87"/>
    <w:rsid w:val="002F0EA1"/>
    <w:rsid w:val="002F1B8C"/>
    <w:rsid w:val="002F2242"/>
    <w:rsid w:val="002F244C"/>
    <w:rsid w:val="002F24CE"/>
    <w:rsid w:val="002F24D8"/>
    <w:rsid w:val="002F27FC"/>
    <w:rsid w:val="002F299B"/>
    <w:rsid w:val="002F2A3F"/>
    <w:rsid w:val="002F2C51"/>
    <w:rsid w:val="002F3890"/>
    <w:rsid w:val="002F398F"/>
    <w:rsid w:val="002F3B20"/>
    <w:rsid w:val="002F4ABE"/>
    <w:rsid w:val="002F4AE9"/>
    <w:rsid w:val="002F51E1"/>
    <w:rsid w:val="002F561B"/>
    <w:rsid w:val="002F5B3D"/>
    <w:rsid w:val="002F697E"/>
    <w:rsid w:val="002F6A2E"/>
    <w:rsid w:val="002F6B4E"/>
    <w:rsid w:val="002F73AB"/>
    <w:rsid w:val="002F73AD"/>
    <w:rsid w:val="00300059"/>
    <w:rsid w:val="00300393"/>
    <w:rsid w:val="00300520"/>
    <w:rsid w:val="00300AE4"/>
    <w:rsid w:val="00300C62"/>
    <w:rsid w:val="00301756"/>
    <w:rsid w:val="0030185F"/>
    <w:rsid w:val="00302229"/>
    <w:rsid w:val="00302636"/>
    <w:rsid w:val="0030267A"/>
    <w:rsid w:val="00302715"/>
    <w:rsid w:val="003027F3"/>
    <w:rsid w:val="00302957"/>
    <w:rsid w:val="00302C9E"/>
    <w:rsid w:val="003034DA"/>
    <w:rsid w:val="0030355A"/>
    <w:rsid w:val="00303866"/>
    <w:rsid w:val="00303C91"/>
    <w:rsid w:val="00303CC6"/>
    <w:rsid w:val="00303CF1"/>
    <w:rsid w:val="0030453B"/>
    <w:rsid w:val="00304577"/>
    <w:rsid w:val="00304656"/>
    <w:rsid w:val="003048BD"/>
    <w:rsid w:val="00304ABA"/>
    <w:rsid w:val="00304D42"/>
    <w:rsid w:val="0030564B"/>
    <w:rsid w:val="00305A04"/>
    <w:rsid w:val="00305AD9"/>
    <w:rsid w:val="00305F70"/>
    <w:rsid w:val="00306548"/>
    <w:rsid w:val="00306641"/>
    <w:rsid w:val="003069A8"/>
    <w:rsid w:val="0030711A"/>
    <w:rsid w:val="003073A2"/>
    <w:rsid w:val="003078C4"/>
    <w:rsid w:val="00307E91"/>
    <w:rsid w:val="003102EC"/>
    <w:rsid w:val="00310786"/>
    <w:rsid w:val="003111E6"/>
    <w:rsid w:val="00311634"/>
    <w:rsid w:val="003117DF"/>
    <w:rsid w:val="00311D65"/>
    <w:rsid w:val="0031223E"/>
    <w:rsid w:val="00312ECF"/>
    <w:rsid w:val="00313BDB"/>
    <w:rsid w:val="00314148"/>
    <w:rsid w:val="00314615"/>
    <w:rsid w:val="00314648"/>
    <w:rsid w:val="0031470E"/>
    <w:rsid w:val="00314B94"/>
    <w:rsid w:val="00314FDC"/>
    <w:rsid w:val="0031590F"/>
    <w:rsid w:val="00315B98"/>
    <w:rsid w:val="00315BBF"/>
    <w:rsid w:val="003161A6"/>
    <w:rsid w:val="00316376"/>
    <w:rsid w:val="003163DD"/>
    <w:rsid w:val="00316455"/>
    <w:rsid w:val="003168F4"/>
    <w:rsid w:val="00316FBB"/>
    <w:rsid w:val="00317A0A"/>
    <w:rsid w:val="00317AB1"/>
    <w:rsid w:val="00317AE6"/>
    <w:rsid w:val="00317CEC"/>
    <w:rsid w:val="0032048A"/>
    <w:rsid w:val="003206E0"/>
    <w:rsid w:val="003209CB"/>
    <w:rsid w:val="00320BAD"/>
    <w:rsid w:val="00320D0B"/>
    <w:rsid w:val="00320FE8"/>
    <w:rsid w:val="0032121F"/>
    <w:rsid w:val="00321788"/>
    <w:rsid w:val="00321BE4"/>
    <w:rsid w:val="00321BE7"/>
    <w:rsid w:val="00322892"/>
    <w:rsid w:val="0032292D"/>
    <w:rsid w:val="0032298C"/>
    <w:rsid w:val="003236F6"/>
    <w:rsid w:val="003237A6"/>
    <w:rsid w:val="0032395B"/>
    <w:rsid w:val="00323C16"/>
    <w:rsid w:val="00323C42"/>
    <w:rsid w:val="00323E89"/>
    <w:rsid w:val="00324107"/>
    <w:rsid w:val="003242EB"/>
    <w:rsid w:val="00324521"/>
    <w:rsid w:val="003247C9"/>
    <w:rsid w:val="00324E8B"/>
    <w:rsid w:val="00325027"/>
    <w:rsid w:val="0032527A"/>
    <w:rsid w:val="00325376"/>
    <w:rsid w:val="003253C8"/>
    <w:rsid w:val="00325C4E"/>
    <w:rsid w:val="00325D50"/>
    <w:rsid w:val="00325E0B"/>
    <w:rsid w:val="00325E3B"/>
    <w:rsid w:val="00326A49"/>
    <w:rsid w:val="00326BEA"/>
    <w:rsid w:val="00326D45"/>
    <w:rsid w:val="0032718E"/>
    <w:rsid w:val="003271F0"/>
    <w:rsid w:val="00327D5E"/>
    <w:rsid w:val="003304C7"/>
    <w:rsid w:val="00330516"/>
    <w:rsid w:val="00330519"/>
    <w:rsid w:val="003309C5"/>
    <w:rsid w:val="00330CB0"/>
    <w:rsid w:val="003316AF"/>
    <w:rsid w:val="00331E19"/>
    <w:rsid w:val="00332332"/>
    <w:rsid w:val="0033241E"/>
    <w:rsid w:val="003324DE"/>
    <w:rsid w:val="003326CC"/>
    <w:rsid w:val="003327C5"/>
    <w:rsid w:val="003328E3"/>
    <w:rsid w:val="00332D03"/>
    <w:rsid w:val="0033305D"/>
    <w:rsid w:val="003339B9"/>
    <w:rsid w:val="00333F11"/>
    <w:rsid w:val="0033402E"/>
    <w:rsid w:val="0033461F"/>
    <w:rsid w:val="003349B3"/>
    <w:rsid w:val="00334CFD"/>
    <w:rsid w:val="00334E1E"/>
    <w:rsid w:val="00335004"/>
    <w:rsid w:val="0033521F"/>
    <w:rsid w:val="00335FB8"/>
    <w:rsid w:val="00336166"/>
    <w:rsid w:val="003361B1"/>
    <w:rsid w:val="00336D3F"/>
    <w:rsid w:val="00336E33"/>
    <w:rsid w:val="00336EBB"/>
    <w:rsid w:val="0033762D"/>
    <w:rsid w:val="003379BA"/>
    <w:rsid w:val="00337EEC"/>
    <w:rsid w:val="003402BF"/>
    <w:rsid w:val="00340303"/>
    <w:rsid w:val="0034038D"/>
    <w:rsid w:val="0034089C"/>
    <w:rsid w:val="00340BEA"/>
    <w:rsid w:val="00340F89"/>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407"/>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50390"/>
    <w:rsid w:val="003508FF"/>
    <w:rsid w:val="00350B83"/>
    <w:rsid w:val="00350E61"/>
    <w:rsid w:val="003512E5"/>
    <w:rsid w:val="0035147C"/>
    <w:rsid w:val="00351B63"/>
    <w:rsid w:val="00352144"/>
    <w:rsid w:val="003523AB"/>
    <w:rsid w:val="00352581"/>
    <w:rsid w:val="00352EA7"/>
    <w:rsid w:val="00353DAF"/>
    <w:rsid w:val="00353F10"/>
    <w:rsid w:val="0035474A"/>
    <w:rsid w:val="00354CC4"/>
    <w:rsid w:val="00354D0C"/>
    <w:rsid w:val="00354DAE"/>
    <w:rsid w:val="00355241"/>
    <w:rsid w:val="0035528E"/>
    <w:rsid w:val="0035578E"/>
    <w:rsid w:val="00355825"/>
    <w:rsid w:val="00355A16"/>
    <w:rsid w:val="00355B51"/>
    <w:rsid w:val="00356626"/>
    <w:rsid w:val="00357023"/>
    <w:rsid w:val="003574E3"/>
    <w:rsid w:val="003575E6"/>
    <w:rsid w:val="00357E81"/>
    <w:rsid w:val="0036014A"/>
    <w:rsid w:val="00360153"/>
    <w:rsid w:val="00360316"/>
    <w:rsid w:val="00360AE9"/>
    <w:rsid w:val="00360F70"/>
    <w:rsid w:val="003610ED"/>
    <w:rsid w:val="00361DC0"/>
    <w:rsid w:val="00361F12"/>
    <w:rsid w:val="00362096"/>
    <w:rsid w:val="003620D8"/>
    <w:rsid w:val="00362421"/>
    <w:rsid w:val="00362C25"/>
    <w:rsid w:val="003630CC"/>
    <w:rsid w:val="0036312D"/>
    <w:rsid w:val="003634C1"/>
    <w:rsid w:val="00363BA7"/>
    <w:rsid w:val="0036427D"/>
    <w:rsid w:val="00364389"/>
    <w:rsid w:val="00364875"/>
    <w:rsid w:val="00364C1A"/>
    <w:rsid w:val="00365813"/>
    <w:rsid w:val="00365B22"/>
    <w:rsid w:val="00365B95"/>
    <w:rsid w:val="003661C5"/>
    <w:rsid w:val="003662E5"/>
    <w:rsid w:val="00366665"/>
    <w:rsid w:val="003666DC"/>
    <w:rsid w:val="00366B6A"/>
    <w:rsid w:val="00366D64"/>
    <w:rsid w:val="00367233"/>
    <w:rsid w:val="0036771C"/>
    <w:rsid w:val="0036792E"/>
    <w:rsid w:val="00367A5E"/>
    <w:rsid w:val="00367B65"/>
    <w:rsid w:val="00367BB1"/>
    <w:rsid w:val="00367D24"/>
    <w:rsid w:val="00367F31"/>
    <w:rsid w:val="0037050D"/>
    <w:rsid w:val="003709D5"/>
    <w:rsid w:val="00370AA8"/>
    <w:rsid w:val="00370AE9"/>
    <w:rsid w:val="00370C38"/>
    <w:rsid w:val="00371254"/>
    <w:rsid w:val="003713AE"/>
    <w:rsid w:val="0037190B"/>
    <w:rsid w:val="0037198B"/>
    <w:rsid w:val="003719D1"/>
    <w:rsid w:val="0037277E"/>
    <w:rsid w:val="0037294B"/>
    <w:rsid w:val="003729AD"/>
    <w:rsid w:val="00372E11"/>
    <w:rsid w:val="00372FAB"/>
    <w:rsid w:val="0037308D"/>
    <w:rsid w:val="003730B9"/>
    <w:rsid w:val="00373885"/>
    <w:rsid w:val="00373ABC"/>
    <w:rsid w:val="00373EB0"/>
    <w:rsid w:val="00374017"/>
    <w:rsid w:val="0037428A"/>
    <w:rsid w:val="003745F4"/>
    <w:rsid w:val="00374661"/>
    <w:rsid w:val="00374992"/>
    <w:rsid w:val="00374E6B"/>
    <w:rsid w:val="00375091"/>
    <w:rsid w:val="00375D55"/>
    <w:rsid w:val="00375FF5"/>
    <w:rsid w:val="0037627E"/>
    <w:rsid w:val="003762D9"/>
    <w:rsid w:val="003765F0"/>
    <w:rsid w:val="00376A21"/>
    <w:rsid w:val="00376DA8"/>
    <w:rsid w:val="003770B5"/>
    <w:rsid w:val="003771CB"/>
    <w:rsid w:val="0037766D"/>
    <w:rsid w:val="00377B1E"/>
    <w:rsid w:val="00377BFB"/>
    <w:rsid w:val="00377DA9"/>
    <w:rsid w:val="0038016B"/>
    <w:rsid w:val="0038022C"/>
    <w:rsid w:val="00380683"/>
    <w:rsid w:val="003809C8"/>
    <w:rsid w:val="00380F9F"/>
    <w:rsid w:val="00381607"/>
    <w:rsid w:val="00381643"/>
    <w:rsid w:val="003818C6"/>
    <w:rsid w:val="0038195D"/>
    <w:rsid w:val="003823AC"/>
    <w:rsid w:val="00382698"/>
    <w:rsid w:val="003826DB"/>
    <w:rsid w:val="00382762"/>
    <w:rsid w:val="00382979"/>
    <w:rsid w:val="00382D32"/>
    <w:rsid w:val="00382E6A"/>
    <w:rsid w:val="00382F7E"/>
    <w:rsid w:val="00383059"/>
    <w:rsid w:val="003834DF"/>
    <w:rsid w:val="00383A8F"/>
    <w:rsid w:val="00383C0F"/>
    <w:rsid w:val="00383CAB"/>
    <w:rsid w:val="00383D55"/>
    <w:rsid w:val="00383E25"/>
    <w:rsid w:val="00384120"/>
    <w:rsid w:val="0038419E"/>
    <w:rsid w:val="00384865"/>
    <w:rsid w:val="0038496D"/>
    <w:rsid w:val="00384C56"/>
    <w:rsid w:val="00384CE5"/>
    <w:rsid w:val="003857F4"/>
    <w:rsid w:val="00385BC6"/>
    <w:rsid w:val="00385EF9"/>
    <w:rsid w:val="00386415"/>
    <w:rsid w:val="003865C8"/>
    <w:rsid w:val="00386C60"/>
    <w:rsid w:val="00386D01"/>
    <w:rsid w:val="00387529"/>
    <w:rsid w:val="0039035E"/>
    <w:rsid w:val="003903F6"/>
    <w:rsid w:val="00390620"/>
    <w:rsid w:val="0039065B"/>
    <w:rsid w:val="00390732"/>
    <w:rsid w:val="00390AEA"/>
    <w:rsid w:val="0039104A"/>
    <w:rsid w:val="0039143C"/>
    <w:rsid w:val="0039174F"/>
    <w:rsid w:val="0039199B"/>
    <w:rsid w:val="00391CBB"/>
    <w:rsid w:val="003921FB"/>
    <w:rsid w:val="00392300"/>
    <w:rsid w:val="0039255E"/>
    <w:rsid w:val="00392796"/>
    <w:rsid w:val="00392C21"/>
    <w:rsid w:val="00393210"/>
    <w:rsid w:val="0039331E"/>
    <w:rsid w:val="00393882"/>
    <w:rsid w:val="003946D6"/>
    <w:rsid w:val="0039479A"/>
    <w:rsid w:val="00394B90"/>
    <w:rsid w:val="0039578A"/>
    <w:rsid w:val="00395D20"/>
    <w:rsid w:val="00395D28"/>
    <w:rsid w:val="003962B1"/>
    <w:rsid w:val="003962EA"/>
    <w:rsid w:val="00396F81"/>
    <w:rsid w:val="003972DA"/>
    <w:rsid w:val="0039753D"/>
    <w:rsid w:val="003976A2"/>
    <w:rsid w:val="003978EB"/>
    <w:rsid w:val="00397951"/>
    <w:rsid w:val="00397BEA"/>
    <w:rsid w:val="003A073D"/>
    <w:rsid w:val="003A0CDC"/>
    <w:rsid w:val="003A0D57"/>
    <w:rsid w:val="003A0E08"/>
    <w:rsid w:val="003A1183"/>
    <w:rsid w:val="003A120F"/>
    <w:rsid w:val="003A1A56"/>
    <w:rsid w:val="003A1ED5"/>
    <w:rsid w:val="003A25AD"/>
    <w:rsid w:val="003A26E3"/>
    <w:rsid w:val="003A2CE5"/>
    <w:rsid w:val="003A2F62"/>
    <w:rsid w:val="003A2F68"/>
    <w:rsid w:val="003A33D8"/>
    <w:rsid w:val="003A3782"/>
    <w:rsid w:val="003A37C9"/>
    <w:rsid w:val="003A39AA"/>
    <w:rsid w:val="003A3C8A"/>
    <w:rsid w:val="003A3F32"/>
    <w:rsid w:val="003A40BC"/>
    <w:rsid w:val="003A4BD5"/>
    <w:rsid w:val="003A4BE5"/>
    <w:rsid w:val="003A4F03"/>
    <w:rsid w:val="003A4FAF"/>
    <w:rsid w:val="003A4FDF"/>
    <w:rsid w:val="003A5141"/>
    <w:rsid w:val="003A5689"/>
    <w:rsid w:val="003A56A2"/>
    <w:rsid w:val="003A5C11"/>
    <w:rsid w:val="003A6049"/>
    <w:rsid w:val="003A6B12"/>
    <w:rsid w:val="003A6D26"/>
    <w:rsid w:val="003A6E2C"/>
    <w:rsid w:val="003A715A"/>
    <w:rsid w:val="003A7594"/>
    <w:rsid w:val="003A7659"/>
    <w:rsid w:val="003A7B3A"/>
    <w:rsid w:val="003A7D64"/>
    <w:rsid w:val="003B0061"/>
    <w:rsid w:val="003B014D"/>
    <w:rsid w:val="003B0537"/>
    <w:rsid w:val="003B0D57"/>
    <w:rsid w:val="003B0E1F"/>
    <w:rsid w:val="003B169B"/>
    <w:rsid w:val="003B1A50"/>
    <w:rsid w:val="003B23DC"/>
    <w:rsid w:val="003B2A0B"/>
    <w:rsid w:val="003B2C6B"/>
    <w:rsid w:val="003B2E04"/>
    <w:rsid w:val="003B2FCA"/>
    <w:rsid w:val="003B36CB"/>
    <w:rsid w:val="003B37EE"/>
    <w:rsid w:val="003B3A4F"/>
    <w:rsid w:val="003B3C7C"/>
    <w:rsid w:val="003B3DE4"/>
    <w:rsid w:val="003B3F00"/>
    <w:rsid w:val="003B442D"/>
    <w:rsid w:val="003B45F2"/>
    <w:rsid w:val="003B4BAE"/>
    <w:rsid w:val="003B4DE1"/>
    <w:rsid w:val="003B4F0F"/>
    <w:rsid w:val="003B4F75"/>
    <w:rsid w:val="003B5210"/>
    <w:rsid w:val="003B5364"/>
    <w:rsid w:val="003B5410"/>
    <w:rsid w:val="003B55B3"/>
    <w:rsid w:val="003B56ED"/>
    <w:rsid w:val="003B5A9C"/>
    <w:rsid w:val="003B5BC4"/>
    <w:rsid w:val="003B5E5E"/>
    <w:rsid w:val="003B5F5B"/>
    <w:rsid w:val="003B60A5"/>
    <w:rsid w:val="003B61F9"/>
    <w:rsid w:val="003B6275"/>
    <w:rsid w:val="003B6519"/>
    <w:rsid w:val="003B6568"/>
    <w:rsid w:val="003B6AC6"/>
    <w:rsid w:val="003B755C"/>
    <w:rsid w:val="003B7E25"/>
    <w:rsid w:val="003B7E49"/>
    <w:rsid w:val="003B7ECB"/>
    <w:rsid w:val="003C010A"/>
    <w:rsid w:val="003C0C11"/>
    <w:rsid w:val="003C1038"/>
    <w:rsid w:val="003C12D1"/>
    <w:rsid w:val="003C12E3"/>
    <w:rsid w:val="003C1324"/>
    <w:rsid w:val="003C2148"/>
    <w:rsid w:val="003C2320"/>
    <w:rsid w:val="003C236F"/>
    <w:rsid w:val="003C27A5"/>
    <w:rsid w:val="003C2A9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B98"/>
    <w:rsid w:val="003C4C7E"/>
    <w:rsid w:val="003C4FFE"/>
    <w:rsid w:val="003C5049"/>
    <w:rsid w:val="003C558A"/>
    <w:rsid w:val="003C55C6"/>
    <w:rsid w:val="003C55E3"/>
    <w:rsid w:val="003C5C3F"/>
    <w:rsid w:val="003C5E38"/>
    <w:rsid w:val="003C60BF"/>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87"/>
    <w:rsid w:val="003C7FC2"/>
    <w:rsid w:val="003D000D"/>
    <w:rsid w:val="003D006D"/>
    <w:rsid w:val="003D033A"/>
    <w:rsid w:val="003D051B"/>
    <w:rsid w:val="003D0A61"/>
    <w:rsid w:val="003D0FB8"/>
    <w:rsid w:val="003D1616"/>
    <w:rsid w:val="003D16EF"/>
    <w:rsid w:val="003D2023"/>
    <w:rsid w:val="003D21E7"/>
    <w:rsid w:val="003D23FD"/>
    <w:rsid w:val="003D2477"/>
    <w:rsid w:val="003D2826"/>
    <w:rsid w:val="003D2915"/>
    <w:rsid w:val="003D298E"/>
    <w:rsid w:val="003D2E40"/>
    <w:rsid w:val="003D2ECA"/>
    <w:rsid w:val="003D3467"/>
    <w:rsid w:val="003D3668"/>
    <w:rsid w:val="003D3A89"/>
    <w:rsid w:val="003D3AF3"/>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97D"/>
    <w:rsid w:val="003E0FBF"/>
    <w:rsid w:val="003E10D0"/>
    <w:rsid w:val="003E1131"/>
    <w:rsid w:val="003E137F"/>
    <w:rsid w:val="003E14C9"/>
    <w:rsid w:val="003E18C3"/>
    <w:rsid w:val="003E26ED"/>
    <w:rsid w:val="003E2A10"/>
    <w:rsid w:val="003E2D28"/>
    <w:rsid w:val="003E2FF0"/>
    <w:rsid w:val="003E337B"/>
    <w:rsid w:val="003E3AB7"/>
    <w:rsid w:val="003E4923"/>
    <w:rsid w:val="003E4D74"/>
    <w:rsid w:val="003E4E6D"/>
    <w:rsid w:val="003E51A4"/>
    <w:rsid w:val="003E5319"/>
    <w:rsid w:val="003E58C2"/>
    <w:rsid w:val="003E5916"/>
    <w:rsid w:val="003E5A76"/>
    <w:rsid w:val="003E6376"/>
    <w:rsid w:val="003E6687"/>
    <w:rsid w:val="003E6B27"/>
    <w:rsid w:val="003E6B9D"/>
    <w:rsid w:val="003E72B1"/>
    <w:rsid w:val="003E764F"/>
    <w:rsid w:val="003E77CF"/>
    <w:rsid w:val="003E7A12"/>
    <w:rsid w:val="003E7AC5"/>
    <w:rsid w:val="003E7DC6"/>
    <w:rsid w:val="003F00DF"/>
    <w:rsid w:val="003F02CB"/>
    <w:rsid w:val="003F0522"/>
    <w:rsid w:val="003F0FD9"/>
    <w:rsid w:val="003F12EC"/>
    <w:rsid w:val="003F14FD"/>
    <w:rsid w:val="003F172A"/>
    <w:rsid w:val="003F1C3D"/>
    <w:rsid w:val="003F1FDA"/>
    <w:rsid w:val="003F23C6"/>
    <w:rsid w:val="003F23D3"/>
    <w:rsid w:val="003F25E9"/>
    <w:rsid w:val="003F2602"/>
    <w:rsid w:val="003F2678"/>
    <w:rsid w:val="003F2797"/>
    <w:rsid w:val="003F2BDA"/>
    <w:rsid w:val="003F2FAE"/>
    <w:rsid w:val="003F33C3"/>
    <w:rsid w:val="003F37AB"/>
    <w:rsid w:val="003F387F"/>
    <w:rsid w:val="003F3ABA"/>
    <w:rsid w:val="003F3E96"/>
    <w:rsid w:val="003F452D"/>
    <w:rsid w:val="003F45D6"/>
    <w:rsid w:val="003F4BFE"/>
    <w:rsid w:val="003F4F25"/>
    <w:rsid w:val="003F52EF"/>
    <w:rsid w:val="003F5BE6"/>
    <w:rsid w:val="003F60FD"/>
    <w:rsid w:val="003F6D16"/>
    <w:rsid w:val="003F6D25"/>
    <w:rsid w:val="003F6F5A"/>
    <w:rsid w:val="003F7603"/>
    <w:rsid w:val="003F788F"/>
    <w:rsid w:val="003F797D"/>
    <w:rsid w:val="003F7A45"/>
    <w:rsid w:val="0040000C"/>
    <w:rsid w:val="004001E8"/>
    <w:rsid w:val="00400302"/>
    <w:rsid w:val="004009D9"/>
    <w:rsid w:val="00400F52"/>
    <w:rsid w:val="00401764"/>
    <w:rsid w:val="0040189C"/>
    <w:rsid w:val="00401C21"/>
    <w:rsid w:val="0040247D"/>
    <w:rsid w:val="00402A89"/>
    <w:rsid w:val="00403293"/>
    <w:rsid w:val="0040338B"/>
    <w:rsid w:val="004035DD"/>
    <w:rsid w:val="004038B3"/>
    <w:rsid w:val="0040398A"/>
    <w:rsid w:val="00403CA0"/>
    <w:rsid w:val="00403CC8"/>
    <w:rsid w:val="00403E2F"/>
    <w:rsid w:val="00404BDC"/>
    <w:rsid w:val="00404D7B"/>
    <w:rsid w:val="00404E4D"/>
    <w:rsid w:val="00405871"/>
    <w:rsid w:val="00405CD9"/>
    <w:rsid w:val="0040653F"/>
    <w:rsid w:val="00406651"/>
    <w:rsid w:val="00406703"/>
    <w:rsid w:val="00406B25"/>
    <w:rsid w:val="00406BCD"/>
    <w:rsid w:val="0040736D"/>
    <w:rsid w:val="00407382"/>
    <w:rsid w:val="0040745B"/>
    <w:rsid w:val="0040758D"/>
    <w:rsid w:val="00407E97"/>
    <w:rsid w:val="00410065"/>
    <w:rsid w:val="00411FC4"/>
    <w:rsid w:val="0041234E"/>
    <w:rsid w:val="0041253D"/>
    <w:rsid w:val="00412813"/>
    <w:rsid w:val="004129C0"/>
    <w:rsid w:val="00412EE0"/>
    <w:rsid w:val="0041338E"/>
    <w:rsid w:val="004133C3"/>
    <w:rsid w:val="00413660"/>
    <w:rsid w:val="004137F1"/>
    <w:rsid w:val="0041384B"/>
    <w:rsid w:val="004138A4"/>
    <w:rsid w:val="00413FBB"/>
    <w:rsid w:val="00414055"/>
    <w:rsid w:val="004143E8"/>
    <w:rsid w:val="004144CF"/>
    <w:rsid w:val="0041463A"/>
    <w:rsid w:val="0041476E"/>
    <w:rsid w:val="00414823"/>
    <w:rsid w:val="004152CD"/>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816"/>
    <w:rsid w:val="00423B70"/>
    <w:rsid w:val="00423BE9"/>
    <w:rsid w:val="00423D75"/>
    <w:rsid w:val="0042453A"/>
    <w:rsid w:val="0042465E"/>
    <w:rsid w:val="00424683"/>
    <w:rsid w:val="004246C9"/>
    <w:rsid w:val="00424B98"/>
    <w:rsid w:val="00424B9C"/>
    <w:rsid w:val="00425006"/>
    <w:rsid w:val="004255E5"/>
    <w:rsid w:val="00425DEC"/>
    <w:rsid w:val="004263BC"/>
    <w:rsid w:val="004270FE"/>
    <w:rsid w:val="00427143"/>
    <w:rsid w:val="0042793F"/>
    <w:rsid w:val="00427D7C"/>
    <w:rsid w:val="00430378"/>
    <w:rsid w:val="00430858"/>
    <w:rsid w:val="00430BD9"/>
    <w:rsid w:val="0043106B"/>
    <w:rsid w:val="0043119A"/>
    <w:rsid w:val="004312B6"/>
    <w:rsid w:val="0043178A"/>
    <w:rsid w:val="004317C7"/>
    <w:rsid w:val="00431A22"/>
    <w:rsid w:val="0043230A"/>
    <w:rsid w:val="0043233C"/>
    <w:rsid w:val="00432422"/>
    <w:rsid w:val="004324FB"/>
    <w:rsid w:val="00432B97"/>
    <w:rsid w:val="004336E6"/>
    <w:rsid w:val="004337C6"/>
    <w:rsid w:val="0043393D"/>
    <w:rsid w:val="00433D25"/>
    <w:rsid w:val="00433D3E"/>
    <w:rsid w:val="00433F16"/>
    <w:rsid w:val="00434140"/>
    <w:rsid w:val="00434275"/>
    <w:rsid w:val="004346A9"/>
    <w:rsid w:val="00434904"/>
    <w:rsid w:val="00434B5B"/>
    <w:rsid w:val="00434B6E"/>
    <w:rsid w:val="00434EAB"/>
    <w:rsid w:val="00435761"/>
    <w:rsid w:val="00435AD6"/>
    <w:rsid w:val="004362B0"/>
    <w:rsid w:val="00436464"/>
    <w:rsid w:val="0043651B"/>
    <w:rsid w:val="004366F0"/>
    <w:rsid w:val="004367C1"/>
    <w:rsid w:val="00436EBA"/>
    <w:rsid w:val="00436F1D"/>
    <w:rsid w:val="00436F32"/>
    <w:rsid w:val="00436F50"/>
    <w:rsid w:val="004373A2"/>
    <w:rsid w:val="0043769C"/>
    <w:rsid w:val="004376DB"/>
    <w:rsid w:val="004376EE"/>
    <w:rsid w:val="00437764"/>
    <w:rsid w:val="00437925"/>
    <w:rsid w:val="00437AA7"/>
    <w:rsid w:val="00437ABF"/>
    <w:rsid w:val="00437E05"/>
    <w:rsid w:val="004403C9"/>
    <w:rsid w:val="00440608"/>
    <w:rsid w:val="004406EE"/>
    <w:rsid w:val="00440855"/>
    <w:rsid w:val="00440F2E"/>
    <w:rsid w:val="00441251"/>
    <w:rsid w:val="00441324"/>
    <w:rsid w:val="004413AD"/>
    <w:rsid w:val="004414B8"/>
    <w:rsid w:val="0044178A"/>
    <w:rsid w:val="004418A6"/>
    <w:rsid w:val="00441A2F"/>
    <w:rsid w:val="00441F70"/>
    <w:rsid w:val="004426B8"/>
    <w:rsid w:val="004428CE"/>
    <w:rsid w:val="00442EC7"/>
    <w:rsid w:val="00442F62"/>
    <w:rsid w:val="00443120"/>
    <w:rsid w:val="00443D7E"/>
    <w:rsid w:val="00443E53"/>
    <w:rsid w:val="00443E6D"/>
    <w:rsid w:val="0044411D"/>
    <w:rsid w:val="004442B5"/>
    <w:rsid w:val="00444A3B"/>
    <w:rsid w:val="00444C15"/>
    <w:rsid w:val="00444DE6"/>
    <w:rsid w:val="00444FE2"/>
    <w:rsid w:val="00445828"/>
    <w:rsid w:val="00445954"/>
    <w:rsid w:val="00445DC2"/>
    <w:rsid w:val="00445F43"/>
    <w:rsid w:val="00446246"/>
    <w:rsid w:val="004467D3"/>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2298"/>
    <w:rsid w:val="004526DA"/>
    <w:rsid w:val="00452C33"/>
    <w:rsid w:val="00452C7B"/>
    <w:rsid w:val="00452CD6"/>
    <w:rsid w:val="0045334B"/>
    <w:rsid w:val="0045456C"/>
    <w:rsid w:val="004545B7"/>
    <w:rsid w:val="004548D1"/>
    <w:rsid w:val="00454FF5"/>
    <w:rsid w:val="004551A9"/>
    <w:rsid w:val="0045595B"/>
    <w:rsid w:val="004559AE"/>
    <w:rsid w:val="00455D79"/>
    <w:rsid w:val="00455F0E"/>
    <w:rsid w:val="00456453"/>
    <w:rsid w:val="00456B6B"/>
    <w:rsid w:val="00456BE5"/>
    <w:rsid w:val="00456DFE"/>
    <w:rsid w:val="004573E5"/>
    <w:rsid w:val="00457544"/>
    <w:rsid w:val="00457999"/>
    <w:rsid w:val="00457A73"/>
    <w:rsid w:val="00457E4A"/>
    <w:rsid w:val="00457F43"/>
    <w:rsid w:val="0046046C"/>
    <w:rsid w:val="00460642"/>
    <w:rsid w:val="00460A31"/>
    <w:rsid w:val="00460B3B"/>
    <w:rsid w:val="00460B68"/>
    <w:rsid w:val="00461CC8"/>
    <w:rsid w:val="00462038"/>
    <w:rsid w:val="0046286D"/>
    <w:rsid w:val="004629AB"/>
    <w:rsid w:val="00463171"/>
    <w:rsid w:val="004633E0"/>
    <w:rsid w:val="0046387D"/>
    <w:rsid w:val="004638DB"/>
    <w:rsid w:val="00463B76"/>
    <w:rsid w:val="004642B4"/>
    <w:rsid w:val="0046486E"/>
    <w:rsid w:val="00464A42"/>
    <w:rsid w:val="00464CAE"/>
    <w:rsid w:val="00464E42"/>
    <w:rsid w:val="0046502C"/>
    <w:rsid w:val="004650E4"/>
    <w:rsid w:val="004655C5"/>
    <w:rsid w:val="004655C6"/>
    <w:rsid w:val="00465634"/>
    <w:rsid w:val="004656BF"/>
    <w:rsid w:val="00465D17"/>
    <w:rsid w:val="0046603B"/>
    <w:rsid w:val="004664DB"/>
    <w:rsid w:val="0046658D"/>
    <w:rsid w:val="00466FB5"/>
    <w:rsid w:val="00467719"/>
    <w:rsid w:val="004703E1"/>
    <w:rsid w:val="004709B2"/>
    <w:rsid w:val="00470BAF"/>
    <w:rsid w:val="00470C96"/>
    <w:rsid w:val="00470D00"/>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5321"/>
    <w:rsid w:val="0047565B"/>
    <w:rsid w:val="00475C19"/>
    <w:rsid w:val="0047634F"/>
    <w:rsid w:val="00476358"/>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5F1"/>
    <w:rsid w:val="004850B3"/>
    <w:rsid w:val="00485187"/>
    <w:rsid w:val="004857E7"/>
    <w:rsid w:val="00486130"/>
    <w:rsid w:val="004865A8"/>
    <w:rsid w:val="00486ADC"/>
    <w:rsid w:val="00486B96"/>
    <w:rsid w:val="00486C58"/>
    <w:rsid w:val="0048777D"/>
    <w:rsid w:val="004879AF"/>
    <w:rsid w:val="00487D18"/>
    <w:rsid w:val="00487EF8"/>
    <w:rsid w:val="00490038"/>
    <w:rsid w:val="00490059"/>
    <w:rsid w:val="00490162"/>
    <w:rsid w:val="0049047E"/>
    <w:rsid w:val="004904F7"/>
    <w:rsid w:val="00490A5D"/>
    <w:rsid w:val="00491030"/>
    <w:rsid w:val="004910AC"/>
    <w:rsid w:val="00491307"/>
    <w:rsid w:val="004914D8"/>
    <w:rsid w:val="004919E8"/>
    <w:rsid w:val="00491E18"/>
    <w:rsid w:val="00491F91"/>
    <w:rsid w:val="00491FF6"/>
    <w:rsid w:val="00492145"/>
    <w:rsid w:val="004928CE"/>
    <w:rsid w:val="00492A2F"/>
    <w:rsid w:val="00492BA1"/>
    <w:rsid w:val="00492D7E"/>
    <w:rsid w:val="00493540"/>
    <w:rsid w:val="00493607"/>
    <w:rsid w:val="004939E4"/>
    <w:rsid w:val="00493D36"/>
    <w:rsid w:val="00493E35"/>
    <w:rsid w:val="00494AD6"/>
    <w:rsid w:val="00495120"/>
    <w:rsid w:val="00495E67"/>
    <w:rsid w:val="004963F9"/>
    <w:rsid w:val="0049698A"/>
    <w:rsid w:val="00496B4E"/>
    <w:rsid w:val="00496DE2"/>
    <w:rsid w:val="00497448"/>
    <w:rsid w:val="004975AA"/>
    <w:rsid w:val="00497935"/>
    <w:rsid w:val="00497B6C"/>
    <w:rsid w:val="004A034A"/>
    <w:rsid w:val="004A0476"/>
    <w:rsid w:val="004A07D7"/>
    <w:rsid w:val="004A0A69"/>
    <w:rsid w:val="004A0F9E"/>
    <w:rsid w:val="004A10D4"/>
    <w:rsid w:val="004A1130"/>
    <w:rsid w:val="004A1219"/>
    <w:rsid w:val="004A1A77"/>
    <w:rsid w:val="004A1DAA"/>
    <w:rsid w:val="004A23D2"/>
    <w:rsid w:val="004A25A0"/>
    <w:rsid w:val="004A285D"/>
    <w:rsid w:val="004A2D1D"/>
    <w:rsid w:val="004A302B"/>
    <w:rsid w:val="004A3242"/>
    <w:rsid w:val="004A3838"/>
    <w:rsid w:val="004A4467"/>
    <w:rsid w:val="004A4957"/>
    <w:rsid w:val="004A5258"/>
    <w:rsid w:val="004A5467"/>
    <w:rsid w:val="004A56B8"/>
    <w:rsid w:val="004A5AE2"/>
    <w:rsid w:val="004A5BB1"/>
    <w:rsid w:val="004A5CB1"/>
    <w:rsid w:val="004A5E3E"/>
    <w:rsid w:val="004A5EAA"/>
    <w:rsid w:val="004A638D"/>
    <w:rsid w:val="004A64EC"/>
    <w:rsid w:val="004A695F"/>
    <w:rsid w:val="004A697B"/>
    <w:rsid w:val="004A6A35"/>
    <w:rsid w:val="004A6EA6"/>
    <w:rsid w:val="004A7550"/>
    <w:rsid w:val="004A7966"/>
    <w:rsid w:val="004A7A54"/>
    <w:rsid w:val="004A7EE6"/>
    <w:rsid w:val="004B0239"/>
    <w:rsid w:val="004B0379"/>
    <w:rsid w:val="004B0A5C"/>
    <w:rsid w:val="004B0A69"/>
    <w:rsid w:val="004B0D1E"/>
    <w:rsid w:val="004B0E2E"/>
    <w:rsid w:val="004B1604"/>
    <w:rsid w:val="004B1701"/>
    <w:rsid w:val="004B1804"/>
    <w:rsid w:val="004B18CC"/>
    <w:rsid w:val="004B2572"/>
    <w:rsid w:val="004B2609"/>
    <w:rsid w:val="004B2722"/>
    <w:rsid w:val="004B2F3D"/>
    <w:rsid w:val="004B32A0"/>
    <w:rsid w:val="004B36C1"/>
    <w:rsid w:val="004B3A60"/>
    <w:rsid w:val="004B3FCD"/>
    <w:rsid w:val="004B4C62"/>
    <w:rsid w:val="004B4D15"/>
    <w:rsid w:val="004B5064"/>
    <w:rsid w:val="004B5078"/>
    <w:rsid w:val="004B5096"/>
    <w:rsid w:val="004B51DA"/>
    <w:rsid w:val="004B54EF"/>
    <w:rsid w:val="004B592E"/>
    <w:rsid w:val="004B5B5E"/>
    <w:rsid w:val="004B5CE2"/>
    <w:rsid w:val="004B5DAC"/>
    <w:rsid w:val="004B6147"/>
    <w:rsid w:val="004B6184"/>
    <w:rsid w:val="004B6634"/>
    <w:rsid w:val="004B67BB"/>
    <w:rsid w:val="004B67F1"/>
    <w:rsid w:val="004B6812"/>
    <w:rsid w:val="004B7105"/>
    <w:rsid w:val="004B7293"/>
    <w:rsid w:val="004B7DD1"/>
    <w:rsid w:val="004C0096"/>
    <w:rsid w:val="004C00A3"/>
    <w:rsid w:val="004C00F4"/>
    <w:rsid w:val="004C037B"/>
    <w:rsid w:val="004C082A"/>
    <w:rsid w:val="004C0830"/>
    <w:rsid w:val="004C085B"/>
    <w:rsid w:val="004C0BDA"/>
    <w:rsid w:val="004C1472"/>
    <w:rsid w:val="004C165E"/>
    <w:rsid w:val="004C1BF9"/>
    <w:rsid w:val="004C1C3E"/>
    <w:rsid w:val="004C23BD"/>
    <w:rsid w:val="004C2498"/>
    <w:rsid w:val="004C331E"/>
    <w:rsid w:val="004C333F"/>
    <w:rsid w:val="004C3378"/>
    <w:rsid w:val="004C33BC"/>
    <w:rsid w:val="004C3D19"/>
    <w:rsid w:val="004C3FC0"/>
    <w:rsid w:val="004C42C9"/>
    <w:rsid w:val="004C4D54"/>
    <w:rsid w:val="004C5B42"/>
    <w:rsid w:val="004C5ECB"/>
    <w:rsid w:val="004C6672"/>
    <w:rsid w:val="004C68B6"/>
    <w:rsid w:val="004C74F1"/>
    <w:rsid w:val="004D039F"/>
    <w:rsid w:val="004D04F6"/>
    <w:rsid w:val="004D0ED5"/>
    <w:rsid w:val="004D12A8"/>
    <w:rsid w:val="004D1906"/>
    <w:rsid w:val="004D1C16"/>
    <w:rsid w:val="004D203B"/>
    <w:rsid w:val="004D240F"/>
    <w:rsid w:val="004D2434"/>
    <w:rsid w:val="004D2710"/>
    <w:rsid w:val="004D29CC"/>
    <w:rsid w:val="004D2AB8"/>
    <w:rsid w:val="004D2D7A"/>
    <w:rsid w:val="004D37B3"/>
    <w:rsid w:val="004D391B"/>
    <w:rsid w:val="004D3C67"/>
    <w:rsid w:val="004D3E11"/>
    <w:rsid w:val="004D4043"/>
    <w:rsid w:val="004D4304"/>
    <w:rsid w:val="004D470B"/>
    <w:rsid w:val="004D4CD1"/>
    <w:rsid w:val="004D4E73"/>
    <w:rsid w:val="004D503B"/>
    <w:rsid w:val="004D50AB"/>
    <w:rsid w:val="004D514C"/>
    <w:rsid w:val="004D524E"/>
    <w:rsid w:val="004D5266"/>
    <w:rsid w:val="004D54B7"/>
    <w:rsid w:val="004D60DF"/>
    <w:rsid w:val="004D6786"/>
    <w:rsid w:val="004D69E1"/>
    <w:rsid w:val="004D7869"/>
    <w:rsid w:val="004D7EE4"/>
    <w:rsid w:val="004E0137"/>
    <w:rsid w:val="004E11CF"/>
    <w:rsid w:val="004E121B"/>
    <w:rsid w:val="004E18E7"/>
    <w:rsid w:val="004E1E29"/>
    <w:rsid w:val="004E1ECE"/>
    <w:rsid w:val="004E1EF5"/>
    <w:rsid w:val="004E23F7"/>
    <w:rsid w:val="004E24D1"/>
    <w:rsid w:val="004E2A73"/>
    <w:rsid w:val="004E2B5D"/>
    <w:rsid w:val="004E3268"/>
    <w:rsid w:val="004E33F8"/>
    <w:rsid w:val="004E368A"/>
    <w:rsid w:val="004E3801"/>
    <w:rsid w:val="004E39C9"/>
    <w:rsid w:val="004E417F"/>
    <w:rsid w:val="004E41A1"/>
    <w:rsid w:val="004E4391"/>
    <w:rsid w:val="004E46F5"/>
    <w:rsid w:val="004E4CA8"/>
    <w:rsid w:val="004E4D78"/>
    <w:rsid w:val="004E4E20"/>
    <w:rsid w:val="004E4EB4"/>
    <w:rsid w:val="004E500B"/>
    <w:rsid w:val="004E5153"/>
    <w:rsid w:val="004E5C65"/>
    <w:rsid w:val="004E687B"/>
    <w:rsid w:val="004E6E9D"/>
    <w:rsid w:val="004E70F3"/>
    <w:rsid w:val="004E713A"/>
    <w:rsid w:val="004E7649"/>
    <w:rsid w:val="004E79EC"/>
    <w:rsid w:val="004E7AD7"/>
    <w:rsid w:val="004E7B2E"/>
    <w:rsid w:val="004E7BDD"/>
    <w:rsid w:val="004F01D5"/>
    <w:rsid w:val="004F0439"/>
    <w:rsid w:val="004F0738"/>
    <w:rsid w:val="004F0A17"/>
    <w:rsid w:val="004F0F4F"/>
    <w:rsid w:val="004F115C"/>
    <w:rsid w:val="004F13A0"/>
    <w:rsid w:val="004F17D0"/>
    <w:rsid w:val="004F1BB6"/>
    <w:rsid w:val="004F2044"/>
    <w:rsid w:val="004F20DC"/>
    <w:rsid w:val="004F23BA"/>
    <w:rsid w:val="004F2B40"/>
    <w:rsid w:val="004F32A7"/>
    <w:rsid w:val="004F33A6"/>
    <w:rsid w:val="004F35B2"/>
    <w:rsid w:val="004F35D6"/>
    <w:rsid w:val="004F3982"/>
    <w:rsid w:val="004F3A47"/>
    <w:rsid w:val="004F3AE1"/>
    <w:rsid w:val="004F3C71"/>
    <w:rsid w:val="004F3CDC"/>
    <w:rsid w:val="004F4537"/>
    <w:rsid w:val="004F4797"/>
    <w:rsid w:val="004F5068"/>
    <w:rsid w:val="004F51E9"/>
    <w:rsid w:val="004F54F5"/>
    <w:rsid w:val="004F551A"/>
    <w:rsid w:val="004F5C06"/>
    <w:rsid w:val="004F5FCC"/>
    <w:rsid w:val="004F63CD"/>
    <w:rsid w:val="004F63D5"/>
    <w:rsid w:val="004F64E4"/>
    <w:rsid w:val="004F662E"/>
    <w:rsid w:val="004F6A3A"/>
    <w:rsid w:val="004F6D13"/>
    <w:rsid w:val="004F6D20"/>
    <w:rsid w:val="004F6E61"/>
    <w:rsid w:val="004F71AC"/>
    <w:rsid w:val="004F75B7"/>
    <w:rsid w:val="004F783D"/>
    <w:rsid w:val="004F798E"/>
    <w:rsid w:val="005004E2"/>
    <w:rsid w:val="005009D1"/>
    <w:rsid w:val="005012E6"/>
    <w:rsid w:val="00501B88"/>
    <w:rsid w:val="0050246A"/>
    <w:rsid w:val="005025AD"/>
    <w:rsid w:val="005029B4"/>
    <w:rsid w:val="005033B1"/>
    <w:rsid w:val="0050348C"/>
    <w:rsid w:val="005039C8"/>
    <w:rsid w:val="00503A7E"/>
    <w:rsid w:val="00503ADE"/>
    <w:rsid w:val="00503BA8"/>
    <w:rsid w:val="00504660"/>
    <w:rsid w:val="00504D6A"/>
    <w:rsid w:val="00505BCC"/>
    <w:rsid w:val="00505CD4"/>
    <w:rsid w:val="005066E7"/>
    <w:rsid w:val="00506869"/>
    <w:rsid w:val="00506974"/>
    <w:rsid w:val="00506E52"/>
    <w:rsid w:val="005072C5"/>
    <w:rsid w:val="005078D1"/>
    <w:rsid w:val="00507EE4"/>
    <w:rsid w:val="00510003"/>
    <w:rsid w:val="00510174"/>
    <w:rsid w:val="005104D5"/>
    <w:rsid w:val="0051091F"/>
    <w:rsid w:val="00510AC0"/>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152"/>
    <w:rsid w:val="0051436F"/>
    <w:rsid w:val="00514464"/>
    <w:rsid w:val="0051498D"/>
    <w:rsid w:val="00514D56"/>
    <w:rsid w:val="00514F71"/>
    <w:rsid w:val="005158B6"/>
    <w:rsid w:val="005158C0"/>
    <w:rsid w:val="005159D9"/>
    <w:rsid w:val="00515A24"/>
    <w:rsid w:val="00515DD3"/>
    <w:rsid w:val="00515E0B"/>
    <w:rsid w:val="00515ED5"/>
    <w:rsid w:val="00516523"/>
    <w:rsid w:val="005166CD"/>
    <w:rsid w:val="00516705"/>
    <w:rsid w:val="005169BC"/>
    <w:rsid w:val="00516B0E"/>
    <w:rsid w:val="00517A06"/>
    <w:rsid w:val="00517BD2"/>
    <w:rsid w:val="00517CD1"/>
    <w:rsid w:val="00517FA7"/>
    <w:rsid w:val="0052026F"/>
    <w:rsid w:val="005203C5"/>
    <w:rsid w:val="0052042A"/>
    <w:rsid w:val="00520AA1"/>
    <w:rsid w:val="005213EA"/>
    <w:rsid w:val="00521578"/>
    <w:rsid w:val="00521BA2"/>
    <w:rsid w:val="0052217F"/>
    <w:rsid w:val="00522204"/>
    <w:rsid w:val="0052237E"/>
    <w:rsid w:val="0052269D"/>
    <w:rsid w:val="00522E94"/>
    <w:rsid w:val="00522EEE"/>
    <w:rsid w:val="005231EC"/>
    <w:rsid w:val="005233DC"/>
    <w:rsid w:val="00523E4B"/>
    <w:rsid w:val="005241BC"/>
    <w:rsid w:val="0052430D"/>
    <w:rsid w:val="00524468"/>
    <w:rsid w:val="00524EDE"/>
    <w:rsid w:val="0052534A"/>
    <w:rsid w:val="005255A6"/>
    <w:rsid w:val="005255B4"/>
    <w:rsid w:val="00526648"/>
    <w:rsid w:val="005266F3"/>
    <w:rsid w:val="0052770D"/>
    <w:rsid w:val="00527EBA"/>
    <w:rsid w:val="00527FDA"/>
    <w:rsid w:val="00530135"/>
    <w:rsid w:val="005302FC"/>
    <w:rsid w:val="00530B8F"/>
    <w:rsid w:val="005315C8"/>
    <w:rsid w:val="005315E4"/>
    <w:rsid w:val="005316DB"/>
    <w:rsid w:val="00531966"/>
    <w:rsid w:val="00532066"/>
    <w:rsid w:val="005321A2"/>
    <w:rsid w:val="0053222A"/>
    <w:rsid w:val="00532396"/>
    <w:rsid w:val="00532402"/>
    <w:rsid w:val="00532417"/>
    <w:rsid w:val="00532418"/>
    <w:rsid w:val="0053254C"/>
    <w:rsid w:val="00532933"/>
    <w:rsid w:val="00532A29"/>
    <w:rsid w:val="00532BC4"/>
    <w:rsid w:val="00533380"/>
    <w:rsid w:val="005337F7"/>
    <w:rsid w:val="00533A0B"/>
    <w:rsid w:val="00533C23"/>
    <w:rsid w:val="00533C90"/>
    <w:rsid w:val="00533F4E"/>
    <w:rsid w:val="00534950"/>
    <w:rsid w:val="00534A0C"/>
    <w:rsid w:val="00534B75"/>
    <w:rsid w:val="00534E2E"/>
    <w:rsid w:val="005351E4"/>
    <w:rsid w:val="00535465"/>
    <w:rsid w:val="005355A6"/>
    <w:rsid w:val="0053561B"/>
    <w:rsid w:val="005358AC"/>
    <w:rsid w:val="00535AC6"/>
    <w:rsid w:val="00535BD2"/>
    <w:rsid w:val="00535FD3"/>
    <w:rsid w:val="005360FC"/>
    <w:rsid w:val="005363F4"/>
    <w:rsid w:val="00536F72"/>
    <w:rsid w:val="0053765E"/>
    <w:rsid w:val="00537690"/>
    <w:rsid w:val="00537A6F"/>
    <w:rsid w:val="00537B0E"/>
    <w:rsid w:val="00537EFF"/>
    <w:rsid w:val="00540565"/>
    <w:rsid w:val="005407EA"/>
    <w:rsid w:val="00540AA0"/>
    <w:rsid w:val="0054113C"/>
    <w:rsid w:val="0054195C"/>
    <w:rsid w:val="00541BCD"/>
    <w:rsid w:val="00541CAA"/>
    <w:rsid w:val="00542522"/>
    <w:rsid w:val="00542AA2"/>
    <w:rsid w:val="00542B06"/>
    <w:rsid w:val="00542B7D"/>
    <w:rsid w:val="00542BCC"/>
    <w:rsid w:val="00542E14"/>
    <w:rsid w:val="00542FA8"/>
    <w:rsid w:val="00543058"/>
    <w:rsid w:val="00543BA1"/>
    <w:rsid w:val="00543FFA"/>
    <w:rsid w:val="00544148"/>
    <w:rsid w:val="00544398"/>
    <w:rsid w:val="0054463A"/>
    <w:rsid w:val="00544845"/>
    <w:rsid w:val="005448C9"/>
    <w:rsid w:val="00544B14"/>
    <w:rsid w:val="0054518F"/>
    <w:rsid w:val="00545300"/>
    <w:rsid w:val="0054571A"/>
    <w:rsid w:val="005457D4"/>
    <w:rsid w:val="0054591C"/>
    <w:rsid w:val="00545B9B"/>
    <w:rsid w:val="00545CBC"/>
    <w:rsid w:val="00545DF4"/>
    <w:rsid w:val="00545FB6"/>
    <w:rsid w:val="005463A2"/>
    <w:rsid w:val="0054677C"/>
    <w:rsid w:val="005469A6"/>
    <w:rsid w:val="00546B77"/>
    <w:rsid w:val="00547AA9"/>
    <w:rsid w:val="00550112"/>
    <w:rsid w:val="0055100A"/>
    <w:rsid w:val="005516B3"/>
    <w:rsid w:val="00551800"/>
    <w:rsid w:val="00551AE2"/>
    <w:rsid w:val="00551B81"/>
    <w:rsid w:val="00551C21"/>
    <w:rsid w:val="0055250F"/>
    <w:rsid w:val="00552A70"/>
    <w:rsid w:val="00552B3A"/>
    <w:rsid w:val="00552BF6"/>
    <w:rsid w:val="005534FA"/>
    <w:rsid w:val="00553CA4"/>
    <w:rsid w:val="00554897"/>
    <w:rsid w:val="005550CA"/>
    <w:rsid w:val="0055522B"/>
    <w:rsid w:val="00555785"/>
    <w:rsid w:val="00555BDF"/>
    <w:rsid w:val="00555D4A"/>
    <w:rsid w:val="00555FBA"/>
    <w:rsid w:val="00556368"/>
    <w:rsid w:val="00556905"/>
    <w:rsid w:val="0055742C"/>
    <w:rsid w:val="00557471"/>
    <w:rsid w:val="005578D0"/>
    <w:rsid w:val="00557AA6"/>
    <w:rsid w:val="00560690"/>
    <w:rsid w:val="00560BA8"/>
    <w:rsid w:val="005610E1"/>
    <w:rsid w:val="005618E0"/>
    <w:rsid w:val="005619AA"/>
    <w:rsid w:val="00561B6E"/>
    <w:rsid w:val="00562394"/>
    <w:rsid w:val="00562BE1"/>
    <w:rsid w:val="00562CE4"/>
    <w:rsid w:val="00563106"/>
    <w:rsid w:val="00563229"/>
    <w:rsid w:val="00563255"/>
    <w:rsid w:val="00563563"/>
    <w:rsid w:val="005635AA"/>
    <w:rsid w:val="00563762"/>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E5B"/>
    <w:rsid w:val="00565E87"/>
    <w:rsid w:val="00566273"/>
    <w:rsid w:val="005662BC"/>
    <w:rsid w:val="005665DB"/>
    <w:rsid w:val="00566A09"/>
    <w:rsid w:val="00566A47"/>
    <w:rsid w:val="00566ACF"/>
    <w:rsid w:val="00566AE8"/>
    <w:rsid w:val="00566DA7"/>
    <w:rsid w:val="0057069F"/>
    <w:rsid w:val="00570776"/>
    <w:rsid w:val="00570FAD"/>
    <w:rsid w:val="00570FE4"/>
    <w:rsid w:val="00571B29"/>
    <w:rsid w:val="00571BEE"/>
    <w:rsid w:val="00571E28"/>
    <w:rsid w:val="0057277D"/>
    <w:rsid w:val="00572ACB"/>
    <w:rsid w:val="00572CEF"/>
    <w:rsid w:val="00572E2C"/>
    <w:rsid w:val="00573117"/>
    <w:rsid w:val="0057350C"/>
    <w:rsid w:val="00573BD3"/>
    <w:rsid w:val="00573D00"/>
    <w:rsid w:val="00573E67"/>
    <w:rsid w:val="00573F30"/>
    <w:rsid w:val="00574AA0"/>
    <w:rsid w:val="00574FCC"/>
    <w:rsid w:val="00575587"/>
    <w:rsid w:val="00575AAB"/>
    <w:rsid w:val="005766B3"/>
    <w:rsid w:val="005769B5"/>
    <w:rsid w:val="00576CC9"/>
    <w:rsid w:val="00577116"/>
    <w:rsid w:val="00577515"/>
    <w:rsid w:val="005775E2"/>
    <w:rsid w:val="00577816"/>
    <w:rsid w:val="00577A1C"/>
    <w:rsid w:val="00577B64"/>
    <w:rsid w:val="005800B7"/>
    <w:rsid w:val="005802D0"/>
    <w:rsid w:val="005804DF"/>
    <w:rsid w:val="005807D8"/>
    <w:rsid w:val="00580CE8"/>
    <w:rsid w:val="00580D6B"/>
    <w:rsid w:val="00580DB1"/>
    <w:rsid w:val="00581383"/>
    <w:rsid w:val="00581737"/>
    <w:rsid w:val="00581C48"/>
    <w:rsid w:val="00581FC5"/>
    <w:rsid w:val="005820A6"/>
    <w:rsid w:val="0058212D"/>
    <w:rsid w:val="00582229"/>
    <w:rsid w:val="005822C5"/>
    <w:rsid w:val="00582516"/>
    <w:rsid w:val="00582C63"/>
    <w:rsid w:val="00583324"/>
    <w:rsid w:val="0058361C"/>
    <w:rsid w:val="00583778"/>
    <w:rsid w:val="0058383C"/>
    <w:rsid w:val="005838B8"/>
    <w:rsid w:val="0058391D"/>
    <w:rsid w:val="0058398E"/>
    <w:rsid w:val="00583C90"/>
    <w:rsid w:val="00584505"/>
    <w:rsid w:val="00584604"/>
    <w:rsid w:val="005846A8"/>
    <w:rsid w:val="005847E6"/>
    <w:rsid w:val="00584806"/>
    <w:rsid w:val="00584831"/>
    <w:rsid w:val="00584A09"/>
    <w:rsid w:val="00584A21"/>
    <w:rsid w:val="00584AB8"/>
    <w:rsid w:val="00584D83"/>
    <w:rsid w:val="005852EB"/>
    <w:rsid w:val="00585768"/>
    <w:rsid w:val="00585A42"/>
    <w:rsid w:val="00585F27"/>
    <w:rsid w:val="00586120"/>
    <w:rsid w:val="00586531"/>
    <w:rsid w:val="00586A0A"/>
    <w:rsid w:val="00586E21"/>
    <w:rsid w:val="00586EA5"/>
    <w:rsid w:val="00586F35"/>
    <w:rsid w:val="0058704D"/>
    <w:rsid w:val="00587430"/>
    <w:rsid w:val="0058746A"/>
    <w:rsid w:val="005874A3"/>
    <w:rsid w:val="00587C9D"/>
    <w:rsid w:val="00587D7C"/>
    <w:rsid w:val="00587DC2"/>
    <w:rsid w:val="00587F0E"/>
    <w:rsid w:val="00590176"/>
    <w:rsid w:val="00590567"/>
    <w:rsid w:val="00590750"/>
    <w:rsid w:val="00590BDF"/>
    <w:rsid w:val="00590F26"/>
    <w:rsid w:val="005913B3"/>
    <w:rsid w:val="00591656"/>
    <w:rsid w:val="00592157"/>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E3"/>
    <w:rsid w:val="0059564B"/>
    <w:rsid w:val="005956AF"/>
    <w:rsid w:val="00595C9E"/>
    <w:rsid w:val="005960EF"/>
    <w:rsid w:val="005961D5"/>
    <w:rsid w:val="005962B7"/>
    <w:rsid w:val="00596420"/>
    <w:rsid w:val="005969C4"/>
    <w:rsid w:val="005969EC"/>
    <w:rsid w:val="005972A7"/>
    <w:rsid w:val="00597639"/>
    <w:rsid w:val="0059772F"/>
    <w:rsid w:val="00597DBA"/>
    <w:rsid w:val="005A02B1"/>
    <w:rsid w:val="005A057F"/>
    <w:rsid w:val="005A059E"/>
    <w:rsid w:val="005A05B4"/>
    <w:rsid w:val="005A06B0"/>
    <w:rsid w:val="005A0A58"/>
    <w:rsid w:val="005A0C38"/>
    <w:rsid w:val="005A0F4F"/>
    <w:rsid w:val="005A0FCF"/>
    <w:rsid w:val="005A183D"/>
    <w:rsid w:val="005A1A1F"/>
    <w:rsid w:val="005A1AF5"/>
    <w:rsid w:val="005A1D6F"/>
    <w:rsid w:val="005A242A"/>
    <w:rsid w:val="005A26CC"/>
    <w:rsid w:val="005A2B28"/>
    <w:rsid w:val="005A31F6"/>
    <w:rsid w:val="005A39B7"/>
    <w:rsid w:val="005A3AAC"/>
    <w:rsid w:val="005A4ACE"/>
    <w:rsid w:val="005A4E51"/>
    <w:rsid w:val="005A4FD2"/>
    <w:rsid w:val="005A5104"/>
    <w:rsid w:val="005A52C4"/>
    <w:rsid w:val="005A5975"/>
    <w:rsid w:val="005A59E3"/>
    <w:rsid w:val="005A663A"/>
    <w:rsid w:val="005A69B8"/>
    <w:rsid w:val="005A6B60"/>
    <w:rsid w:val="005A6DB1"/>
    <w:rsid w:val="005A729F"/>
    <w:rsid w:val="005A7396"/>
    <w:rsid w:val="005A73F3"/>
    <w:rsid w:val="005A7824"/>
    <w:rsid w:val="005A7E09"/>
    <w:rsid w:val="005A7F44"/>
    <w:rsid w:val="005B08FF"/>
    <w:rsid w:val="005B0F65"/>
    <w:rsid w:val="005B1334"/>
    <w:rsid w:val="005B19CD"/>
    <w:rsid w:val="005B2C14"/>
    <w:rsid w:val="005B2C54"/>
    <w:rsid w:val="005B3B48"/>
    <w:rsid w:val="005B4580"/>
    <w:rsid w:val="005B489D"/>
    <w:rsid w:val="005B4A6E"/>
    <w:rsid w:val="005B4C2D"/>
    <w:rsid w:val="005B5739"/>
    <w:rsid w:val="005B5791"/>
    <w:rsid w:val="005B6005"/>
    <w:rsid w:val="005B6213"/>
    <w:rsid w:val="005B62F3"/>
    <w:rsid w:val="005B7047"/>
    <w:rsid w:val="005B711D"/>
    <w:rsid w:val="005B7276"/>
    <w:rsid w:val="005B785B"/>
    <w:rsid w:val="005B7BD0"/>
    <w:rsid w:val="005B7BEE"/>
    <w:rsid w:val="005B7D6D"/>
    <w:rsid w:val="005C0072"/>
    <w:rsid w:val="005C009B"/>
    <w:rsid w:val="005C01D9"/>
    <w:rsid w:val="005C0ACF"/>
    <w:rsid w:val="005C0C7B"/>
    <w:rsid w:val="005C0D5D"/>
    <w:rsid w:val="005C118D"/>
    <w:rsid w:val="005C126B"/>
    <w:rsid w:val="005C18B8"/>
    <w:rsid w:val="005C1B14"/>
    <w:rsid w:val="005C1C9A"/>
    <w:rsid w:val="005C1F09"/>
    <w:rsid w:val="005C216F"/>
    <w:rsid w:val="005C244F"/>
    <w:rsid w:val="005C2625"/>
    <w:rsid w:val="005C26BE"/>
    <w:rsid w:val="005C29F5"/>
    <w:rsid w:val="005C2E8B"/>
    <w:rsid w:val="005C3685"/>
    <w:rsid w:val="005C3959"/>
    <w:rsid w:val="005C3ADC"/>
    <w:rsid w:val="005C4A8B"/>
    <w:rsid w:val="005C4D91"/>
    <w:rsid w:val="005C5406"/>
    <w:rsid w:val="005C6369"/>
    <w:rsid w:val="005C7170"/>
    <w:rsid w:val="005C743D"/>
    <w:rsid w:val="005D05B7"/>
    <w:rsid w:val="005D17FB"/>
    <w:rsid w:val="005D1956"/>
    <w:rsid w:val="005D1973"/>
    <w:rsid w:val="005D1E51"/>
    <w:rsid w:val="005D24BC"/>
    <w:rsid w:val="005D26BD"/>
    <w:rsid w:val="005D28C6"/>
    <w:rsid w:val="005D2D22"/>
    <w:rsid w:val="005D34C9"/>
    <w:rsid w:val="005D34D5"/>
    <w:rsid w:val="005D37C7"/>
    <w:rsid w:val="005D41AA"/>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3D"/>
    <w:rsid w:val="005D60F5"/>
    <w:rsid w:val="005D6411"/>
    <w:rsid w:val="005D6595"/>
    <w:rsid w:val="005D668F"/>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A3"/>
    <w:rsid w:val="005E1625"/>
    <w:rsid w:val="005E18E3"/>
    <w:rsid w:val="005E20EE"/>
    <w:rsid w:val="005E29DC"/>
    <w:rsid w:val="005E2C13"/>
    <w:rsid w:val="005E2DA3"/>
    <w:rsid w:val="005E2F6C"/>
    <w:rsid w:val="005E3316"/>
    <w:rsid w:val="005E33FF"/>
    <w:rsid w:val="005E3455"/>
    <w:rsid w:val="005E365F"/>
    <w:rsid w:val="005E3A8B"/>
    <w:rsid w:val="005E3C73"/>
    <w:rsid w:val="005E3D47"/>
    <w:rsid w:val="005E3D69"/>
    <w:rsid w:val="005E413B"/>
    <w:rsid w:val="005E4150"/>
    <w:rsid w:val="005E4453"/>
    <w:rsid w:val="005E473D"/>
    <w:rsid w:val="005E4916"/>
    <w:rsid w:val="005E5038"/>
    <w:rsid w:val="005E50A7"/>
    <w:rsid w:val="005E50F0"/>
    <w:rsid w:val="005E653B"/>
    <w:rsid w:val="005E6D07"/>
    <w:rsid w:val="005E6F38"/>
    <w:rsid w:val="005E6F3B"/>
    <w:rsid w:val="005E7606"/>
    <w:rsid w:val="005E7E61"/>
    <w:rsid w:val="005E7F69"/>
    <w:rsid w:val="005F00AF"/>
    <w:rsid w:val="005F00B0"/>
    <w:rsid w:val="005F0960"/>
    <w:rsid w:val="005F0CB7"/>
    <w:rsid w:val="005F0EF2"/>
    <w:rsid w:val="005F1083"/>
    <w:rsid w:val="005F1784"/>
    <w:rsid w:val="005F17B1"/>
    <w:rsid w:val="005F2955"/>
    <w:rsid w:val="005F3115"/>
    <w:rsid w:val="005F31C7"/>
    <w:rsid w:val="005F3411"/>
    <w:rsid w:val="005F3517"/>
    <w:rsid w:val="005F3752"/>
    <w:rsid w:val="005F380F"/>
    <w:rsid w:val="005F40C3"/>
    <w:rsid w:val="005F4128"/>
    <w:rsid w:val="005F42F9"/>
    <w:rsid w:val="005F4347"/>
    <w:rsid w:val="005F435C"/>
    <w:rsid w:val="005F49A9"/>
    <w:rsid w:val="005F4ABE"/>
    <w:rsid w:val="005F4C78"/>
    <w:rsid w:val="005F4F1D"/>
    <w:rsid w:val="005F5735"/>
    <w:rsid w:val="005F5A1F"/>
    <w:rsid w:val="005F628F"/>
    <w:rsid w:val="005F65BC"/>
    <w:rsid w:val="005F6645"/>
    <w:rsid w:val="005F67A3"/>
    <w:rsid w:val="005F6C8C"/>
    <w:rsid w:val="005F6CE5"/>
    <w:rsid w:val="005F6D92"/>
    <w:rsid w:val="005F7012"/>
    <w:rsid w:val="005F7017"/>
    <w:rsid w:val="005F7A87"/>
    <w:rsid w:val="005F7AD7"/>
    <w:rsid w:val="005F7DD2"/>
    <w:rsid w:val="006004F3"/>
    <w:rsid w:val="00600653"/>
    <w:rsid w:val="00600996"/>
    <w:rsid w:val="0060184C"/>
    <w:rsid w:val="00601E0D"/>
    <w:rsid w:val="006020F1"/>
    <w:rsid w:val="006022C7"/>
    <w:rsid w:val="00602778"/>
    <w:rsid w:val="00602D87"/>
    <w:rsid w:val="00602F91"/>
    <w:rsid w:val="00603232"/>
    <w:rsid w:val="006036B2"/>
    <w:rsid w:val="00603754"/>
    <w:rsid w:val="00603E5C"/>
    <w:rsid w:val="00603F06"/>
    <w:rsid w:val="0060439D"/>
    <w:rsid w:val="006043A8"/>
    <w:rsid w:val="006047AC"/>
    <w:rsid w:val="00604BBE"/>
    <w:rsid w:val="00604DAA"/>
    <w:rsid w:val="0060605D"/>
    <w:rsid w:val="00606236"/>
    <w:rsid w:val="00606886"/>
    <w:rsid w:val="00606B99"/>
    <w:rsid w:val="00606CB7"/>
    <w:rsid w:val="00607705"/>
    <w:rsid w:val="00607B52"/>
    <w:rsid w:val="00607F14"/>
    <w:rsid w:val="00610986"/>
    <w:rsid w:val="006109BB"/>
    <w:rsid w:val="0061106D"/>
    <w:rsid w:val="0061109B"/>
    <w:rsid w:val="0061134E"/>
    <w:rsid w:val="006113BD"/>
    <w:rsid w:val="006113CC"/>
    <w:rsid w:val="006117B4"/>
    <w:rsid w:val="00611953"/>
    <w:rsid w:val="00611A4A"/>
    <w:rsid w:val="00611C90"/>
    <w:rsid w:val="00611F6C"/>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43"/>
    <w:rsid w:val="00614CC2"/>
    <w:rsid w:val="00615085"/>
    <w:rsid w:val="00615387"/>
    <w:rsid w:val="0061540E"/>
    <w:rsid w:val="00615C24"/>
    <w:rsid w:val="00615D1F"/>
    <w:rsid w:val="00616442"/>
    <w:rsid w:val="006164D9"/>
    <w:rsid w:val="006164F3"/>
    <w:rsid w:val="00616661"/>
    <w:rsid w:val="00616747"/>
    <w:rsid w:val="00616813"/>
    <w:rsid w:val="00616BDB"/>
    <w:rsid w:val="00616C25"/>
    <w:rsid w:val="00616CE0"/>
    <w:rsid w:val="00616D73"/>
    <w:rsid w:val="00617728"/>
    <w:rsid w:val="006177F6"/>
    <w:rsid w:val="00617B24"/>
    <w:rsid w:val="00617D7E"/>
    <w:rsid w:val="00617F8D"/>
    <w:rsid w:val="00620B12"/>
    <w:rsid w:val="0062124C"/>
    <w:rsid w:val="0062157E"/>
    <w:rsid w:val="006218CE"/>
    <w:rsid w:val="006219C5"/>
    <w:rsid w:val="00621AEC"/>
    <w:rsid w:val="00622144"/>
    <w:rsid w:val="0062241E"/>
    <w:rsid w:val="006231ED"/>
    <w:rsid w:val="0062388A"/>
    <w:rsid w:val="006238CC"/>
    <w:rsid w:val="006243E7"/>
    <w:rsid w:val="006245CA"/>
    <w:rsid w:val="00624EEE"/>
    <w:rsid w:val="00624F7C"/>
    <w:rsid w:val="00625077"/>
    <w:rsid w:val="00625C51"/>
    <w:rsid w:val="00625DC4"/>
    <w:rsid w:val="00626112"/>
    <w:rsid w:val="006262C6"/>
    <w:rsid w:val="0062643E"/>
    <w:rsid w:val="00626813"/>
    <w:rsid w:val="00626D56"/>
    <w:rsid w:val="00627100"/>
    <w:rsid w:val="00627384"/>
    <w:rsid w:val="006276AF"/>
    <w:rsid w:val="00627745"/>
    <w:rsid w:val="0062791F"/>
    <w:rsid w:val="00627B83"/>
    <w:rsid w:val="00627E57"/>
    <w:rsid w:val="006302C0"/>
    <w:rsid w:val="00631C65"/>
    <w:rsid w:val="00631E20"/>
    <w:rsid w:val="00632A22"/>
    <w:rsid w:val="00632C95"/>
    <w:rsid w:val="006332A7"/>
    <w:rsid w:val="006336AF"/>
    <w:rsid w:val="00633874"/>
    <w:rsid w:val="00633889"/>
    <w:rsid w:val="006339D0"/>
    <w:rsid w:val="00633EAA"/>
    <w:rsid w:val="006340C6"/>
    <w:rsid w:val="006341ED"/>
    <w:rsid w:val="00634454"/>
    <w:rsid w:val="0063447D"/>
    <w:rsid w:val="00634937"/>
    <w:rsid w:val="00634D37"/>
    <w:rsid w:val="00634FB2"/>
    <w:rsid w:val="00635016"/>
    <w:rsid w:val="0063506E"/>
    <w:rsid w:val="006354C2"/>
    <w:rsid w:val="0063573E"/>
    <w:rsid w:val="00635F92"/>
    <w:rsid w:val="00636005"/>
    <w:rsid w:val="006360B8"/>
    <w:rsid w:val="006360F9"/>
    <w:rsid w:val="00636168"/>
    <w:rsid w:val="00636241"/>
    <w:rsid w:val="006362D3"/>
    <w:rsid w:val="00636376"/>
    <w:rsid w:val="00636812"/>
    <w:rsid w:val="00636BBD"/>
    <w:rsid w:val="0063767F"/>
    <w:rsid w:val="00637827"/>
    <w:rsid w:val="00637A91"/>
    <w:rsid w:val="00637D54"/>
    <w:rsid w:val="00640005"/>
    <w:rsid w:val="00640498"/>
    <w:rsid w:val="006405D7"/>
    <w:rsid w:val="00640834"/>
    <w:rsid w:val="006416F0"/>
    <w:rsid w:val="00641707"/>
    <w:rsid w:val="00641B8D"/>
    <w:rsid w:val="00641BA2"/>
    <w:rsid w:val="00642092"/>
    <w:rsid w:val="006421AD"/>
    <w:rsid w:val="0064283F"/>
    <w:rsid w:val="00642949"/>
    <w:rsid w:val="00642A9B"/>
    <w:rsid w:val="00642D02"/>
    <w:rsid w:val="00642EB6"/>
    <w:rsid w:val="0064301A"/>
    <w:rsid w:val="006435FD"/>
    <w:rsid w:val="006438CF"/>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1E1"/>
    <w:rsid w:val="0064734F"/>
    <w:rsid w:val="006475B9"/>
    <w:rsid w:val="00647C50"/>
    <w:rsid w:val="00647D2A"/>
    <w:rsid w:val="00647D74"/>
    <w:rsid w:val="006500A7"/>
    <w:rsid w:val="00650265"/>
    <w:rsid w:val="006503F5"/>
    <w:rsid w:val="006504E2"/>
    <w:rsid w:val="00650FEF"/>
    <w:rsid w:val="006511C7"/>
    <w:rsid w:val="006512F6"/>
    <w:rsid w:val="0065169A"/>
    <w:rsid w:val="006517D6"/>
    <w:rsid w:val="0065193C"/>
    <w:rsid w:val="00652167"/>
    <w:rsid w:val="00652396"/>
    <w:rsid w:val="00652DEF"/>
    <w:rsid w:val="00652EB6"/>
    <w:rsid w:val="00653332"/>
    <w:rsid w:val="00653422"/>
    <w:rsid w:val="00653476"/>
    <w:rsid w:val="006534CF"/>
    <w:rsid w:val="0065370B"/>
    <w:rsid w:val="00653EA6"/>
    <w:rsid w:val="0065404E"/>
    <w:rsid w:val="006540D0"/>
    <w:rsid w:val="006540FC"/>
    <w:rsid w:val="006544F2"/>
    <w:rsid w:val="00654BA9"/>
    <w:rsid w:val="00654D04"/>
    <w:rsid w:val="00655518"/>
    <w:rsid w:val="00655986"/>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633"/>
    <w:rsid w:val="0066082F"/>
    <w:rsid w:val="006609D4"/>
    <w:rsid w:val="00660B05"/>
    <w:rsid w:val="00660E90"/>
    <w:rsid w:val="006611BE"/>
    <w:rsid w:val="00661248"/>
    <w:rsid w:val="00661277"/>
    <w:rsid w:val="00661D96"/>
    <w:rsid w:val="00661E48"/>
    <w:rsid w:val="00662122"/>
    <w:rsid w:val="006621A9"/>
    <w:rsid w:val="006628A0"/>
    <w:rsid w:val="00662E06"/>
    <w:rsid w:val="0066382F"/>
    <w:rsid w:val="006638A6"/>
    <w:rsid w:val="00663988"/>
    <w:rsid w:val="00663AD3"/>
    <w:rsid w:val="0066433A"/>
    <w:rsid w:val="00664451"/>
    <w:rsid w:val="006645CA"/>
    <w:rsid w:val="00664AEE"/>
    <w:rsid w:val="00664B59"/>
    <w:rsid w:val="00664BEE"/>
    <w:rsid w:val="00664CBC"/>
    <w:rsid w:val="00664D95"/>
    <w:rsid w:val="0066517F"/>
    <w:rsid w:val="00665353"/>
    <w:rsid w:val="00666221"/>
    <w:rsid w:val="006665C4"/>
    <w:rsid w:val="00666699"/>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37A"/>
    <w:rsid w:val="006716EC"/>
    <w:rsid w:val="00672825"/>
    <w:rsid w:val="0067295B"/>
    <w:rsid w:val="00672A42"/>
    <w:rsid w:val="00672B92"/>
    <w:rsid w:val="00672DD7"/>
    <w:rsid w:val="00673092"/>
    <w:rsid w:val="0067398F"/>
    <w:rsid w:val="00673C4F"/>
    <w:rsid w:val="0067423D"/>
    <w:rsid w:val="00674B54"/>
    <w:rsid w:val="00674DA4"/>
    <w:rsid w:val="006751ED"/>
    <w:rsid w:val="006751F0"/>
    <w:rsid w:val="00675A29"/>
    <w:rsid w:val="00675E7A"/>
    <w:rsid w:val="00675EF9"/>
    <w:rsid w:val="00676167"/>
    <w:rsid w:val="006762C1"/>
    <w:rsid w:val="006762E2"/>
    <w:rsid w:val="006768A0"/>
    <w:rsid w:val="00676D1E"/>
    <w:rsid w:val="00676F7A"/>
    <w:rsid w:val="0067702C"/>
    <w:rsid w:val="00677172"/>
    <w:rsid w:val="00677637"/>
    <w:rsid w:val="00677F30"/>
    <w:rsid w:val="00677F91"/>
    <w:rsid w:val="0068009E"/>
    <w:rsid w:val="0068014B"/>
    <w:rsid w:val="006807EC"/>
    <w:rsid w:val="00680991"/>
    <w:rsid w:val="00680E0A"/>
    <w:rsid w:val="00681108"/>
    <w:rsid w:val="00681688"/>
    <w:rsid w:val="00681D9D"/>
    <w:rsid w:val="0068227D"/>
    <w:rsid w:val="006822C1"/>
    <w:rsid w:val="00682346"/>
    <w:rsid w:val="006825BB"/>
    <w:rsid w:val="00682A1D"/>
    <w:rsid w:val="00682A3E"/>
    <w:rsid w:val="00682D50"/>
    <w:rsid w:val="00682F54"/>
    <w:rsid w:val="00683084"/>
    <w:rsid w:val="0068336A"/>
    <w:rsid w:val="00683988"/>
    <w:rsid w:val="006839C4"/>
    <w:rsid w:val="0068426D"/>
    <w:rsid w:val="0068481E"/>
    <w:rsid w:val="00684AA5"/>
    <w:rsid w:val="00684DA6"/>
    <w:rsid w:val="00684FBB"/>
    <w:rsid w:val="00685310"/>
    <w:rsid w:val="0068569E"/>
    <w:rsid w:val="00685B0A"/>
    <w:rsid w:val="00686A94"/>
    <w:rsid w:val="00686F3B"/>
    <w:rsid w:val="00687341"/>
    <w:rsid w:val="00687611"/>
    <w:rsid w:val="00687FB5"/>
    <w:rsid w:val="006902BA"/>
    <w:rsid w:val="006902EB"/>
    <w:rsid w:val="0069037C"/>
    <w:rsid w:val="00690EB0"/>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51A5"/>
    <w:rsid w:val="006954B0"/>
    <w:rsid w:val="0069567D"/>
    <w:rsid w:val="00695E0E"/>
    <w:rsid w:val="00696680"/>
    <w:rsid w:val="006967E0"/>
    <w:rsid w:val="00696C25"/>
    <w:rsid w:val="00696FCD"/>
    <w:rsid w:val="0069764B"/>
    <w:rsid w:val="00697D72"/>
    <w:rsid w:val="00697DDD"/>
    <w:rsid w:val="00697F54"/>
    <w:rsid w:val="006A06A3"/>
    <w:rsid w:val="006A0A11"/>
    <w:rsid w:val="006A0C5B"/>
    <w:rsid w:val="006A0EEF"/>
    <w:rsid w:val="006A11A6"/>
    <w:rsid w:val="006A11E4"/>
    <w:rsid w:val="006A121F"/>
    <w:rsid w:val="006A18D6"/>
    <w:rsid w:val="006A1922"/>
    <w:rsid w:val="006A1BC4"/>
    <w:rsid w:val="006A21E5"/>
    <w:rsid w:val="006A21F4"/>
    <w:rsid w:val="006A22C1"/>
    <w:rsid w:val="006A2547"/>
    <w:rsid w:val="006A28B6"/>
    <w:rsid w:val="006A2D65"/>
    <w:rsid w:val="006A300A"/>
    <w:rsid w:val="006A359D"/>
    <w:rsid w:val="006A36AE"/>
    <w:rsid w:val="006A38CF"/>
    <w:rsid w:val="006A3B7B"/>
    <w:rsid w:val="006A3DD4"/>
    <w:rsid w:val="006A4A8C"/>
    <w:rsid w:val="006A4F9B"/>
    <w:rsid w:val="006A5031"/>
    <w:rsid w:val="006A5658"/>
    <w:rsid w:val="006A579F"/>
    <w:rsid w:val="006A57FB"/>
    <w:rsid w:val="006A61AA"/>
    <w:rsid w:val="006A6377"/>
    <w:rsid w:val="006A6C5B"/>
    <w:rsid w:val="006A7950"/>
    <w:rsid w:val="006A7D15"/>
    <w:rsid w:val="006B03DF"/>
    <w:rsid w:val="006B0587"/>
    <w:rsid w:val="006B061A"/>
    <w:rsid w:val="006B0F57"/>
    <w:rsid w:val="006B1017"/>
    <w:rsid w:val="006B12A7"/>
    <w:rsid w:val="006B1390"/>
    <w:rsid w:val="006B1499"/>
    <w:rsid w:val="006B157C"/>
    <w:rsid w:val="006B162E"/>
    <w:rsid w:val="006B17AD"/>
    <w:rsid w:val="006B1847"/>
    <w:rsid w:val="006B19C4"/>
    <w:rsid w:val="006B1C99"/>
    <w:rsid w:val="006B1CAE"/>
    <w:rsid w:val="006B204A"/>
    <w:rsid w:val="006B2954"/>
    <w:rsid w:val="006B2A89"/>
    <w:rsid w:val="006B36AB"/>
    <w:rsid w:val="006B3C78"/>
    <w:rsid w:val="006B3EA7"/>
    <w:rsid w:val="006B40F4"/>
    <w:rsid w:val="006B4337"/>
    <w:rsid w:val="006B4774"/>
    <w:rsid w:val="006B47BE"/>
    <w:rsid w:val="006B4829"/>
    <w:rsid w:val="006B4BBE"/>
    <w:rsid w:val="006B53A4"/>
    <w:rsid w:val="006B5481"/>
    <w:rsid w:val="006B59E3"/>
    <w:rsid w:val="006B5D8F"/>
    <w:rsid w:val="006B61D0"/>
    <w:rsid w:val="006B62D9"/>
    <w:rsid w:val="006B6E64"/>
    <w:rsid w:val="006B7096"/>
    <w:rsid w:val="006B767C"/>
    <w:rsid w:val="006B79CB"/>
    <w:rsid w:val="006B7F05"/>
    <w:rsid w:val="006C04E7"/>
    <w:rsid w:val="006C069F"/>
    <w:rsid w:val="006C0907"/>
    <w:rsid w:val="006C10E5"/>
    <w:rsid w:val="006C1B91"/>
    <w:rsid w:val="006C1FD2"/>
    <w:rsid w:val="006C20D0"/>
    <w:rsid w:val="006C28F0"/>
    <w:rsid w:val="006C2E24"/>
    <w:rsid w:val="006C32D8"/>
    <w:rsid w:val="006C35BE"/>
    <w:rsid w:val="006C39D5"/>
    <w:rsid w:val="006C3B47"/>
    <w:rsid w:val="006C3BDD"/>
    <w:rsid w:val="006C3E21"/>
    <w:rsid w:val="006C44F0"/>
    <w:rsid w:val="006C4525"/>
    <w:rsid w:val="006C4717"/>
    <w:rsid w:val="006C5726"/>
    <w:rsid w:val="006C58DA"/>
    <w:rsid w:val="006C5DC5"/>
    <w:rsid w:val="006C607C"/>
    <w:rsid w:val="006C6147"/>
    <w:rsid w:val="006C6364"/>
    <w:rsid w:val="006C642F"/>
    <w:rsid w:val="006C647D"/>
    <w:rsid w:val="006C668E"/>
    <w:rsid w:val="006C67C5"/>
    <w:rsid w:val="006C67CF"/>
    <w:rsid w:val="006C69B2"/>
    <w:rsid w:val="006C6A64"/>
    <w:rsid w:val="006C730B"/>
    <w:rsid w:val="006C7548"/>
    <w:rsid w:val="006C7B7A"/>
    <w:rsid w:val="006C7FC1"/>
    <w:rsid w:val="006D06D3"/>
    <w:rsid w:val="006D1003"/>
    <w:rsid w:val="006D11D6"/>
    <w:rsid w:val="006D163F"/>
    <w:rsid w:val="006D17AB"/>
    <w:rsid w:val="006D17B1"/>
    <w:rsid w:val="006D209B"/>
    <w:rsid w:val="006D2420"/>
    <w:rsid w:val="006D2602"/>
    <w:rsid w:val="006D2944"/>
    <w:rsid w:val="006D2BB9"/>
    <w:rsid w:val="006D3175"/>
    <w:rsid w:val="006D3263"/>
    <w:rsid w:val="006D3280"/>
    <w:rsid w:val="006D3472"/>
    <w:rsid w:val="006D3550"/>
    <w:rsid w:val="006D35A6"/>
    <w:rsid w:val="006D36F5"/>
    <w:rsid w:val="006D374C"/>
    <w:rsid w:val="006D3AC0"/>
    <w:rsid w:val="006D3D8F"/>
    <w:rsid w:val="006D3E5D"/>
    <w:rsid w:val="006D466B"/>
    <w:rsid w:val="006D4759"/>
    <w:rsid w:val="006D48BE"/>
    <w:rsid w:val="006D4B29"/>
    <w:rsid w:val="006D4F5A"/>
    <w:rsid w:val="006D52DC"/>
    <w:rsid w:val="006D5332"/>
    <w:rsid w:val="006D5460"/>
    <w:rsid w:val="006D54F5"/>
    <w:rsid w:val="006D5BAB"/>
    <w:rsid w:val="006D6DD3"/>
    <w:rsid w:val="006D7828"/>
    <w:rsid w:val="006D7BD0"/>
    <w:rsid w:val="006D7FA2"/>
    <w:rsid w:val="006E0038"/>
    <w:rsid w:val="006E0125"/>
    <w:rsid w:val="006E0197"/>
    <w:rsid w:val="006E04C4"/>
    <w:rsid w:val="006E0CFD"/>
    <w:rsid w:val="006E1253"/>
    <w:rsid w:val="006E1338"/>
    <w:rsid w:val="006E1592"/>
    <w:rsid w:val="006E15C8"/>
    <w:rsid w:val="006E1614"/>
    <w:rsid w:val="006E1622"/>
    <w:rsid w:val="006E1BEA"/>
    <w:rsid w:val="006E1E35"/>
    <w:rsid w:val="006E2007"/>
    <w:rsid w:val="006E245B"/>
    <w:rsid w:val="006E249C"/>
    <w:rsid w:val="006E2680"/>
    <w:rsid w:val="006E2822"/>
    <w:rsid w:val="006E2A83"/>
    <w:rsid w:val="006E2E7D"/>
    <w:rsid w:val="006E2ECB"/>
    <w:rsid w:val="006E34DE"/>
    <w:rsid w:val="006E3CAC"/>
    <w:rsid w:val="006E44EC"/>
    <w:rsid w:val="006E4C29"/>
    <w:rsid w:val="006E4DBD"/>
    <w:rsid w:val="006E4EA2"/>
    <w:rsid w:val="006E5545"/>
    <w:rsid w:val="006E5D4C"/>
    <w:rsid w:val="006E6041"/>
    <w:rsid w:val="006E6049"/>
    <w:rsid w:val="006E6419"/>
    <w:rsid w:val="006E695F"/>
    <w:rsid w:val="006E6ED9"/>
    <w:rsid w:val="006E719C"/>
    <w:rsid w:val="006E7271"/>
    <w:rsid w:val="006E76A3"/>
    <w:rsid w:val="006E7B09"/>
    <w:rsid w:val="006E7ED0"/>
    <w:rsid w:val="006E7FD1"/>
    <w:rsid w:val="006F0138"/>
    <w:rsid w:val="006F0480"/>
    <w:rsid w:val="006F0553"/>
    <w:rsid w:val="006F0583"/>
    <w:rsid w:val="006F0889"/>
    <w:rsid w:val="006F0DD8"/>
    <w:rsid w:val="006F10BB"/>
    <w:rsid w:val="006F127E"/>
    <w:rsid w:val="006F15F0"/>
    <w:rsid w:val="006F179F"/>
    <w:rsid w:val="006F1A7B"/>
    <w:rsid w:val="006F2133"/>
    <w:rsid w:val="006F22B9"/>
    <w:rsid w:val="006F2609"/>
    <w:rsid w:val="006F2B36"/>
    <w:rsid w:val="006F3123"/>
    <w:rsid w:val="006F32E8"/>
    <w:rsid w:val="006F3D41"/>
    <w:rsid w:val="006F446C"/>
    <w:rsid w:val="006F4BAD"/>
    <w:rsid w:val="006F4C36"/>
    <w:rsid w:val="006F51D6"/>
    <w:rsid w:val="006F5232"/>
    <w:rsid w:val="006F59AB"/>
    <w:rsid w:val="006F5B61"/>
    <w:rsid w:val="006F5E8D"/>
    <w:rsid w:val="006F61CA"/>
    <w:rsid w:val="006F658F"/>
    <w:rsid w:val="006F6A40"/>
    <w:rsid w:val="006F6B5E"/>
    <w:rsid w:val="006F6BF0"/>
    <w:rsid w:val="006F6F3F"/>
    <w:rsid w:val="006F70E1"/>
    <w:rsid w:val="006F7301"/>
    <w:rsid w:val="006F7AA6"/>
    <w:rsid w:val="006F7B37"/>
    <w:rsid w:val="006F7BB6"/>
    <w:rsid w:val="00700038"/>
    <w:rsid w:val="007002DE"/>
    <w:rsid w:val="0070050E"/>
    <w:rsid w:val="00700D7D"/>
    <w:rsid w:val="00701C61"/>
    <w:rsid w:val="00702087"/>
    <w:rsid w:val="007024B9"/>
    <w:rsid w:val="007028BD"/>
    <w:rsid w:val="00702929"/>
    <w:rsid w:val="00702C18"/>
    <w:rsid w:val="00702DC4"/>
    <w:rsid w:val="0070330F"/>
    <w:rsid w:val="00703351"/>
    <w:rsid w:val="00703D71"/>
    <w:rsid w:val="00703DCE"/>
    <w:rsid w:val="00704754"/>
    <w:rsid w:val="00704AA2"/>
    <w:rsid w:val="00704C4A"/>
    <w:rsid w:val="00704EFC"/>
    <w:rsid w:val="0070507B"/>
    <w:rsid w:val="0070543F"/>
    <w:rsid w:val="0070555E"/>
    <w:rsid w:val="00705968"/>
    <w:rsid w:val="00705E66"/>
    <w:rsid w:val="00706047"/>
    <w:rsid w:val="0070633E"/>
    <w:rsid w:val="00706350"/>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309D"/>
    <w:rsid w:val="0071314E"/>
    <w:rsid w:val="0071326B"/>
    <w:rsid w:val="00713717"/>
    <w:rsid w:val="00713CEF"/>
    <w:rsid w:val="00714233"/>
    <w:rsid w:val="007143A4"/>
    <w:rsid w:val="007147E9"/>
    <w:rsid w:val="007149EF"/>
    <w:rsid w:val="00715192"/>
    <w:rsid w:val="007152F9"/>
    <w:rsid w:val="007162D2"/>
    <w:rsid w:val="00716310"/>
    <w:rsid w:val="007165ED"/>
    <w:rsid w:val="00716F0E"/>
    <w:rsid w:val="00716F5A"/>
    <w:rsid w:val="0071727C"/>
    <w:rsid w:val="00717404"/>
    <w:rsid w:val="00717AE5"/>
    <w:rsid w:val="00717F5C"/>
    <w:rsid w:val="007200F4"/>
    <w:rsid w:val="00720508"/>
    <w:rsid w:val="00720CFB"/>
    <w:rsid w:val="00720DBC"/>
    <w:rsid w:val="00720F9E"/>
    <w:rsid w:val="007216AD"/>
    <w:rsid w:val="00721979"/>
    <w:rsid w:val="00721C39"/>
    <w:rsid w:val="00721D24"/>
    <w:rsid w:val="00721E0E"/>
    <w:rsid w:val="00721E59"/>
    <w:rsid w:val="00721F48"/>
    <w:rsid w:val="00721FE3"/>
    <w:rsid w:val="007222C0"/>
    <w:rsid w:val="00722413"/>
    <w:rsid w:val="00722492"/>
    <w:rsid w:val="00723554"/>
    <w:rsid w:val="00723718"/>
    <w:rsid w:val="00723804"/>
    <w:rsid w:val="007239DF"/>
    <w:rsid w:val="007239F0"/>
    <w:rsid w:val="00723A5B"/>
    <w:rsid w:val="007240B5"/>
    <w:rsid w:val="00724C16"/>
    <w:rsid w:val="00724DB0"/>
    <w:rsid w:val="00724FFA"/>
    <w:rsid w:val="0072515F"/>
    <w:rsid w:val="00725667"/>
    <w:rsid w:val="00725D10"/>
    <w:rsid w:val="007266AB"/>
    <w:rsid w:val="007266C9"/>
    <w:rsid w:val="00726F37"/>
    <w:rsid w:val="00727412"/>
    <w:rsid w:val="00727574"/>
    <w:rsid w:val="007276AA"/>
    <w:rsid w:val="0072773F"/>
    <w:rsid w:val="00727945"/>
    <w:rsid w:val="00727D6A"/>
    <w:rsid w:val="007300AE"/>
    <w:rsid w:val="007307F0"/>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E3"/>
    <w:rsid w:val="007344D8"/>
    <w:rsid w:val="007349B7"/>
    <w:rsid w:val="00734BA5"/>
    <w:rsid w:val="007352A1"/>
    <w:rsid w:val="007355BF"/>
    <w:rsid w:val="0073564E"/>
    <w:rsid w:val="00735AD3"/>
    <w:rsid w:val="00735D01"/>
    <w:rsid w:val="00736681"/>
    <w:rsid w:val="0073687D"/>
    <w:rsid w:val="00736D61"/>
    <w:rsid w:val="00736F50"/>
    <w:rsid w:val="00737B4A"/>
    <w:rsid w:val="00737DEF"/>
    <w:rsid w:val="00740010"/>
    <w:rsid w:val="00740792"/>
    <w:rsid w:val="00740FC8"/>
    <w:rsid w:val="0074116E"/>
    <w:rsid w:val="00741435"/>
    <w:rsid w:val="00741ED9"/>
    <w:rsid w:val="007420DA"/>
    <w:rsid w:val="007428FB"/>
    <w:rsid w:val="00742B09"/>
    <w:rsid w:val="00742EEF"/>
    <w:rsid w:val="0074320A"/>
    <w:rsid w:val="0074324C"/>
    <w:rsid w:val="00743672"/>
    <w:rsid w:val="00743D92"/>
    <w:rsid w:val="0074432D"/>
    <w:rsid w:val="00744734"/>
    <w:rsid w:val="00744952"/>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50192"/>
    <w:rsid w:val="007504A5"/>
    <w:rsid w:val="007505C2"/>
    <w:rsid w:val="00751158"/>
    <w:rsid w:val="007513C1"/>
    <w:rsid w:val="00751892"/>
    <w:rsid w:val="00751C2D"/>
    <w:rsid w:val="00751F2C"/>
    <w:rsid w:val="00752816"/>
    <w:rsid w:val="00752CD7"/>
    <w:rsid w:val="00752D52"/>
    <w:rsid w:val="0075322A"/>
    <w:rsid w:val="0075377E"/>
    <w:rsid w:val="00753CB8"/>
    <w:rsid w:val="007542D4"/>
    <w:rsid w:val="00754CFD"/>
    <w:rsid w:val="00754EC6"/>
    <w:rsid w:val="00754F18"/>
    <w:rsid w:val="007552AF"/>
    <w:rsid w:val="00755374"/>
    <w:rsid w:val="00755481"/>
    <w:rsid w:val="00755516"/>
    <w:rsid w:val="00755553"/>
    <w:rsid w:val="00755678"/>
    <w:rsid w:val="00755DFE"/>
    <w:rsid w:val="0075625C"/>
    <w:rsid w:val="007575DC"/>
    <w:rsid w:val="007575E8"/>
    <w:rsid w:val="007602A0"/>
    <w:rsid w:val="007604E1"/>
    <w:rsid w:val="00760725"/>
    <w:rsid w:val="00761385"/>
    <w:rsid w:val="00761730"/>
    <w:rsid w:val="0076181A"/>
    <w:rsid w:val="007619C2"/>
    <w:rsid w:val="007619DE"/>
    <w:rsid w:val="00761B35"/>
    <w:rsid w:val="00761B5A"/>
    <w:rsid w:val="0076201F"/>
    <w:rsid w:val="00762372"/>
    <w:rsid w:val="00762837"/>
    <w:rsid w:val="00762AA6"/>
    <w:rsid w:val="00762D57"/>
    <w:rsid w:val="0076318A"/>
    <w:rsid w:val="007637C1"/>
    <w:rsid w:val="0076397D"/>
    <w:rsid w:val="00763A76"/>
    <w:rsid w:val="0076416B"/>
    <w:rsid w:val="0076432E"/>
    <w:rsid w:val="00764A5C"/>
    <w:rsid w:val="00764E4B"/>
    <w:rsid w:val="007653D8"/>
    <w:rsid w:val="00765643"/>
    <w:rsid w:val="00765708"/>
    <w:rsid w:val="00765917"/>
    <w:rsid w:val="007659BA"/>
    <w:rsid w:val="007659EB"/>
    <w:rsid w:val="00765E87"/>
    <w:rsid w:val="007660E3"/>
    <w:rsid w:val="00766384"/>
    <w:rsid w:val="007664FC"/>
    <w:rsid w:val="00766931"/>
    <w:rsid w:val="007669E5"/>
    <w:rsid w:val="00766EC6"/>
    <w:rsid w:val="00767779"/>
    <w:rsid w:val="007678A0"/>
    <w:rsid w:val="00767A1F"/>
    <w:rsid w:val="00767AE4"/>
    <w:rsid w:val="00767BBB"/>
    <w:rsid w:val="0077008F"/>
    <w:rsid w:val="00770172"/>
    <w:rsid w:val="00770D87"/>
    <w:rsid w:val="0077105B"/>
    <w:rsid w:val="00771676"/>
    <w:rsid w:val="00771C67"/>
    <w:rsid w:val="00771FEF"/>
    <w:rsid w:val="0077261B"/>
    <w:rsid w:val="00772C12"/>
    <w:rsid w:val="0077321D"/>
    <w:rsid w:val="007735F8"/>
    <w:rsid w:val="00773854"/>
    <w:rsid w:val="00773DB6"/>
    <w:rsid w:val="007740A5"/>
    <w:rsid w:val="007740F7"/>
    <w:rsid w:val="0077410C"/>
    <w:rsid w:val="0077443C"/>
    <w:rsid w:val="00774746"/>
    <w:rsid w:val="00774C25"/>
    <w:rsid w:val="00774FDB"/>
    <w:rsid w:val="0077559D"/>
    <w:rsid w:val="00775AA8"/>
    <w:rsid w:val="00775B75"/>
    <w:rsid w:val="00775E64"/>
    <w:rsid w:val="00776D2B"/>
    <w:rsid w:val="00776E2C"/>
    <w:rsid w:val="007772EF"/>
    <w:rsid w:val="00777432"/>
    <w:rsid w:val="00777986"/>
    <w:rsid w:val="00777BFE"/>
    <w:rsid w:val="00780897"/>
    <w:rsid w:val="007815ED"/>
    <w:rsid w:val="0078192A"/>
    <w:rsid w:val="00781AA3"/>
    <w:rsid w:val="00781C68"/>
    <w:rsid w:val="00781E69"/>
    <w:rsid w:val="007821C1"/>
    <w:rsid w:val="00782D62"/>
    <w:rsid w:val="007838FF"/>
    <w:rsid w:val="00783E63"/>
    <w:rsid w:val="00783EBB"/>
    <w:rsid w:val="0078438B"/>
    <w:rsid w:val="0078451D"/>
    <w:rsid w:val="00784A2B"/>
    <w:rsid w:val="00784CAD"/>
    <w:rsid w:val="00784D68"/>
    <w:rsid w:val="007851A8"/>
    <w:rsid w:val="0078531C"/>
    <w:rsid w:val="0078544D"/>
    <w:rsid w:val="00785788"/>
    <w:rsid w:val="00785862"/>
    <w:rsid w:val="00785F50"/>
    <w:rsid w:val="0078649D"/>
    <w:rsid w:val="007864C1"/>
    <w:rsid w:val="007865A6"/>
    <w:rsid w:val="00786A09"/>
    <w:rsid w:val="00786EAA"/>
    <w:rsid w:val="007871CA"/>
    <w:rsid w:val="007874F6"/>
    <w:rsid w:val="00787A69"/>
    <w:rsid w:val="00787EEF"/>
    <w:rsid w:val="0079034C"/>
    <w:rsid w:val="0079040F"/>
    <w:rsid w:val="0079062A"/>
    <w:rsid w:val="00790899"/>
    <w:rsid w:val="00791007"/>
    <w:rsid w:val="007912F9"/>
    <w:rsid w:val="007919A2"/>
    <w:rsid w:val="00791DD8"/>
    <w:rsid w:val="00792041"/>
    <w:rsid w:val="00792444"/>
    <w:rsid w:val="007924E3"/>
    <w:rsid w:val="0079273F"/>
    <w:rsid w:val="00792899"/>
    <w:rsid w:val="00792BAF"/>
    <w:rsid w:val="00792D5D"/>
    <w:rsid w:val="007930B2"/>
    <w:rsid w:val="007930F4"/>
    <w:rsid w:val="00793975"/>
    <w:rsid w:val="007943EE"/>
    <w:rsid w:val="00794469"/>
    <w:rsid w:val="00795383"/>
    <w:rsid w:val="0079692E"/>
    <w:rsid w:val="00796942"/>
    <w:rsid w:val="00796A34"/>
    <w:rsid w:val="00797011"/>
    <w:rsid w:val="007974B5"/>
    <w:rsid w:val="00797AB1"/>
    <w:rsid w:val="00797BC8"/>
    <w:rsid w:val="00797F59"/>
    <w:rsid w:val="007A0036"/>
    <w:rsid w:val="007A0284"/>
    <w:rsid w:val="007A02BC"/>
    <w:rsid w:val="007A05D5"/>
    <w:rsid w:val="007A05E2"/>
    <w:rsid w:val="007A069F"/>
    <w:rsid w:val="007A08D1"/>
    <w:rsid w:val="007A0C74"/>
    <w:rsid w:val="007A0E8E"/>
    <w:rsid w:val="007A128E"/>
    <w:rsid w:val="007A14A3"/>
    <w:rsid w:val="007A1DCB"/>
    <w:rsid w:val="007A20B9"/>
    <w:rsid w:val="007A235A"/>
    <w:rsid w:val="007A28AB"/>
    <w:rsid w:val="007A28EC"/>
    <w:rsid w:val="007A2A3A"/>
    <w:rsid w:val="007A2D8C"/>
    <w:rsid w:val="007A34AE"/>
    <w:rsid w:val="007A35CD"/>
    <w:rsid w:val="007A3A9B"/>
    <w:rsid w:val="007A3AD9"/>
    <w:rsid w:val="007A3B98"/>
    <w:rsid w:val="007A3E1C"/>
    <w:rsid w:val="007A43DE"/>
    <w:rsid w:val="007A4682"/>
    <w:rsid w:val="007A47C1"/>
    <w:rsid w:val="007A48A3"/>
    <w:rsid w:val="007A4CC8"/>
    <w:rsid w:val="007A4DFF"/>
    <w:rsid w:val="007A54C5"/>
    <w:rsid w:val="007A5B1C"/>
    <w:rsid w:val="007A5D40"/>
    <w:rsid w:val="007A62BB"/>
    <w:rsid w:val="007A63C1"/>
    <w:rsid w:val="007A6501"/>
    <w:rsid w:val="007A65BD"/>
    <w:rsid w:val="007A67B3"/>
    <w:rsid w:val="007A6FCF"/>
    <w:rsid w:val="007A736E"/>
    <w:rsid w:val="007A77E8"/>
    <w:rsid w:val="007A7857"/>
    <w:rsid w:val="007B01E9"/>
    <w:rsid w:val="007B0265"/>
    <w:rsid w:val="007B0A67"/>
    <w:rsid w:val="007B0DAA"/>
    <w:rsid w:val="007B0EF2"/>
    <w:rsid w:val="007B10A8"/>
    <w:rsid w:val="007B1429"/>
    <w:rsid w:val="007B1811"/>
    <w:rsid w:val="007B1F83"/>
    <w:rsid w:val="007B21C2"/>
    <w:rsid w:val="007B225A"/>
    <w:rsid w:val="007B2492"/>
    <w:rsid w:val="007B2504"/>
    <w:rsid w:val="007B2F5E"/>
    <w:rsid w:val="007B32BA"/>
    <w:rsid w:val="007B3B23"/>
    <w:rsid w:val="007B3E39"/>
    <w:rsid w:val="007B4164"/>
    <w:rsid w:val="007B42CE"/>
    <w:rsid w:val="007B556F"/>
    <w:rsid w:val="007B55D6"/>
    <w:rsid w:val="007B55E8"/>
    <w:rsid w:val="007B59C2"/>
    <w:rsid w:val="007B5B27"/>
    <w:rsid w:val="007B5D6B"/>
    <w:rsid w:val="007B5F5F"/>
    <w:rsid w:val="007B63FA"/>
    <w:rsid w:val="007B6524"/>
    <w:rsid w:val="007B7166"/>
    <w:rsid w:val="007B7278"/>
    <w:rsid w:val="007B73AA"/>
    <w:rsid w:val="007B7420"/>
    <w:rsid w:val="007B79E7"/>
    <w:rsid w:val="007B79F1"/>
    <w:rsid w:val="007B7B93"/>
    <w:rsid w:val="007B7F30"/>
    <w:rsid w:val="007C04A5"/>
    <w:rsid w:val="007C07F7"/>
    <w:rsid w:val="007C0FAA"/>
    <w:rsid w:val="007C16B2"/>
    <w:rsid w:val="007C1AA6"/>
    <w:rsid w:val="007C2536"/>
    <w:rsid w:val="007C2C3F"/>
    <w:rsid w:val="007C2CAF"/>
    <w:rsid w:val="007C35C9"/>
    <w:rsid w:val="007C3A5D"/>
    <w:rsid w:val="007C3CF5"/>
    <w:rsid w:val="007C4012"/>
    <w:rsid w:val="007C4633"/>
    <w:rsid w:val="007C4CA0"/>
    <w:rsid w:val="007C4DF0"/>
    <w:rsid w:val="007C5F2F"/>
    <w:rsid w:val="007C5F78"/>
    <w:rsid w:val="007C6163"/>
    <w:rsid w:val="007C6177"/>
    <w:rsid w:val="007C65F9"/>
    <w:rsid w:val="007C7529"/>
    <w:rsid w:val="007C762F"/>
    <w:rsid w:val="007C7A1B"/>
    <w:rsid w:val="007C7C71"/>
    <w:rsid w:val="007C7CA6"/>
    <w:rsid w:val="007C7D00"/>
    <w:rsid w:val="007C7E05"/>
    <w:rsid w:val="007D01FD"/>
    <w:rsid w:val="007D0289"/>
    <w:rsid w:val="007D02CD"/>
    <w:rsid w:val="007D0382"/>
    <w:rsid w:val="007D06B1"/>
    <w:rsid w:val="007D120C"/>
    <w:rsid w:val="007D14CF"/>
    <w:rsid w:val="007D16FA"/>
    <w:rsid w:val="007D1855"/>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BA"/>
    <w:rsid w:val="007D46FC"/>
    <w:rsid w:val="007D4886"/>
    <w:rsid w:val="007D4971"/>
    <w:rsid w:val="007D4ABA"/>
    <w:rsid w:val="007D4F32"/>
    <w:rsid w:val="007D5037"/>
    <w:rsid w:val="007D54B3"/>
    <w:rsid w:val="007D57E8"/>
    <w:rsid w:val="007D5C6F"/>
    <w:rsid w:val="007D5F20"/>
    <w:rsid w:val="007D6142"/>
    <w:rsid w:val="007D61F3"/>
    <w:rsid w:val="007D6740"/>
    <w:rsid w:val="007D6ACF"/>
    <w:rsid w:val="007D6BCD"/>
    <w:rsid w:val="007D702F"/>
    <w:rsid w:val="007D73D7"/>
    <w:rsid w:val="007D7D67"/>
    <w:rsid w:val="007E01ED"/>
    <w:rsid w:val="007E0D0E"/>
    <w:rsid w:val="007E1314"/>
    <w:rsid w:val="007E13FF"/>
    <w:rsid w:val="007E2120"/>
    <w:rsid w:val="007E2130"/>
    <w:rsid w:val="007E237C"/>
    <w:rsid w:val="007E260F"/>
    <w:rsid w:val="007E2FCF"/>
    <w:rsid w:val="007E3C41"/>
    <w:rsid w:val="007E3C8C"/>
    <w:rsid w:val="007E3F39"/>
    <w:rsid w:val="007E418F"/>
    <w:rsid w:val="007E44B7"/>
    <w:rsid w:val="007E47F6"/>
    <w:rsid w:val="007E5EAC"/>
    <w:rsid w:val="007E5EC6"/>
    <w:rsid w:val="007E613A"/>
    <w:rsid w:val="007E6291"/>
    <w:rsid w:val="007E7408"/>
    <w:rsid w:val="007E7AE8"/>
    <w:rsid w:val="007E7C36"/>
    <w:rsid w:val="007F05D4"/>
    <w:rsid w:val="007F0E97"/>
    <w:rsid w:val="007F109F"/>
    <w:rsid w:val="007F1200"/>
    <w:rsid w:val="007F167E"/>
    <w:rsid w:val="007F16D4"/>
    <w:rsid w:val="007F1A02"/>
    <w:rsid w:val="007F1B93"/>
    <w:rsid w:val="007F2273"/>
    <w:rsid w:val="007F2285"/>
    <w:rsid w:val="007F261E"/>
    <w:rsid w:val="007F262C"/>
    <w:rsid w:val="007F2B77"/>
    <w:rsid w:val="007F3B8F"/>
    <w:rsid w:val="007F45FE"/>
    <w:rsid w:val="007F4AC8"/>
    <w:rsid w:val="007F4C18"/>
    <w:rsid w:val="007F4E4C"/>
    <w:rsid w:val="007F5214"/>
    <w:rsid w:val="007F6156"/>
    <w:rsid w:val="007F6379"/>
    <w:rsid w:val="007F648B"/>
    <w:rsid w:val="007F6657"/>
    <w:rsid w:val="007F6805"/>
    <w:rsid w:val="007F6B57"/>
    <w:rsid w:val="007F6C13"/>
    <w:rsid w:val="007F7043"/>
    <w:rsid w:val="007F7190"/>
    <w:rsid w:val="007F724B"/>
    <w:rsid w:val="007F72C9"/>
    <w:rsid w:val="007F744F"/>
    <w:rsid w:val="007F7A92"/>
    <w:rsid w:val="00800A3E"/>
    <w:rsid w:val="00800C44"/>
    <w:rsid w:val="00800CDA"/>
    <w:rsid w:val="00800D86"/>
    <w:rsid w:val="00800EA0"/>
    <w:rsid w:val="0080117E"/>
    <w:rsid w:val="008013C4"/>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58D7"/>
    <w:rsid w:val="00805D04"/>
    <w:rsid w:val="00805E7F"/>
    <w:rsid w:val="00806081"/>
    <w:rsid w:val="0080637B"/>
    <w:rsid w:val="00806819"/>
    <w:rsid w:val="00807036"/>
    <w:rsid w:val="008073FA"/>
    <w:rsid w:val="0080755F"/>
    <w:rsid w:val="0080760E"/>
    <w:rsid w:val="0080764B"/>
    <w:rsid w:val="008077E2"/>
    <w:rsid w:val="00807C7C"/>
    <w:rsid w:val="00810386"/>
    <w:rsid w:val="00810F23"/>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5261"/>
    <w:rsid w:val="00815348"/>
    <w:rsid w:val="0081564B"/>
    <w:rsid w:val="0081572D"/>
    <w:rsid w:val="00815B1A"/>
    <w:rsid w:val="00815BDA"/>
    <w:rsid w:val="00815E08"/>
    <w:rsid w:val="008162D4"/>
    <w:rsid w:val="00816332"/>
    <w:rsid w:val="008167D6"/>
    <w:rsid w:val="00816CA6"/>
    <w:rsid w:val="00816DCD"/>
    <w:rsid w:val="00816FD8"/>
    <w:rsid w:val="00816FFA"/>
    <w:rsid w:val="0081722D"/>
    <w:rsid w:val="00817513"/>
    <w:rsid w:val="00817E9A"/>
    <w:rsid w:val="00817EA6"/>
    <w:rsid w:val="00817EF0"/>
    <w:rsid w:val="008200F3"/>
    <w:rsid w:val="008203CF"/>
    <w:rsid w:val="008205DB"/>
    <w:rsid w:val="0082114F"/>
    <w:rsid w:val="008219AF"/>
    <w:rsid w:val="00821CF6"/>
    <w:rsid w:val="008222E0"/>
    <w:rsid w:val="00822D87"/>
    <w:rsid w:val="008231F9"/>
    <w:rsid w:val="0082356F"/>
    <w:rsid w:val="0082358D"/>
    <w:rsid w:val="008236D2"/>
    <w:rsid w:val="0082374B"/>
    <w:rsid w:val="00823CDA"/>
    <w:rsid w:val="00824072"/>
    <w:rsid w:val="0082413A"/>
    <w:rsid w:val="00824508"/>
    <w:rsid w:val="0082454E"/>
    <w:rsid w:val="00824DB4"/>
    <w:rsid w:val="0082518B"/>
    <w:rsid w:val="00826469"/>
    <w:rsid w:val="008264C2"/>
    <w:rsid w:val="00826C10"/>
    <w:rsid w:val="00826C96"/>
    <w:rsid w:val="00826D01"/>
    <w:rsid w:val="00826DF0"/>
    <w:rsid w:val="008272B9"/>
    <w:rsid w:val="008275D0"/>
    <w:rsid w:val="0082772E"/>
    <w:rsid w:val="00830052"/>
    <w:rsid w:val="00830080"/>
    <w:rsid w:val="008302C8"/>
    <w:rsid w:val="008302CC"/>
    <w:rsid w:val="008303B2"/>
    <w:rsid w:val="00830A0D"/>
    <w:rsid w:val="00830C70"/>
    <w:rsid w:val="008311BD"/>
    <w:rsid w:val="008315B7"/>
    <w:rsid w:val="00831779"/>
    <w:rsid w:val="00831923"/>
    <w:rsid w:val="00831A40"/>
    <w:rsid w:val="00831B61"/>
    <w:rsid w:val="00831CE6"/>
    <w:rsid w:val="00831F58"/>
    <w:rsid w:val="00832044"/>
    <w:rsid w:val="008325B8"/>
    <w:rsid w:val="008326F6"/>
    <w:rsid w:val="0083296B"/>
    <w:rsid w:val="008329A9"/>
    <w:rsid w:val="00833A9F"/>
    <w:rsid w:val="00833D24"/>
    <w:rsid w:val="00833E52"/>
    <w:rsid w:val="00833ED5"/>
    <w:rsid w:val="008344A8"/>
    <w:rsid w:val="00834730"/>
    <w:rsid w:val="0083475D"/>
    <w:rsid w:val="008348F3"/>
    <w:rsid w:val="00834C6B"/>
    <w:rsid w:val="008351BD"/>
    <w:rsid w:val="00835CA0"/>
    <w:rsid w:val="00835D55"/>
    <w:rsid w:val="00835DE8"/>
    <w:rsid w:val="0083720E"/>
    <w:rsid w:val="00837524"/>
    <w:rsid w:val="008376DB"/>
    <w:rsid w:val="0083774D"/>
    <w:rsid w:val="00837B3C"/>
    <w:rsid w:val="00837E2F"/>
    <w:rsid w:val="008402F2"/>
    <w:rsid w:val="0084050F"/>
    <w:rsid w:val="00840C10"/>
    <w:rsid w:val="00840CF5"/>
    <w:rsid w:val="00840E91"/>
    <w:rsid w:val="00840F0C"/>
    <w:rsid w:val="008410BE"/>
    <w:rsid w:val="00841211"/>
    <w:rsid w:val="008413CD"/>
    <w:rsid w:val="008416DD"/>
    <w:rsid w:val="008419EA"/>
    <w:rsid w:val="00841A8D"/>
    <w:rsid w:val="008422A9"/>
    <w:rsid w:val="00842AEA"/>
    <w:rsid w:val="00842CC4"/>
    <w:rsid w:val="00842F2F"/>
    <w:rsid w:val="008438AF"/>
    <w:rsid w:val="00843B03"/>
    <w:rsid w:val="00843C94"/>
    <w:rsid w:val="00844BBD"/>
    <w:rsid w:val="00844C51"/>
    <w:rsid w:val="00845809"/>
    <w:rsid w:val="00845D05"/>
    <w:rsid w:val="008465C4"/>
    <w:rsid w:val="00846694"/>
    <w:rsid w:val="00846E7C"/>
    <w:rsid w:val="008471EB"/>
    <w:rsid w:val="00847300"/>
    <w:rsid w:val="00847436"/>
    <w:rsid w:val="00847590"/>
    <w:rsid w:val="008475A0"/>
    <w:rsid w:val="008475B5"/>
    <w:rsid w:val="0084769B"/>
    <w:rsid w:val="00847B76"/>
    <w:rsid w:val="00847B7C"/>
    <w:rsid w:val="00847E48"/>
    <w:rsid w:val="00850CA7"/>
    <w:rsid w:val="00850EF5"/>
    <w:rsid w:val="008517B6"/>
    <w:rsid w:val="00851F99"/>
    <w:rsid w:val="00852428"/>
    <w:rsid w:val="00852858"/>
    <w:rsid w:val="00852B24"/>
    <w:rsid w:val="00852CAE"/>
    <w:rsid w:val="00852D6D"/>
    <w:rsid w:val="00852EDF"/>
    <w:rsid w:val="00853444"/>
    <w:rsid w:val="008534E6"/>
    <w:rsid w:val="008536B8"/>
    <w:rsid w:val="008537D9"/>
    <w:rsid w:val="0085389A"/>
    <w:rsid w:val="00854075"/>
    <w:rsid w:val="008549A6"/>
    <w:rsid w:val="008549DE"/>
    <w:rsid w:val="00855810"/>
    <w:rsid w:val="00855A18"/>
    <w:rsid w:val="00855DD9"/>
    <w:rsid w:val="008565A6"/>
    <w:rsid w:val="00856A2D"/>
    <w:rsid w:val="00856AF6"/>
    <w:rsid w:val="00856DC4"/>
    <w:rsid w:val="0085707D"/>
    <w:rsid w:val="008572A0"/>
    <w:rsid w:val="0085730B"/>
    <w:rsid w:val="00857596"/>
    <w:rsid w:val="00857A80"/>
    <w:rsid w:val="00857A96"/>
    <w:rsid w:val="00857B28"/>
    <w:rsid w:val="00860317"/>
    <w:rsid w:val="008603FA"/>
    <w:rsid w:val="00860B89"/>
    <w:rsid w:val="0086166B"/>
    <w:rsid w:val="00861A2B"/>
    <w:rsid w:val="00861B19"/>
    <w:rsid w:val="008628EA"/>
    <w:rsid w:val="00862949"/>
    <w:rsid w:val="00862DA5"/>
    <w:rsid w:val="008639F3"/>
    <w:rsid w:val="00863DF2"/>
    <w:rsid w:val="00863FB2"/>
    <w:rsid w:val="008641C5"/>
    <w:rsid w:val="00864E63"/>
    <w:rsid w:val="00864EFD"/>
    <w:rsid w:val="0086523C"/>
    <w:rsid w:val="0086535C"/>
    <w:rsid w:val="00865C9B"/>
    <w:rsid w:val="0086624C"/>
    <w:rsid w:val="008664B3"/>
    <w:rsid w:val="0086687C"/>
    <w:rsid w:val="00866CC6"/>
    <w:rsid w:val="00866EC0"/>
    <w:rsid w:val="00867047"/>
    <w:rsid w:val="0086711E"/>
    <w:rsid w:val="0086791E"/>
    <w:rsid w:val="008679CB"/>
    <w:rsid w:val="00867EB0"/>
    <w:rsid w:val="008706AE"/>
    <w:rsid w:val="0087171C"/>
    <w:rsid w:val="008718F2"/>
    <w:rsid w:val="00871AD3"/>
    <w:rsid w:val="00872220"/>
    <w:rsid w:val="0087223E"/>
    <w:rsid w:val="008725F3"/>
    <w:rsid w:val="008726B8"/>
    <w:rsid w:val="00872E49"/>
    <w:rsid w:val="008733E0"/>
    <w:rsid w:val="00873539"/>
    <w:rsid w:val="008737DA"/>
    <w:rsid w:val="00873827"/>
    <w:rsid w:val="0087419B"/>
    <w:rsid w:val="008743BB"/>
    <w:rsid w:val="00874644"/>
    <w:rsid w:val="00874717"/>
    <w:rsid w:val="00874730"/>
    <w:rsid w:val="00875C0D"/>
    <w:rsid w:val="00875EF1"/>
    <w:rsid w:val="00875FCC"/>
    <w:rsid w:val="00876025"/>
    <w:rsid w:val="008760F3"/>
    <w:rsid w:val="00876482"/>
    <w:rsid w:val="0087675C"/>
    <w:rsid w:val="0087690D"/>
    <w:rsid w:val="00877191"/>
    <w:rsid w:val="008773F4"/>
    <w:rsid w:val="00877421"/>
    <w:rsid w:val="00877433"/>
    <w:rsid w:val="008774A9"/>
    <w:rsid w:val="008774CB"/>
    <w:rsid w:val="008779FF"/>
    <w:rsid w:val="00877DE4"/>
    <w:rsid w:val="0088039B"/>
    <w:rsid w:val="008803E8"/>
    <w:rsid w:val="0088068C"/>
    <w:rsid w:val="00880B6F"/>
    <w:rsid w:val="0088142E"/>
    <w:rsid w:val="00881AFF"/>
    <w:rsid w:val="00881B49"/>
    <w:rsid w:val="00881D3F"/>
    <w:rsid w:val="00882366"/>
    <w:rsid w:val="0088251A"/>
    <w:rsid w:val="00882692"/>
    <w:rsid w:val="008828FA"/>
    <w:rsid w:val="00882A68"/>
    <w:rsid w:val="00882C58"/>
    <w:rsid w:val="00882FDE"/>
    <w:rsid w:val="00883035"/>
    <w:rsid w:val="008831BD"/>
    <w:rsid w:val="00883214"/>
    <w:rsid w:val="0088328C"/>
    <w:rsid w:val="008834FB"/>
    <w:rsid w:val="008835A8"/>
    <w:rsid w:val="0088374E"/>
    <w:rsid w:val="00884080"/>
    <w:rsid w:val="00884218"/>
    <w:rsid w:val="0088422E"/>
    <w:rsid w:val="0088425A"/>
    <w:rsid w:val="00884BEA"/>
    <w:rsid w:val="00884C0E"/>
    <w:rsid w:val="00884CB4"/>
    <w:rsid w:val="00884E51"/>
    <w:rsid w:val="00885CAE"/>
    <w:rsid w:val="00885E17"/>
    <w:rsid w:val="00885FC2"/>
    <w:rsid w:val="008860CC"/>
    <w:rsid w:val="008869DD"/>
    <w:rsid w:val="00886CB7"/>
    <w:rsid w:val="008870B3"/>
    <w:rsid w:val="0088780F"/>
    <w:rsid w:val="00887A91"/>
    <w:rsid w:val="00887CEB"/>
    <w:rsid w:val="0089017C"/>
    <w:rsid w:val="008903FB"/>
    <w:rsid w:val="00890BEB"/>
    <w:rsid w:val="00891346"/>
    <w:rsid w:val="00891CDA"/>
    <w:rsid w:val="00891D4B"/>
    <w:rsid w:val="00891D6F"/>
    <w:rsid w:val="00892841"/>
    <w:rsid w:val="00892898"/>
    <w:rsid w:val="008928C6"/>
    <w:rsid w:val="008929C9"/>
    <w:rsid w:val="00892B50"/>
    <w:rsid w:val="008930A4"/>
    <w:rsid w:val="00893101"/>
    <w:rsid w:val="00893225"/>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47F"/>
    <w:rsid w:val="00896AE9"/>
    <w:rsid w:val="00896D1E"/>
    <w:rsid w:val="00896FAD"/>
    <w:rsid w:val="0089786D"/>
    <w:rsid w:val="00897936"/>
    <w:rsid w:val="008A00D2"/>
    <w:rsid w:val="008A0357"/>
    <w:rsid w:val="008A03E2"/>
    <w:rsid w:val="008A08FD"/>
    <w:rsid w:val="008A1526"/>
    <w:rsid w:val="008A15DB"/>
    <w:rsid w:val="008A17A1"/>
    <w:rsid w:val="008A1977"/>
    <w:rsid w:val="008A1CA2"/>
    <w:rsid w:val="008A1D4D"/>
    <w:rsid w:val="008A1DD4"/>
    <w:rsid w:val="008A1DD5"/>
    <w:rsid w:val="008A1FDD"/>
    <w:rsid w:val="008A201A"/>
    <w:rsid w:val="008A2465"/>
    <w:rsid w:val="008A256C"/>
    <w:rsid w:val="008A2852"/>
    <w:rsid w:val="008A2AF4"/>
    <w:rsid w:val="008A2C28"/>
    <w:rsid w:val="008A2DD7"/>
    <w:rsid w:val="008A351C"/>
    <w:rsid w:val="008A3B35"/>
    <w:rsid w:val="008A40A1"/>
    <w:rsid w:val="008A4139"/>
    <w:rsid w:val="008A4323"/>
    <w:rsid w:val="008A45C1"/>
    <w:rsid w:val="008A46D1"/>
    <w:rsid w:val="008A4964"/>
    <w:rsid w:val="008A4C3C"/>
    <w:rsid w:val="008A4DF9"/>
    <w:rsid w:val="008A4E5C"/>
    <w:rsid w:val="008A517C"/>
    <w:rsid w:val="008A51D1"/>
    <w:rsid w:val="008A52C8"/>
    <w:rsid w:val="008A5AEF"/>
    <w:rsid w:val="008A5E56"/>
    <w:rsid w:val="008A63B9"/>
    <w:rsid w:val="008A70F4"/>
    <w:rsid w:val="008A7697"/>
    <w:rsid w:val="008A7745"/>
    <w:rsid w:val="008A7B18"/>
    <w:rsid w:val="008A7E9E"/>
    <w:rsid w:val="008A7EB5"/>
    <w:rsid w:val="008B0487"/>
    <w:rsid w:val="008B0646"/>
    <w:rsid w:val="008B0CB1"/>
    <w:rsid w:val="008B0EC4"/>
    <w:rsid w:val="008B18D4"/>
    <w:rsid w:val="008B1940"/>
    <w:rsid w:val="008B1A7E"/>
    <w:rsid w:val="008B1E65"/>
    <w:rsid w:val="008B1FEE"/>
    <w:rsid w:val="008B23DC"/>
    <w:rsid w:val="008B2817"/>
    <w:rsid w:val="008B2867"/>
    <w:rsid w:val="008B2B54"/>
    <w:rsid w:val="008B2CA0"/>
    <w:rsid w:val="008B2CB4"/>
    <w:rsid w:val="008B2DC6"/>
    <w:rsid w:val="008B307A"/>
    <w:rsid w:val="008B36AD"/>
    <w:rsid w:val="008B4358"/>
    <w:rsid w:val="008B44C4"/>
    <w:rsid w:val="008B468E"/>
    <w:rsid w:val="008B4972"/>
    <w:rsid w:val="008B512F"/>
    <w:rsid w:val="008B517D"/>
    <w:rsid w:val="008B55BE"/>
    <w:rsid w:val="008B57AA"/>
    <w:rsid w:val="008B57E8"/>
    <w:rsid w:val="008B58AF"/>
    <w:rsid w:val="008B597B"/>
    <w:rsid w:val="008B5F6C"/>
    <w:rsid w:val="008B62C9"/>
    <w:rsid w:val="008B6862"/>
    <w:rsid w:val="008B6F06"/>
    <w:rsid w:val="008B70BC"/>
    <w:rsid w:val="008B7E06"/>
    <w:rsid w:val="008B7EF2"/>
    <w:rsid w:val="008C0444"/>
    <w:rsid w:val="008C0588"/>
    <w:rsid w:val="008C0F1A"/>
    <w:rsid w:val="008C102A"/>
    <w:rsid w:val="008C103B"/>
    <w:rsid w:val="008C137C"/>
    <w:rsid w:val="008C157A"/>
    <w:rsid w:val="008C179F"/>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B89"/>
    <w:rsid w:val="008C5E3C"/>
    <w:rsid w:val="008C6B23"/>
    <w:rsid w:val="008C6CE9"/>
    <w:rsid w:val="008C7013"/>
    <w:rsid w:val="008C7394"/>
    <w:rsid w:val="008C73EC"/>
    <w:rsid w:val="008C75A7"/>
    <w:rsid w:val="008C792A"/>
    <w:rsid w:val="008C7B89"/>
    <w:rsid w:val="008C7F97"/>
    <w:rsid w:val="008D01B9"/>
    <w:rsid w:val="008D03FB"/>
    <w:rsid w:val="008D0D3F"/>
    <w:rsid w:val="008D0E74"/>
    <w:rsid w:val="008D146A"/>
    <w:rsid w:val="008D1809"/>
    <w:rsid w:val="008D18B0"/>
    <w:rsid w:val="008D1D76"/>
    <w:rsid w:val="008D2747"/>
    <w:rsid w:val="008D390E"/>
    <w:rsid w:val="008D3EF1"/>
    <w:rsid w:val="008D3F17"/>
    <w:rsid w:val="008D426D"/>
    <w:rsid w:val="008D4460"/>
    <w:rsid w:val="008D49CA"/>
    <w:rsid w:val="008D4D53"/>
    <w:rsid w:val="008D530E"/>
    <w:rsid w:val="008D5EF0"/>
    <w:rsid w:val="008D60EF"/>
    <w:rsid w:val="008D6184"/>
    <w:rsid w:val="008D62ED"/>
    <w:rsid w:val="008D63BE"/>
    <w:rsid w:val="008D66EC"/>
    <w:rsid w:val="008D6A94"/>
    <w:rsid w:val="008D6B34"/>
    <w:rsid w:val="008D6DCA"/>
    <w:rsid w:val="008D6DE3"/>
    <w:rsid w:val="008D6F39"/>
    <w:rsid w:val="008D78DE"/>
    <w:rsid w:val="008E015C"/>
    <w:rsid w:val="008E01E0"/>
    <w:rsid w:val="008E02E1"/>
    <w:rsid w:val="008E0610"/>
    <w:rsid w:val="008E0717"/>
    <w:rsid w:val="008E0B8B"/>
    <w:rsid w:val="008E0C83"/>
    <w:rsid w:val="008E0CC2"/>
    <w:rsid w:val="008E0EB6"/>
    <w:rsid w:val="008E10FC"/>
    <w:rsid w:val="008E1D6F"/>
    <w:rsid w:val="008E1E51"/>
    <w:rsid w:val="008E220F"/>
    <w:rsid w:val="008E267F"/>
    <w:rsid w:val="008E27DE"/>
    <w:rsid w:val="008E299C"/>
    <w:rsid w:val="008E2BCC"/>
    <w:rsid w:val="008E3077"/>
    <w:rsid w:val="008E30CF"/>
    <w:rsid w:val="008E369E"/>
    <w:rsid w:val="008E373E"/>
    <w:rsid w:val="008E3771"/>
    <w:rsid w:val="008E383B"/>
    <w:rsid w:val="008E3E2C"/>
    <w:rsid w:val="008E4133"/>
    <w:rsid w:val="008E433C"/>
    <w:rsid w:val="008E481B"/>
    <w:rsid w:val="008E4CCB"/>
    <w:rsid w:val="008E4FFA"/>
    <w:rsid w:val="008E577C"/>
    <w:rsid w:val="008E5873"/>
    <w:rsid w:val="008E5887"/>
    <w:rsid w:val="008E63E0"/>
    <w:rsid w:val="008E641A"/>
    <w:rsid w:val="008E70F6"/>
    <w:rsid w:val="008E7649"/>
    <w:rsid w:val="008E77F2"/>
    <w:rsid w:val="008E7D20"/>
    <w:rsid w:val="008F0AC8"/>
    <w:rsid w:val="008F0E28"/>
    <w:rsid w:val="008F0F3C"/>
    <w:rsid w:val="008F10F8"/>
    <w:rsid w:val="008F1231"/>
    <w:rsid w:val="008F1300"/>
    <w:rsid w:val="008F1563"/>
    <w:rsid w:val="008F18CA"/>
    <w:rsid w:val="008F1AB0"/>
    <w:rsid w:val="008F1EA4"/>
    <w:rsid w:val="008F2666"/>
    <w:rsid w:val="008F286E"/>
    <w:rsid w:val="008F2B09"/>
    <w:rsid w:val="008F35B5"/>
    <w:rsid w:val="008F3778"/>
    <w:rsid w:val="008F3817"/>
    <w:rsid w:val="008F4146"/>
    <w:rsid w:val="008F45BE"/>
    <w:rsid w:val="008F4B49"/>
    <w:rsid w:val="008F4BE6"/>
    <w:rsid w:val="008F5026"/>
    <w:rsid w:val="008F5345"/>
    <w:rsid w:val="008F5464"/>
    <w:rsid w:val="008F54C1"/>
    <w:rsid w:val="008F54F0"/>
    <w:rsid w:val="008F5A6E"/>
    <w:rsid w:val="008F5CE6"/>
    <w:rsid w:val="008F60D5"/>
    <w:rsid w:val="008F6214"/>
    <w:rsid w:val="008F62A1"/>
    <w:rsid w:val="008F67C4"/>
    <w:rsid w:val="008F67CF"/>
    <w:rsid w:val="008F6DBC"/>
    <w:rsid w:val="008F6EE6"/>
    <w:rsid w:val="008F71BD"/>
    <w:rsid w:val="008F7378"/>
    <w:rsid w:val="008F773C"/>
    <w:rsid w:val="008F78D6"/>
    <w:rsid w:val="008F79A0"/>
    <w:rsid w:val="0090006C"/>
    <w:rsid w:val="00900B03"/>
    <w:rsid w:val="00901145"/>
    <w:rsid w:val="00901D4A"/>
    <w:rsid w:val="0090234B"/>
    <w:rsid w:val="009023F9"/>
    <w:rsid w:val="0090266F"/>
    <w:rsid w:val="009026F2"/>
    <w:rsid w:val="00903515"/>
    <w:rsid w:val="009035B4"/>
    <w:rsid w:val="00903BCA"/>
    <w:rsid w:val="00904598"/>
    <w:rsid w:val="0090527B"/>
    <w:rsid w:val="00905620"/>
    <w:rsid w:val="00905743"/>
    <w:rsid w:val="00905ECE"/>
    <w:rsid w:val="00905F15"/>
    <w:rsid w:val="00906333"/>
    <w:rsid w:val="00906371"/>
    <w:rsid w:val="009067C5"/>
    <w:rsid w:val="009067ED"/>
    <w:rsid w:val="00906BCE"/>
    <w:rsid w:val="0090760B"/>
    <w:rsid w:val="00907659"/>
    <w:rsid w:val="0090785F"/>
    <w:rsid w:val="00907923"/>
    <w:rsid w:val="00907EBE"/>
    <w:rsid w:val="009101B1"/>
    <w:rsid w:val="0091063B"/>
    <w:rsid w:val="00911075"/>
    <w:rsid w:val="009113E6"/>
    <w:rsid w:val="0091177F"/>
    <w:rsid w:val="00911945"/>
    <w:rsid w:val="00911DAF"/>
    <w:rsid w:val="00912637"/>
    <w:rsid w:val="00912804"/>
    <w:rsid w:val="00912A27"/>
    <w:rsid w:val="00912A5B"/>
    <w:rsid w:val="00912A6C"/>
    <w:rsid w:val="00912DA6"/>
    <w:rsid w:val="00912DC5"/>
    <w:rsid w:val="009138B1"/>
    <w:rsid w:val="009139C5"/>
    <w:rsid w:val="00913CD1"/>
    <w:rsid w:val="00913D57"/>
    <w:rsid w:val="00913DE6"/>
    <w:rsid w:val="009144AF"/>
    <w:rsid w:val="009148D3"/>
    <w:rsid w:val="00914B4C"/>
    <w:rsid w:val="00915595"/>
    <w:rsid w:val="00915752"/>
    <w:rsid w:val="00915B47"/>
    <w:rsid w:val="00915D5A"/>
    <w:rsid w:val="00915E0D"/>
    <w:rsid w:val="00916472"/>
    <w:rsid w:val="0091685C"/>
    <w:rsid w:val="00916D7B"/>
    <w:rsid w:val="00916DF0"/>
    <w:rsid w:val="00916E29"/>
    <w:rsid w:val="0091705E"/>
    <w:rsid w:val="00917223"/>
    <w:rsid w:val="0092034C"/>
    <w:rsid w:val="009207E8"/>
    <w:rsid w:val="00920943"/>
    <w:rsid w:val="0092105F"/>
    <w:rsid w:val="009214A4"/>
    <w:rsid w:val="0092153C"/>
    <w:rsid w:val="009215E6"/>
    <w:rsid w:val="00921E3B"/>
    <w:rsid w:val="009221D3"/>
    <w:rsid w:val="009225DB"/>
    <w:rsid w:val="0092328E"/>
    <w:rsid w:val="0092330C"/>
    <w:rsid w:val="0092347C"/>
    <w:rsid w:val="00923568"/>
    <w:rsid w:val="009237C2"/>
    <w:rsid w:val="0092380A"/>
    <w:rsid w:val="00923902"/>
    <w:rsid w:val="00923945"/>
    <w:rsid w:val="009239E8"/>
    <w:rsid w:val="00923D31"/>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1089"/>
    <w:rsid w:val="0093111B"/>
    <w:rsid w:val="0093178B"/>
    <w:rsid w:val="0093218B"/>
    <w:rsid w:val="00932612"/>
    <w:rsid w:val="0093266A"/>
    <w:rsid w:val="0093278B"/>
    <w:rsid w:val="00932822"/>
    <w:rsid w:val="00932828"/>
    <w:rsid w:val="009332E8"/>
    <w:rsid w:val="00933575"/>
    <w:rsid w:val="009338F8"/>
    <w:rsid w:val="00933DEB"/>
    <w:rsid w:val="00933EF0"/>
    <w:rsid w:val="0093409A"/>
    <w:rsid w:val="009346B6"/>
    <w:rsid w:val="009348D9"/>
    <w:rsid w:val="00934C4D"/>
    <w:rsid w:val="00934C4F"/>
    <w:rsid w:val="009350C6"/>
    <w:rsid w:val="009351F2"/>
    <w:rsid w:val="00935349"/>
    <w:rsid w:val="009353FA"/>
    <w:rsid w:val="009354D9"/>
    <w:rsid w:val="00935FEA"/>
    <w:rsid w:val="009365A5"/>
    <w:rsid w:val="00936F59"/>
    <w:rsid w:val="009370CE"/>
    <w:rsid w:val="00937272"/>
    <w:rsid w:val="00937317"/>
    <w:rsid w:val="009377C0"/>
    <w:rsid w:val="00937A99"/>
    <w:rsid w:val="009400BF"/>
    <w:rsid w:val="009409B6"/>
    <w:rsid w:val="00940B15"/>
    <w:rsid w:val="00940ED8"/>
    <w:rsid w:val="00941464"/>
    <w:rsid w:val="009414D7"/>
    <w:rsid w:val="009419CD"/>
    <w:rsid w:val="00941CB7"/>
    <w:rsid w:val="00942428"/>
    <w:rsid w:val="009429C4"/>
    <w:rsid w:val="00942C22"/>
    <w:rsid w:val="00942D96"/>
    <w:rsid w:val="00943159"/>
    <w:rsid w:val="009434B9"/>
    <w:rsid w:val="009434CE"/>
    <w:rsid w:val="009435BC"/>
    <w:rsid w:val="00943BC3"/>
    <w:rsid w:val="009444C2"/>
    <w:rsid w:val="00944673"/>
    <w:rsid w:val="00944751"/>
    <w:rsid w:val="009447E3"/>
    <w:rsid w:val="00944A91"/>
    <w:rsid w:val="0094500A"/>
    <w:rsid w:val="00945761"/>
    <w:rsid w:val="0094597B"/>
    <w:rsid w:val="00945F66"/>
    <w:rsid w:val="009462F5"/>
    <w:rsid w:val="0094635A"/>
    <w:rsid w:val="00946462"/>
    <w:rsid w:val="00946606"/>
    <w:rsid w:val="0094682C"/>
    <w:rsid w:val="009470DE"/>
    <w:rsid w:val="00947464"/>
    <w:rsid w:val="00947777"/>
    <w:rsid w:val="00947907"/>
    <w:rsid w:val="00947A68"/>
    <w:rsid w:val="00947D22"/>
    <w:rsid w:val="00950670"/>
    <w:rsid w:val="00952349"/>
    <w:rsid w:val="009529A0"/>
    <w:rsid w:val="00952E84"/>
    <w:rsid w:val="009530AE"/>
    <w:rsid w:val="00953574"/>
    <w:rsid w:val="0095371E"/>
    <w:rsid w:val="00953A30"/>
    <w:rsid w:val="0095418D"/>
    <w:rsid w:val="009543FF"/>
    <w:rsid w:val="00954A20"/>
    <w:rsid w:val="009551A2"/>
    <w:rsid w:val="009554F2"/>
    <w:rsid w:val="0095563D"/>
    <w:rsid w:val="0095568E"/>
    <w:rsid w:val="009559F3"/>
    <w:rsid w:val="00955C65"/>
    <w:rsid w:val="00955E81"/>
    <w:rsid w:val="009564D1"/>
    <w:rsid w:val="00957622"/>
    <w:rsid w:val="00957AE8"/>
    <w:rsid w:val="00957CF8"/>
    <w:rsid w:val="00957EC2"/>
    <w:rsid w:val="0096028C"/>
    <w:rsid w:val="00960563"/>
    <w:rsid w:val="00960791"/>
    <w:rsid w:val="00960A3D"/>
    <w:rsid w:val="00960EA8"/>
    <w:rsid w:val="00960FA5"/>
    <w:rsid w:val="00961218"/>
    <w:rsid w:val="009613C1"/>
    <w:rsid w:val="009614F1"/>
    <w:rsid w:val="0096165E"/>
    <w:rsid w:val="009616E2"/>
    <w:rsid w:val="00961B9C"/>
    <w:rsid w:val="009622F3"/>
    <w:rsid w:val="00962304"/>
    <w:rsid w:val="00962B6C"/>
    <w:rsid w:val="0096301A"/>
    <w:rsid w:val="0096313F"/>
    <w:rsid w:val="00963479"/>
    <w:rsid w:val="0096381E"/>
    <w:rsid w:val="0096399D"/>
    <w:rsid w:val="00963B3E"/>
    <w:rsid w:val="00964337"/>
    <w:rsid w:val="00964389"/>
    <w:rsid w:val="00964467"/>
    <w:rsid w:val="00964F09"/>
    <w:rsid w:val="009650EF"/>
    <w:rsid w:val="00965331"/>
    <w:rsid w:val="00966052"/>
    <w:rsid w:val="009661D0"/>
    <w:rsid w:val="00966C36"/>
    <w:rsid w:val="00967139"/>
    <w:rsid w:val="0096727A"/>
    <w:rsid w:val="00967773"/>
    <w:rsid w:val="0096781B"/>
    <w:rsid w:val="00967D09"/>
    <w:rsid w:val="00970377"/>
    <w:rsid w:val="00970392"/>
    <w:rsid w:val="00970FC6"/>
    <w:rsid w:val="0097157E"/>
    <w:rsid w:val="00971A21"/>
    <w:rsid w:val="00972054"/>
    <w:rsid w:val="00972246"/>
    <w:rsid w:val="0097243C"/>
    <w:rsid w:val="00972C44"/>
    <w:rsid w:val="009733AE"/>
    <w:rsid w:val="00973545"/>
    <w:rsid w:val="00973CBA"/>
    <w:rsid w:val="00973F8E"/>
    <w:rsid w:val="0097465C"/>
    <w:rsid w:val="009746F4"/>
    <w:rsid w:val="00974AE6"/>
    <w:rsid w:val="00975A9A"/>
    <w:rsid w:val="0097673A"/>
    <w:rsid w:val="00976F7F"/>
    <w:rsid w:val="009770CC"/>
    <w:rsid w:val="00977ABA"/>
    <w:rsid w:val="00980128"/>
    <w:rsid w:val="009801FC"/>
    <w:rsid w:val="0098077D"/>
    <w:rsid w:val="0098098C"/>
    <w:rsid w:val="00980EBD"/>
    <w:rsid w:val="009826D9"/>
    <w:rsid w:val="00983533"/>
    <w:rsid w:val="0098373B"/>
    <w:rsid w:val="0098393E"/>
    <w:rsid w:val="00983943"/>
    <w:rsid w:val="00983BF4"/>
    <w:rsid w:val="00983EBA"/>
    <w:rsid w:val="00983F8E"/>
    <w:rsid w:val="00984696"/>
    <w:rsid w:val="009846F6"/>
    <w:rsid w:val="00984892"/>
    <w:rsid w:val="00984D31"/>
    <w:rsid w:val="00984D7A"/>
    <w:rsid w:val="00984EE1"/>
    <w:rsid w:val="00984F46"/>
    <w:rsid w:val="009850B8"/>
    <w:rsid w:val="00985C15"/>
    <w:rsid w:val="00985F89"/>
    <w:rsid w:val="00986457"/>
    <w:rsid w:val="00986530"/>
    <w:rsid w:val="00986A78"/>
    <w:rsid w:val="00987332"/>
    <w:rsid w:val="0098777E"/>
    <w:rsid w:val="00987B7F"/>
    <w:rsid w:val="00987C13"/>
    <w:rsid w:val="0099008A"/>
    <w:rsid w:val="00990411"/>
    <w:rsid w:val="00990413"/>
    <w:rsid w:val="009906A4"/>
    <w:rsid w:val="00990EE0"/>
    <w:rsid w:val="00990FC4"/>
    <w:rsid w:val="009911FD"/>
    <w:rsid w:val="0099178E"/>
    <w:rsid w:val="00991CCA"/>
    <w:rsid w:val="00992A8B"/>
    <w:rsid w:val="00992C96"/>
    <w:rsid w:val="00993226"/>
    <w:rsid w:val="0099322F"/>
    <w:rsid w:val="00993A68"/>
    <w:rsid w:val="00993DE6"/>
    <w:rsid w:val="009945B3"/>
    <w:rsid w:val="00994831"/>
    <w:rsid w:val="00994CC6"/>
    <w:rsid w:val="00995180"/>
    <w:rsid w:val="00995427"/>
    <w:rsid w:val="0099549A"/>
    <w:rsid w:val="00995CEA"/>
    <w:rsid w:val="00995D5B"/>
    <w:rsid w:val="00995F52"/>
    <w:rsid w:val="009964BA"/>
    <w:rsid w:val="0099653D"/>
    <w:rsid w:val="009967CC"/>
    <w:rsid w:val="00996DE6"/>
    <w:rsid w:val="00996E46"/>
    <w:rsid w:val="00997235"/>
    <w:rsid w:val="00997540"/>
    <w:rsid w:val="009976BD"/>
    <w:rsid w:val="00997F4F"/>
    <w:rsid w:val="009A09B7"/>
    <w:rsid w:val="009A0ECF"/>
    <w:rsid w:val="009A1119"/>
    <w:rsid w:val="009A1369"/>
    <w:rsid w:val="009A1547"/>
    <w:rsid w:val="009A177E"/>
    <w:rsid w:val="009A1A84"/>
    <w:rsid w:val="009A28BA"/>
    <w:rsid w:val="009A2FDC"/>
    <w:rsid w:val="009A35B0"/>
    <w:rsid w:val="009A35CA"/>
    <w:rsid w:val="009A373C"/>
    <w:rsid w:val="009A4096"/>
    <w:rsid w:val="009A4B84"/>
    <w:rsid w:val="009A4E1D"/>
    <w:rsid w:val="009A5151"/>
    <w:rsid w:val="009A58B0"/>
    <w:rsid w:val="009A5D7A"/>
    <w:rsid w:val="009A5F87"/>
    <w:rsid w:val="009A5F8E"/>
    <w:rsid w:val="009A62F4"/>
    <w:rsid w:val="009A6C43"/>
    <w:rsid w:val="009A6F6B"/>
    <w:rsid w:val="009A6FFE"/>
    <w:rsid w:val="009A774C"/>
    <w:rsid w:val="009A7C0B"/>
    <w:rsid w:val="009A7CE0"/>
    <w:rsid w:val="009A7CFC"/>
    <w:rsid w:val="009B008F"/>
    <w:rsid w:val="009B0233"/>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A8F"/>
    <w:rsid w:val="009B5D53"/>
    <w:rsid w:val="009B6113"/>
    <w:rsid w:val="009B6501"/>
    <w:rsid w:val="009B6C22"/>
    <w:rsid w:val="009B6EFC"/>
    <w:rsid w:val="009B73AE"/>
    <w:rsid w:val="009B7771"/>
    <w:rsid w:val="009B78A4"/>
    <w:rsid w:val="009B7E53"/>
    <w:rsid w:val="009B7F61"/>
    <w:rsid w:val="009C015B"/>
    <w:rsid w:val="009C01BD"/>
    <w:rsid w:val="009C01DD"/>
    <w:rsid w:val="009C06CE"/>
    <w:rsid w:val="009C1390"/>
    <w:rsid w:val="009C15E8"/>
    <w:rsid w:val="009C16CD"/>
    <w:rsid w:val="009C17E5"/>
    <w:rsid w:val="009C1A1A"/>
    <w:rsid w:val="009C22D6"/>
    <w:rsid w:val="009C2581"/>
    <w:rsid w:val="009C28A4"/>
    <w:rsid w:val="009C2B38"/>
    <w:rsid w:val="009C30CF"/>
    <w:rsid w:val="009C3444"/>
    <w:rsid w:val="009C385C"/>
    <w:rsid w:val="009C3C1A"/>
    <w:rsid w:val="009C4096"/>
    <w:rsid w:val="009C4947"/>
    <w:rsid w:val="009C4C59"/>
    <w:rsid w:val="009C5383"/>
    <w:rsid w:val="009C539A"/>
    <w:rsid w:val="009C53D5"/>
    <w:rsid w:val="009C5643"/>
    <w:rsid w:val="009C5B64"/>
    <w:rsid w:val="009C5E7B"/>
    <w:rsid w:val="009C6040"/>
    <w:rsid w:val="009C6BF6"/>
    <w:rsid w:val="009C6C0E"/>
    <w:rsid w:val="009C6C69"/>
    <w:rsid w:val="009C6D9F"/>
    <w:rsid w:val="009C6F7C"/>
    <w:rsid w:val="009C7264"/>
    <w:rsid w:val="009C72FB"/>
    <w:rsid w:val="009C7783"/>
    <w:rsid w:val="009C7897"/>
    <w:rsid w:val="009C7BC8"/>
    <w:rsid w:val="009D00C7"/>
    <w:rsid w:val="009D032A"/>
    <w:rsid w:val="009D04C7"/>
    <w:rsid w:val="009D05F9"/>
    <w:rsid w:val="009D08B1"/>
    <w:rsid w:val="009D0ADE"/>
    <w:rsid w:val="009D0B13"/>
    <w:rsid w:val="009D20E0"/>
    <w:rsid w:val="009D315F"/>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1D1"/>
    <w:rsid w:val="009E04D4"/>
    <w:rsid w:val="009E0708"/>
    <w:rsid w:val="009E095D"/>
    <w:rsid w:val="009E100C"/>
    <w:rsid w:val="009E1296"/>
    <w:rsid w:val="009E1888"/>
    <w:rsid w:val="009E19E0"/>
    <w:rsid w:val="009E1E01"/>
    <w:rsid w:val="009E22FD"/>
    <w:rsid w:val="009E2416"/>
    <w:rsid w:val="009E2949"/>
    <w:rsid w:val="009E2AC9"/>
    <w:rsid w:val="009E2B1B"/>
    <w:rsid w:val="009E2FF5"/>
    <w:rsid w:val="009E3D4A"/>
    <w:rsid w:val="009E4841"/>
    <w:rsid w:val="009E4D8C"/>
    <w:rsid w:val="009E4FC9"/>
    <w:rsid w:val="009E561F"/>
    <w:rsid w:val="009E61C2"/>
    <w:rsid w:val="009E6502"/>
    <w:rsid w:val="009E655A"/>
    <w:rsid w:val="009E6EA2"/>
    <w:rsid w:val="009E79A0"/>
    <w:rsid w:val="009E7ABF"/>
    <w:rsid w:val="009F000F"/>
    <w:rsid w:val="009F0086"/>
    <w:rsid w:val="009F0146"/>
    <w:rsid w:val="009F1934"/>
    <w:rsid w:val="009F1B0D"/>
    <w:rsid w:val="009F1F30"/>
    <w:rsid w:val="009F224F"/>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877"/>
    <w:rsid w:val="009F6893"/>
    <w:rsid w:val="009F6DAD"/>
    <w:rsid w:val="009F6FCB"/>
    <w:rsid w:val="009F70F9"/>
    <w:rsid w:val="009F7710"/>
    <w:rsid w:val="009F7CAC"/>
    <w:rsid w:val="00A002FD"/>
    <w:rsid w:val="00A0046D"/>
    <w:rsid w:val="00A00DC3"/>
    <w:rsid w:val="00A01161"/>
    <w:rsid w:val="00A012BB"/>
    <w:rsid w:val="00A014C3"/>
    <w:rsid w:val="00A0171C"/>
    <w:rsid w:val="00A01A51"/>
    <w:rsid w:val="00A01A6F"/>
    <w:rsid w:val="00A0260A"/>
    <w:rsid w:val="00A0268A"/>
    <w:rsid w:val="00A02AE2"/>
    <w:rsid w:val="00A032D3"/>
    <w:rsid w:val="00A0337D"/>
    <w:rsid w:val="00A038CC"/>
    <w:rsid w:val="00A03F16"/>
    <w:rsid w:val="00A044A1"/>
    <w:rsid w:val="00A05136"/>
    <w:rsid w:val="00A05F06"/>
    <w:rsid w:val="00A06219"/>
    <w:rsid w:val="00A0757A"/>
    <w:rsid w:val="00A075A3"/>
    <w:rsid w:val="00A0763F"/>
    <w:rsid w:val="00A07AB9"/>
    <w:rsid w:val="00A07AE9"/>
    <w:rsid w:val="00A07B29"/>
    <w:rsid w:val="00A07EBB"/>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93D"/>
    <w:rsid w:val="00A13CA8"/>
    <w:rsid w:val="00A13E0A"/>
    <w:rsid w:val="00A13FEF"/>
    <w:rsid w:val="00A14012"/>
    <w:rsid w:val="00A147EB"/>
    <w:rsid w:val="00A14992"/>
    <w:rsid w:val="00A14D22"/>
    <w:rsid w:val="00A14D61"/>
    <w:rsid w:val="00A14DF6"/>
    <w:rsid w:val="00A1576A"/>
    <w:rsid w:val="00A157AC"/>
    <w:rsid w:val="00A158D2"/>
    <w:rsid w:val="00A1660B"/>
    <w:rsid w:val="00A16640"/>
    <w:rsid w:val="00A16855"/>
    <w:rsid w:val="00A168F1"/>
    <w:rsid w:val="00A169B3"/>
    <w:rsid w:val="00A17464"/>
    <w:rsid w:val="00A1783D"/>
    <w:rsid w:val="00A178DB"/>
    <w:rsid w:val="00A2001F"/>
    <w:rsid w:val="00A20098"/>
    <w:rsid w:val="00A200FD"/>
    <w:rsid w:val="00A206A9"/>
    <w:rsid w:val="00A20828"/>
    <w:rsid w:val="00A20B55"/>
    <w:rsid w:val="00A20D6C"/>
    <w:rsid w:val="00A21058"/>
    <w:rsid w:val="00A21148"/>
    <w:rsid w:val="00A21583"/>
    <w:rsid w:val="00A219FD"/>
    <w:rsid w:val="00A21D83"/>
    <w:rsid w:val="00A2205A"/>
    <w:rsid w:val="00A2239A"/>
    <w:rsid w:val="00A226AF"/>
    <w:rsid w:val="00A22F58"/>
    <w:rsid w:val="00A23263"/>
    <w:rsid w:val="00A23358"/>
    <w:rsid w:val="00A2369F"/>
    <w:rsid w:val="00A23A9F"/>
    <w:rsid w:val="00A24335"/>
    <w:rsid w:val="00A24529"/>
    <w:rsid w:val="00A247C5"/>
    <w:rsid w:val="00A24BBA"/>
    <w:rsid w:val="00A24CB8"/>
    <w:rsid w:val="00A24E81"/>
    <w:rsid w:val="00A24ECF"/>
    <w:rsid w:val="00A24F45"/>
    <w:rsid w:val="00A252AE"/>
    <w:rsid w:val="00A253AC"/>
    <w:rsid w:val="00A257D1"/>
    <w:rsid w:val="00A25DEF"/>
    <w:rsid w:val="00A26093"/>
    <w:rsid w:val="00A26170"/>
    <w:rsid w:val="00A26177"/>
    <w:rsid w:val="00A26323"/>
    <w:rsid w:val="00A263EB"/>
    <w:rsid w:val="00A26A18"/>
    <w:rsid w:val="00A26A4C"/>
    <w:rsid w:val="00A2709E"/>
    <w:rsid w:val="00A27142"/>
    <w:rsid w:val="00A2752C"/>
    <w:rsid w:val="00A27792"/>
    <w:rsid w:val="00A27896"/>
    <w:rsid w:val="00A30290"/>
    <w:rsid w:val="00A3053B"/>
    <w:rsid w:val="00A30613"/>
    <w:rsid w:val="00A30AA2"/>
    <w:rsid w:val="00A31DBF"/>
    <w:rsid w:val="00A31E63"/>
    <w:rsid w:val="00A32465"/>
    <w:rsid w:val="00A32625"/>
    <w:rsid w:val="00A331C8"/>
    <w:rsid w:val="00A3330A"/>
    <w:rsid w:val="00A3374E"/>
    <w:rsid w:val="00A337C0"/>
    <w:rsid w:val="00A33B0C"/>
    <w:rsid w:val="00A33BD1"/>
    <w:rsid w:val="00A33FED"/>
    <w:rsid w:val="00A3414F"/>
    <w:rsid w:val="00A348A3"/>
    <w:rsid w:val="00A3499F"/>
    <w:rsid w:val="00A3558D"/>
    <w:rsid w:val="00A35BDE"/>
    <w:rsid w:val="00A35E05"/>
    <w:rsid w:val="00A35E90"/>
    <w:rsid w:val="00A35F5A"/>
    <w:rsid w:val="00A35FE9"/>
    <w:rsid w:val="00A369EF"/>
    <w:rsid w:val="00A37007"/>
    <w:rsid w:val="00A37866"/>
    <w:rsid w:val="00A37999"/>
    <w:rsid w:val="00A379C7"/>
    <w:rsid w:val="00A37C7C"/>
    <w:rsid w:val="00A408C8"/>
    <w:rsid w:val="00A40BAA"/>
    <w:rsid w:val="00A40D45"/>
    <w:rsid w:val="00A40F85"/>
    <w:rsid w:val="00A40F94"/>
    <w:rsid w:val="00A41924"/>
    <w:rsid w:val="00A41A3C"/>
    <w:rsid w:val="00A423B0"/>
    <w:rsid w:val="00A42667"/>
    <w:rsid w:val="00A42F5B"/>
    <w:rsid w:val="00A431BA"/>
    <w:rsid w:val="00A43427"/>
    <w:rsid w:val="00A43499"/>
    <w:rsid w:val="00A43CA3"/>
    <w:rsid w:val="00A43EC7"/>
    <w:rsid w:val="00A44216"/>
    <w:rsid w:val="00A44409"/>
    <w:rsid w:val="00A4457E"/>
    <w:rsid w:val="00A44871"/>
    <w:rsid w:val="00A44E6D"/>
    <w:rsid w:val="00A45015"/>
    <w:rsid w:val="00A4505B"/>
    <w:rsid w:val="00A4537B"/>
    <w:rsid w:val="00A453B0"/>
    <w:rsid w:val="00A454FC"/>
    <w:rsid w:val="00A4565F"/>
    <w:rsid w:val="00A45846"/>
    <w:rsid w:val="00A45EF0"/>
    <w:rsid w:val="00A45F6E"/>
    <w:rsid w:val="00A46195"/>
    <w:rsid w:val="00A46A4C"/>
    <w:rsid w:val="00A46CF8"/>
    <w:rsid w:val="00A46E0B"/>
    <w:rsid w:val="00A4766A"/>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B50"/>
    <w:rsid w:val="00A54D6B"/>
    <w:rsid w:val="00A550B8"/>
    <w:rsid w:val="00A55A10"/>
    <w:rsid w:val="00A55DC8"/>
    <w:rsid w:val="00A55ED3"/>
    <w:rsid w:val="00A5632B"/>
    <w:rsid w:val="00A563D3"/>
    <w:rsid w:val="00A56579"/>
    <w:rsid w:val="00A56726"/>
    <w:rsid w:val="00A56765"/>
    <w:rsid w:val="00A56AC5"/>
    <w:rsid w:val="00A574F0"/>
    <w:rsid w:val="00A57755"/>
    <w:rsid w:val="00A57B63"/>
    <w:rsid w:val="00A57BA9"/>
    <w:rsid w:val="00A60132"/>
    <w:rsid w:val="00A60939"/>
    <w:rsid w:val="00A60A0F"/>
    <w:rsid w:val="00A60A69"/>
    <w:rsid w:val="00A617E7"/>
    <w:rsid w:val="00A619F3"/>
    <w:rsid w:val="00A61DC9"/>
    <w:rsid w:val="00A61F1E"/>
    <w:rsid w:val="00A61F43"/>
    <w:rsid w:val="00A62ED1"/>
    <w:rsid w:val="00A633E0"/>
    <w:rsid w:val="00A63601"/>
    <w:rsid w:val="00A63B2D"/>
    <w:rsid w:val="00A63D29"/>
    <w:rsid w:val="00A6404F"/>
    <w:rsid w:val="00A640B5"/>
    <w:rsid w:val="00A64426"/>
    <w:rsid w:val="00A64468"/>
    <w:rsid w:val="00A64728"/>
    <w:rsid w:val="00A64904"/>
    <w:rsid w:val="00A64C1C"/>
    <w:rsid w:val="00A64CBA"/>
    <w:rsid w:val="00A64E4E"/>
    <w:rsid w:val="00A65185"/>
    <w:rsid w:val="00A659D8"/>
    <w:rsid w:val="00A65AFA"/>
    <w:rsid w:val="00A65B38"/>
    <w:rsid w:val="00A65E89"/>
    <w:rsid w:val="00A6608B"/>
    <w:rsid w:val="00A66603"/>
    <w:rsid w:val="00A66D4C"/>
    <w:rsid w:val="00A67379"/>
    <w:rsid w:val="00A6764A"/>
    <w:rsid w:val="00A67676"/>
    <w:rsid w:val="00A67BCA"/>
    <w:rsid w:val="00A67CCE"/>
    <w:rsid w:val="00A7034D"/>
    <w:rsid w:val="00A70EBC"/>
    <w:rsid w:val="00A70FE3"/>
    <w:rsid w:val="00A710D0"/>
    <w:rsid w:val="00A7118D"/>
    <w:rsid w:val="00A71339"/>
    <w:rsid w:val="00A7135B"/>
    <w:rsid w:val="00A71759"/>
    <w:rsid w:val="00A71A83"/>
    <w:rsid w:val="00A71C96"/>
    <w:rsid w:val="00A72091"/>
    <w:rsid w:val="00A723BF"/>
    <w:rsid w:val="00A72469"/>
    <w:rsid w:val="00A72829"/>
    <w:rsid w:val="00A72BFA"/>
    <w:rsid w:val="00A72CAF"/>
    <w:rsid w:val="00A730EA"/>
    <w:rsid w:val="00A73139"/>
    <w:rsid w:val="00A7374F"/>
    <w:rsid w:val="00A73894"/>
    <w:rsid w:val="00A73993"/>
    <w:rsid w:val="00A73BB9"/>
    <w:rsid w:val="00A73F82"/>
    <w:rsid w:val="00A73FEE"/>
    <w:rsid w:val="00A742B1"/>
    <w:rsid w:val="00A74CDF"/>
    <w:rsid w:val="00A74CE9"/>
    <w:rsid w:val="00A75408"/>
    <w:rsid w:val="00A75598"/>
    <w:rsid w:val="00A756D0"/>
    <w:rsid w:val="00A75BCB"/>
    <w:rsid w:val="00A75CC3"/>
    <w:rsid w:val="00A75F1D"/>
    <w:rsid w:val="00A75F8C"/>
    <w:rsid w:val="00A761CF"/>
    <w:rsid w:val="00A7631D"/>
    <w:rsid w:val="00A7667E"/>
    <w:rsid w:val="00A76D19"/>
    <w:rsid w:val="00A775E6"/>
    <w:rsid w:val="00A7768F"/>
    <w:rsid w:val="00A7771D"/>
    <w:rsid w:val="00A80BF6"/>
    <w:rsid w:val="00A80E98"/>
    <w:rsid w:val="00A8136C"/>
    <w:rsid w:val="00A81694"/>
    <w:rsid w:val="00A817CD"/>
    <w:rsid w:val="00A818A0"/>
    <w:rsid w:val="00A81935"/>
    <w:rsid w:val="00A82113"/>
    <w:rsid w:val="00A825A5"/>
    <w:rsid w:val="00A82899"/>
    <w:rsid w:val="00A82D87"/>
    <w:rsid w:val="00A83251"/>
    <w:rsid w:val="00A83ACB"/>
    <w:rsid w:val="00A844C2"/>
    <w:rsid w:val="00A84BBC"/>
    <w:rsid w:val="00A85698"/>
    <w:rsid w:val="00A859E4"/>
    <w:rsid w:val="00A85BDC"/>
    <w:rsid w:val="00A85C83"/>
    <w:rsid w:val="00A85CBA"/>
    <w:rsid w:val="00A861BB"/>
    <w:rsid w:val="00A8620B"/>
    <w:rsid w:val="00A866EE"/>
    <w:rsid w:val="00A8686B"/>
    <w:rsid w:val="00A86B5E"/>
    <w:rsid w:val="00A875BA"/>
    <w:rsid w:val="00A875BE"/>
    <w:rsid w:val="00A87906"/>
    <w:rsid w:val="00A87D9B"/>
    <w:rsid w:val="00A87DB4"/>
    <w:rsid w:val="00A901A1"/>
    <w:rsid w:val="00A9043C"/>
    <w:rsid w:val="00A90B2C"/>
    <w:rsid w:val="00A90BEF"/>
    <w:rsid w:val="00A90D4F"/>
    <w:rsid w:val="00A90DF4"/>
    <w:rsid w:val="00A9166F"/>
    <w:rsid w:val="00A91DEE"/>
    <w:rsid w:val="00A92531"/>
    <w:rsid w:val="00A92A1A"/>
    <w:rsid w:val="00A937D2"/>
    <w:rsid w:val="00A94191"/>
    <w:rsid w:val="00A9428C"/>
    <w:rsid w:val="00A94A38"/>
    <w:rsid w:val="00A94E56"/>
    <w:rsid w:val="00A956DD"/>
    <w:rsid w:val="00A95A68"/>
    <w:rsid w:val="00A95ACC"/>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CBC"/>
    <w:rsid w:val="00AA0E60"/>
    <w:rsid w:val="00AA0EF1"/>
    <w:rsid w:val="00AA15D3"/>
    <w:rsid w:val="00AA1639"/>
    <w:rsid w:val="00AA165D"/>
    <w:rsid w:val="00AA1F49"/>
    <w:rsid w:val="00AA21D3"/>
    <w:rsid w:val="00AA2482"/>
    <w:rsid w:val="00AA25C1"/>
    <w:rsid w:val="00AA2EEE"/>
    <w:rsid w:val="00AA31A5"/>
    <w:rsid w:val="00AA3BB3"/>
    <w:rsid w:val="00AA42BD"/>
    <w:rsid w:val="00AA4F20"/>
    <w:rsid w:val="00AA617C"/>
    <w:rsid w:val="00AA626C"/>
    <w:rsid w:val="00AA65C9"/>
    <w:rsid w:val="00AA6BD8"/>
    <w:rsid w:val="00AA7582"/>
    <w:rsid w:val="00AA7B21"/>
    <w:rsid w:val="00AA7ED7"/>
    <w:rsid w:val="00AA7EE4"/>
    <w:rsid w:val="00AB0537"/>
    <w:rsid w:val="00AB06EC"/>
    <w:rsid w:val="00AB0845"/>
    <w:rsid w:val="00AB08D7"/>
    <w:rsid w:val="00AB0984"/>
    <w:rsid w:val="00AB0DC4"/>
    <w:rsid w:val="00AB0EFB"/>
    <w:rsid w:val="00AB28F6"/>
    <w:rsid w:val="00AB2949"/>
    <w:rsid w:val="00AB2B40"/>
    <w:rsid w:val="00AB2B51"/>
    <w:rsid w:val="00AB2C97"/>
    <w:rsid w:val="00AB304A"/>
    <w:rsid w:val="00AB331C"/>
    <w:rsid w:val="00AB34E3"/>
    <w:rsid w:val="00AB3533"/>
    <w:rsid w:val="00AB354B"/>
    <w:rsid w:val="00AB3B1C"/>
    <w:rsid w:val="00AB3B95"/>
    <w:rsid w:val="00AB45BE"/>
    <w:rsid w:val="00AB4670"/>
    <w:rsid w:val="00AB4835"/>
    <w:rsid w:val="00AB4A4E"/>
    <w:rsid w:val="00AB4CB4"/>
    <w:rsid w:val="00AB4DB7"/>
    <w:rsid w:val="00AB4EBF"/>
    <w:rsid w:val="00AB5709"/>
    <w:rsid w:val="00AB57DC"/>
    <w:rsid w:val="00AB592A"/>
    <w:rsid w:val="00AB5C1D"/>
    <w:rsid w:val="00AB5C38"/>
    <w:rsid w:val="00AB751C"/>
    <w:rsid w:val="00AB7625"/>
    <w:rsid w:val="00AB7910"/>
    <w:rsid w:val="00AB7C8E"/>
    <w:rsid w:val="00AC0214"/>
    <w:rsid w:val="00AC0251"/>
    <w:rsid w:val="00AC0646"/>
    <w:rsid w:val="00AC06D6"/>
    <w:rsid w:val="00AC0996"/>
    <w:rsid w:val="00AC0BA3"/>
    <w:rsid w:val="00AC0E98"/>
    <w:rsid w:val="00AC1341"/>
    <w:rsid w:val="00AC146B"/>
    <w:rsid w:val="00AC18F4"/>
    <w:rsid w:val="00AC1919"/>
    <w:rsid w:val="00AC19A1"/>
    <w:rsid w:val="00AC1FB2"/>
    <w:rsid w:val="00AC24B4"/>
    <w:rsid w:val="00AC2A78"/>
    <w:rsid w:val="00AC2C4C"/>
    <w:rsid w:val="00AC2C5B"/>
    <w:rsid w:val="00AC2D57"/>
    <w:rsid w:val="00AC2DCB"/>
    <w:rsid w:val="00AC3531"/>
    <w:rsid w:val="00AC3665"/>
    <w:rsid w:val="00AC38A9"/>
    <w:rsid w:val="00AC3BC2"/>
    <w:rsid w:val="00AC40CC"/>
    <w:rsid w:val="00AC4122"/>
    <w:rsid w:val="00AC4C3A"/>
    <w:rsid w:val="00AC4DEF"/>
    <w:rsid w:val="00AC4F21"/>
    <w:rsid w:val="00AC4FD5"/>
    <w:rsid w:val="00AC4FF5"/>
    <w:rsid w:val="00AC547E"/>
    <w:rsid w:val="00AC54F6"/>
    <w:rsid w:val="00AC5642"/>
    <w:rsid w:val="00AC61B7"/>
    <w:rsid w:val="00AC6345"/>
    <w:rsid w:val="00AC656B"/>
    <w:rsid w:val="00AC67DD"/>
    <w:rsid w:val="00AC6AF3"/>
    <w:rsid w:val="00AC7039"/>
    <w:rsid w:val="00AC7174"/>
    <w:rsid w:val="00AC7595"/>
    <w:rsid w:val="00AC7801"/>
    <w:rsid w:val="00AC79F8"/>
    <w:rsid w:val="00AC7F37"/>
    <w:rsid w:val="00AD004B"/>
    <w:rsid w:val="00AD049F"/>
    <w:rsid w:val="00AD0C1E"/>
    <w:rsid w:val="00AD0E10"/>
    <w:rsid w:val="00AD12B8"/>
    <w:rsid w:val="00AD2D23"/>
    <w:rsid w:val="00AD2DBB"/>
    <w:rsid w:val="00AD2EFE"/>
    <w:rsid w:val="00AD317F"/>
    <w:rsid w:val="00AD4106"/>
    <w:rsid w:val="00AD4620"/>
    <w:rsid w:val="00AD4C1D"/>
    <w:rsid w:val="00AD5BF8"/>
    <w:rsid w:val="00AD5E5E"/>
    <w:rsid w:val="00AD602C"/>
    <w:rsid w:val="00AD6141"/>
    <w:rsid w:val="00AD62A3"/>
    <w:rsid w:val="00AD643F"/>
    <w:rsid w:val="00AD657D"/>
    <w:rsid w:val="00AD660E"/>
    <w:rsid w:val="00AD6D8B"/>
    <w:rsid w:val="00AD6FA9"/>
    <w:rsid w:val="00AD6FC8"/>
    <w:rsid w:val="00AD739E"/>
    <w:rsid w:val="00AD7C60"/>
    <w:rsid w:val="00AE013C"/>
    <w:rsid w:val="00AE0375"/>
    <w:rsid w:val="00AE044B"/>
    <w:rsid w:val="00AE061D"/>
    <w:rsid w:val="00AE06C9"/>
    <w:rsid w:val="00AE0777"/>
    <w:rsid w:val="00AE0879"/>
    <w:rsid w:val="00AE0B80"/>
    <w:rsid w:val="00AE137C"/>
    <w:rsid w:val="00AE13AD"/>
    <w:rsid w:val="00AE1601"/>
    <w:rsid w:val="00AE18EF"/>
    <w:rsid w:val="00AE20B3"/>
    <w:rsid w:val="00AE228C"/>
    <w:rsid w:val="00AE2757"/>
    <w:rsid w:val="00AE2DB2"/>
    <w:rsid w:val="00AE31F9"/>
    <w:rsid w:val="00AE3435"/>
    <w:rsid w:val="00AE34E1"/>
    <w:rsid w:val="00AE3C76"/>
    <w:rsid w:val="00AE3D7A"/>
    <w:rsid w:val="00AE4060"/>
    <w:rsid w:val="00AE4B0F"/>
    <w:rsid w:val="00AE4B79"/>
    <w:rsid w:val="00AE4F52"/>
    <w:rsid w:val="00AE5F79"/>
    <w:rsid w:val="00AE6AA2"/>
    <w:rsid w:val="00AE6CA7"/>
    <w:rsid w:val="00AE7293"/>
    <w:rsid w:val="00AE761B"/>
    <w:rsid w:val="00AF0080"/>
    <w:rsid w:val="00AF020A"/>
    <w:rsid w:val="00AF0365"/>
    <w:rsid w:val="00AF0760"/>
    <w:rsid w:val="00AF0882"/>
    <w:rsid w:val="00AF0B54"/>
    <w:rsid w:val="00AF0D06"/>
    <w:rsid w:val="00AF0F01"/>
    <w:rsid w:val="00AF1227"/>
    <w:rsid w:val="00AF1AF2"/>
    <w:rsid w:val="00AF1E4E"/>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4E"/>
    <w:rsid w:val="00AF638E"/>
    <w:rsid w:val="00AF63CB"/>
    <w:rsid w:val="00AF6717"/>
    <w:rsid w:val="00AF715D"/>
    <w:rsid w:val="00AF7FE0"/>
    <w:rsid w:val="00B001A4"/>
    <w:rsid w:val="00B00499"/>
    <w:rsid w:val="00B006BD"/>
    <w:rsid w:val="00B0084A"/>
    <w:rsid w:val="00B01065"/>
    <w:rsid w:val="00B01112"/>
    <w:rsid w:val="00B024DF"/>
    <w:rsid w:val="00B0257E"/>
    <w:rsid w:val="00B02B74"/>
    <w:rsid w:val="00B035BC"/>
    <w:rsid w:val="00B03661"/>
    <w:rsid w:val="00B03856"/>
    <w:rsid w:val="00B042C2"/>
    <w:rsid w:val="00B04442"/>
    <w:rsid w:val="00B04665"/>
    <w:rsid w:val="00B04C1F"/>
    <w:rsid w:val="00B04C3B"/>
    <w:rsid w:val="00B04F8B"/>
    <w:rsid w:val="00B057B8"/>
    <w:rsid w:val="00B059B9"/>
    <w:rsid w:val="00B0678A"/>
    <w:rsid w:val="00B06859"/>
    <w:rsid w:val="00B06C77"/>
    <w:rsid w:val="00B0744B"/>
    <w:rsid w:val="00B07605"/>
    <w:rsid w:val="00B07B64"/>
    <w:rsid w:val="00B07BB2"/>
    <w:rsid w:val="00B101F3"/>
    <w:rsid w:val="00B10408"/>
    <w:rsid w:val="00B106E2"/>
    <w:rsid w:val="00B1097C"/>
    <w:rsid w:val="00B10DBF"/>
    <w:rsid w:val="00B10E4A"/>
    <w:rsid w:val="00B10FAB"/>
    <w:rsid w:val="00B110B4"/>
    <w:rsid w:val="00B114BF"/>
    <w:rsid w:val="00B116EF"/>
    <w:rsid w:val="00B11861"/>
    <w:rsid w:val="00B126D6"/>
    <w:rsid w:val="00B128F9"/>
    <w:rsid w:val="00B129C4"/>
    <w:rsid w:val="00B12C78"/>
    <w:rsid w:val="00B12EE3"/>
    <w:rsid w:val="00B13500"/>
    <w:rsid w:val="00B1373F"/>
    <w:rsid w:val="00B13C92"/>
    <w:rsid w:val="00B13D65"/>
    <w:rsid w:val="00B14227"/>
    <w:rsid w:val="00B14651"/>
    <w:rsid w:val="00B14738"/>
    <w:rsid w:val="00B14AF7"/>
    <w:rsid w:val="00B14F4E"/>
    <w:rsid w:val="00B15478"/>
    <w:rsid w:val="00B154C7"/>
    <w:rsid w:val="00B15797"/>
    <w:rsid w:val="00B15A5B"/>
    <w:rsid w:val="00B15B47"/>
    <w:rsid w:val="00B15D78"/>
    <w:rsid w:val="00B15FC9"/>
    <w:rsid w:val="00B16266"/>
    <w:rsid w:val="00B166EB"/>
    <w:rsid w:val="00B168D1"/>
    <w:rsid w:val="00B16D40"/>
    <w:rsid w:val="00B16DA1"/>
    <w:rsid w:val="00B173D9"/>
    <w:rsid w:val="00B1741E"/>
    <w:rsid w:val="00B17F04"/>
    <w:rsid w:val="00B2013D"/>
    <w:rsid w:val="00B20236"/>
    <w:rsid w:val="00B202A7"/>
    <w:rsid w:val="00B20535"/>
    <w:rsid w:val="00B2086B"/>
    <w:rsid w:val="00B21592"/>
    <w:rsid w:val="00B21CDE"/>
    <w:rsid w:val="00B22497"/>
    <w:rsid w:val="00B22786"/>
    <w:rsid w:val="00B228A5"/>
    <w:rsid w:val="00B238C1"/>
    <w:rsid w:val="00B23E9D"/>
    <w:rsid w:val="00B23FB2"/>
    <w:rsid w:val="00B24054"/>
    <w:rsid w:val="00B240CB"/>
    <w:rsid w:val="00B24453"/>
    <w:rsid w:val="00B244B9"/>
    <w:rsid w:val="00B24B62"/>
    <w:rsid w:val="00B24BE1"/>
    <w:rsid w:val="00B2536C"/>
    <w:rsid w:val="00B25A88"/>
    <w:rsid w:val="00B25D3C"/>
    <w:rsid w:val="00B25E4D"/>
    <w:rsid w:val="00B2602A"/>
    <w:rsid w:val="00B260A5"/>
    <w:rsid w:val="00B2621D"/>
    <w:rsid w:val="00B26A85"/>
    <w:rsid w:val="00B2708A"/>
    <w:rsid w:val="00B27DD2"/>
    <w:rsid w:val="00B317D1"/>
    <w:rsid w:val="00B31CAC"/>
    <w:rsid w:val="00B31E02"/>
    <w:rsid w:val="00B3330F"/>
    <w:rsid w:val="00B334A7"/>
    <w:rsid w:val="00B3359A"/>
    <w:rsid w:val="00B3372F"/>
    <w:rsid w:val="00B337F4"/>
    <w:rsid w:val="00B33B4C"/>
    <w:rsid w:val="00B34F9E"/>
    <w:rsid w:val="00B35048"/>
    <w:rsid w:val="00B35250"/>
    <w:rsid w:val="00B3582D"/>
    <w:rsid w:val="00B35926"/>
    <w:rsid w:val="00B359DB"/>
    <w:rsid w:val="00B35ABB"/>
    <w:rsid w:val="00B35BA6"/>
    <w:rsid w:val="00B361E0"/>
    <w:rsid w:val="00B3675A"/>
    <w:rsid w:val="00B36927"/>
    <w:rsid w:val="00B373FA"/>
    <w:rsid w:val="00B37963"/>
    <w:rsid w:val="00B37C4D"/>
    <w:rsid w:val="00B37D48"/>
    <w:rsid w:val="00B37E43"/>
    <w:rsid w:val="00B40734"/>
    <w:rsid w:val="00B40D66"/>
    <w:rsid w:val="00B410BA"/>
    <w:rsid w:val="00B41511"/>
    <w:rsid w:val="00B41998"/>
    <w:rsid w:val="00B41F4B"/>
    <w:rsid w:val="00B42035"/>
    <w:rsid w:val="00B4240B"/>
    <w:rsid w:val="00B42525"/>
    <w:rsid w:val="00B42526"/>
    <w:rsid w:val="00B42CB3"/>
    <w:rsid w:val="00B42D7C"/>
    <w:rsid w:val="00B42FED"/>
    <w:rsid w:val="00B4322C"/>
    <w:rsid w:val="00B4324C"/>
    <w:rsid w:val="00B43E18"/>
    <w:rsid w:val="00B43E91"/>
    <w:rsid w:val="00B444A9"/>
    <w:rsid w:val="00B44AE5"/>
    <w:rsid w:val="00B44D61"/>
    <w:rsid w:val="00B454F3"/>
    <w:rsid w:val="00B45A17"/>
    <w:rsid w:val="00B45E84"/>
    <w:rsid w:val="00B4650D"/>
    <w:rsid w:val="00B46571"/>
    <w:rsid w:val="00B4657C"/>
    <w:rsid w:val="00B4667D"/>
    <w:rsid w:val="00B466D1"/>
    <w:rsid w:val="00B4683D"/>
    <w:rsid w:val="00B46907"/>
    <w:rsid w:val="00B46B38"/>
    <w:rsid w:val="00B46C0D"/>
    <w:rsid w:val="00B46CC8"/>
    <w:rsid w:val="00B46D06"/>
    <w:rsid w:val="00B47381"/>
    <w:rsid w:val="00B47724"/>
    <w:rsid w:val="00B47839"/>
    <w:rsid w:val="00B47991"/>
    <w:rsid w:val="00B47E30"/>
    <w:rsid w:val="00B506D1"/>
    <w:rsid w:val="00B50745"/>
    <w:rsid w:val="00B5074D"/>
    <w:rsid w:val="00B50CE6"/>
    <w:rsid w:val="00B510EC"/>
    <w:rsid w:val="00B5160D"/>
    <w:rsid w:val="00B51656"/>
    <w:rsid w:val="00B51745"/>
    <w:rsid w:val="00B51A4C"/>
    <w:rsid w:val="00B51B65"/>
    <w:rsid w:val="00B51E74"/>
    <w:rsid w:val="00B522E0"/>
    <w:rsid w:val="00B52359"/>
    <w:rsid w:val="00B5250D"/>
    <w:rsid w:val="00B5279D"/>
    <w:rsid w:val="00B52894"/>
    <w:rsid w:val="00B53506"/>
    <w:rsid w:val="00B5350C"/>
    <w:rsid w:val="00B536C4"/>
    <w:rsid w:val="00B53715"/>
    <w:rsid w:val="00B53D25"/>
    <w:rsid w:val="00B53DA1"/>
    <w:rsid w:val="00B53F14"/>
    <w:rsid w:val="00B54CAE"/>
    <w:rsid w:val="00B551C4"/>
    <w:rsid w:val="00B553E8"/>
    <w:rsid w:val="00B554A0"/>
    <w:rsid w:val="00B55A94"/>
    <w:rsid w:val="00B55CD5"/>
    <w:rsid w:val="00B561B3"/>
    <w:rsid w:val="00B57550"/>
    <w:rsid w:val="00B57908"/>
    <w:rsid w:val="00B57CBD"/>
    <w:rsid w:val="00B57DC8"/>
    <w:rsid w:val="00B60447"/>
    <w:rsid w:val="00B60819"/>
    <w:rsid w:val="00B60887"/>
    <w:rsid w:val="00B609E0"/>
    <w:rsid w:val="00B61427"/>
    <w:rsid w:val="00B629E7"/>
    <w:rsid w:val="00B62ABF"/>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7F3"/>
    <w:rsid w:val="00B67C95"/>
    <w:rsid w:val="00B7040F"/>
    <w:rsid w:val="00B709AD"/>
    <w:rsid w:val="00B70ED5"/>
    <w:rsid w:val="00B712A1"/>
    <w:rsid w:val="00B7139C"/>
    <w:rsid w:val="00B7171E"/>
    <w:rsid w:val="00B719F8"/>
    <w:rsid w:val="00B720D1"/>
    <w:rsid w:val="00B7220E"/>
    <w:rsid w:val="00B72C03"/>
    <w:rsid w:val="00B72C33"/>
    <w:rsid w:val="00B72EA2"/>
    <w:rsid w:val="00B72EE3"/>
    <w:rsid w:val="00B72FCB"/>
    <w:rsid w:val="00B73A04"/>
    <w:rsid w:val="00B73C01"/>
    <w:rsid w:val="00B73C54"/>
    <w:rsid w:val="00B74070"/>
    <w:rsid w:val="00B74B48"/>
    <w:rsid w:val="00B74C67"/>
    <w:rsid w:val="00B74C8F"/>
    <w:rsid w:val="00B74DBE"/>
    <w:rsid w:val="00B754A2"/>
    <w:rsid w:val="00B7598D"/>
    <w:rsid w:val="00B75DB6"/>
    <w:rsid w:val="00B75E41"/>
    <w:rsid w:val="00B7631F"/>
    <w:rsid w:val="00B766D8"/>
    <w:rsid w:val="00B76A9D"/>
    <w:rsid w:val="00B77544"/>
    <w:rsid w:val="00B7772A"/>
    <w:rsid w:val="00B77C61"/>
    <w:rsid w:val="00B77DC4"/>
    <w:rsid w:val="00B77F5B"/>
    <w:rsid w:val="00B801B0"/>
    <w:rsid w:val="00B807D8"/>
    <w:rsid w:val="00B8092F"/>
    <w:rsid w:val="00B80F88"/>
    <w:rsid w:val="00B81261"/>
    <w:rsid w:val="00B81987"/>
    <w:rsid w:val="00B81BE4"/>
    <w:rsid w:val="00B81E3B"/>
    <w:rsid w:val="00B81FD8"/>
    <w:rsid w:val="00B8235A"/>
    <w:rsid w:val="00B826F5"/>
    <w:rsid w:val="00B8291A"/>
    <w:rsid w:val="00B82DCD"/>
    <w:rsid w:val="00B83136"/>
    <w:rsid w:val="00B8325C"/>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EAE"/>
    <w:rsid w:val="00B90F57"/>
    <w:rsid w:val="00B91894"/>
    <w:rsid w:val="00B91C4A"/>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463"/>
    <w:rsid w:val="00B96A98"/>
    <w:rsid w:val="00B96E45"/>
    <w:rsid w:val="00B96F11"/>
    <w:rsid w:val="00BA09EA"/>
    <w:rsid w:val="00BA0A64"/>
    <w:rsid w:val="00BA0AA5"/>
    <w:rsid w:val="00BA0AE1"/>
    <w:rsid w:val="00BA0DBB"/>
    <w:rsid w:val="00BA1359"/>
    <w:rsid w:val="00BA1B39"/>
    <w:rsid w:val="00BA1DD6"/>
    <w:rsid w:val="00BA2416"/>
    <w:rsid w:val="00BA30C4"/>
    <w:rsid w:val="00BA326A"/>
    <w:rsid w:val="00BA32CB"/>
    <w:rsid w:val="00BA3D4F"/>
    <w:rsid w:val="00BA3E27"/>
    <w:rsid w:val="00BA3FD8"/>
    <w:rsid w:val="00BA41DC"/>
    <w:rsid w:val="00BA4402"/>
    <w:rsid w:val="00BA44A8"/>
    <w:rsid w:val="00BA4B10"/>
    <w:rsid w:val="00BA4DB5"/>
    <w:rsid w:val="00BA56C3"/>
    <w:rsid w:val="00BA65A9"/>
    <w:rsid w:val="00BA6967"/>
    <w:rsid w:val="00BA6983"/>
    <w:rsid w:val="00BA6B44"/>
    <w:rsid w:val="00BA7251"/>
    <w:rsid w:val="00BA7320"/>
    <w:rsid w:val="00BA7712"/>
    <w:rsid w:val="00BA7C0C"/>
    <w:rsid w:val="00BB0503"/>
    <w:rsid w:val="00BB1143"/>
    <w:rsid w:val="00BB115A"/>
    <w:rsid w:val="00BB1A5C"/>
    <w:rsid w:val="00BB1CCC"/>
    <w:rsid w:val="00BB21AA"/>
    <w:rsid w:val="00BB24DB"/>
    <w:rsid w:val="00BB24FE"/>
    <w:rsid w:val="00BB2777"/>
    <w:rsid w:val="00BB2A1B"/>
    <w:rsid w:val="00BB2D69"/>
    <w:rsid w:val="00BB3F8B"/>
    <w:rsid w:val="00BB429F"/>
    <w:rsid w:val="00BB45B7"/>
    <w:rsid w:val="00BB51AE"/>
    <w:rsid w:val="00BB5BE7"/>
    <w:rsid w:val="00BB6025"/>
    <w:rsid w:val="00BB624A"/>
    <w:rsid w:val="00BB63B6"/>
    <w:rsid w:val="00BB64E2"/>
    <w:rsid w:val="00BB653D"/>
    <w:rsid w:val="00BB6A29"/>
    <w:rsid w:val="00BB6E1A"/>
    <w:rsid w:val="00BB731C"/>
    <w:rsid w:val="00BC0016"/>
    <w:rsid w:val="00BC0399"/>
    <w:rsid w:val="00BC0D47"/>
    <w:rsid w:val="00BC1223"/>
    <w:rsid w:val="00BC1278"/>
    <w:rsid w:val="00BC153B"/>
    <w:rsid w:val="00BC1791"/>
    <w:rsid w:val="00BC1DCC"/>
    <w:rsid w:val="00BC23FE"/>
    <w:rsid w:val="00BC2582"/>
    <w:rsid w:val="00BC2623"/>
    <w:rsid w:val="00BC28E9"/>
    <w:rsid w:val="00BC2C71"/>
    <w:rsid w:val="00BC348F"/>
    <w:rsid w:val="00BC36CF"/>
    <w:rsid w:val="00BC39F8"/>
    <w:rsid w:val="00BC3BA2"/>
    <w:rsid w:val="00BC3CC1"/>
    <w:rsid w:val="00BC47F7"/>
    <w:rsid w:val="00BC4808"/>
    <w:rsid w:val="00BC490A"/>
    <w:rsid w:val="00BC4A08"/>
    <w:rsid w:val="00BC4CE5"/>
    <w:rsid w:val="00BC4CF2"/>
    <w:rsid w:val="00BC4D7B"/>
    <w:rsid w:val="00BC607E"/>
    <w:rsid w:val="00BC637E"/>
    <w:rsid w:val="00BC6401"/>
    <w:rsid w:val="00BC651F"/>
    <w:rsid w:val="00BC6901"/>
    <w:rsid w:val="00BC6A9D"/>
    <w:rsid w:val="00BC6BED"/>
    <w:rsid w:val="00BC6F0A"/>
    <w:rsid w:val="00BC6FD6"/>
    <w:rsid w:val="00BC71B8"/>
    <w:rsid w:val="00BC76B8"/>
    <w:rsid w:val="00BD0A4C"/>
    <w:rsid w:val="00BD0D7D"/>
    <w:rsid w:val="00BD0D96"/>
    <w:rsid w:val="00BD12C4"/>
    <w:rsid w:val="00BD1929"/>
    <w:rsid w:val="00BD2465"/>
    <w:rsid w:val="00BD27E4"/>
    <w:rsid w:val="00BD2DF0"/>
    <w:rsid w:val="00BD31F3"/>
    <w:rsid w:val="00BD3ABB"/>
    <w:rsid w:val="00BD3EAE"/>
    <w:rsid w:val="00BD44C2"/>
    <w:rsid w:val="00BD490F"/>
    <w:rsid w:val="00BD4AA1"/>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E06B6"/>
    <w:rsid w:val="00BE06E8"/>
    <w:rsid w:val="00BE0BE3"/>
    <w:rsid w:val="00BE12F5"/>
    <w:rsid w:val="00BE14F6"/>
    <w:rsid w:val="00BE15A9"/>
    <w:rsid w:val="00BE1669"/>
    <w:rsid w:val="00BE18D4"/>
    <w:rsid w:val="00BE1BA1"/>
    <w:rsid w:val="00BE27F2"/>
    <w:rsid w:val="00BE290C"/>
    <w:rsid w:val="00BE2963"/>
    <w:rsid w:val="00BE319B"/>
    <w:rsid w:val="00BE3619"/>
    <w:rsid w:val="00BE3B0F"/>
    <w:rsid w:val="00BE4068"/>
    <w:rsid w:val="00BE4A38"/>
    <w:rsid w:val="00BE4C8B"/>
    <w:rsid w:val="00BE5A1D"/>
    <w:rsid w:val="00BE5D38"/>
    <w:rsid w:val="00BE5DDA"/>
    <w:rsid w:val="00BE621A"/>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937"/>
    <w:rsid w:val="00BF1A02"/>
    <w:rsid w:val="00BF1A9C"/>
    <w:rsid w:val="00BF1AB6"/>
    <w:rsid w:val="00BF1C3C"/>
    <w:rsid w:val="00BF1FA4"/>
    <w:rsid w:val="00BF2309"/>
    <w:rsid w:val="00BF2597"/>
    <w:rsid w:val="00BF337F"/>
    <w:rsid w:val="00BF380D"/>
    <w:rsid w:val="00BF3867"/>
    <w:rsid w:val="00BF3E7F"/>
    <w:rsid w:val="00BF4122"/>
    <w:rsid w:val="00BF41E2"/>
    <w:rsid w:val="00BF4910"/>
    <w:rsid w:val="00BF4E4A"/>
    <w:rsid w:val="00BF5399"/>
    <w:rsid w:val="00BF57D7"/>
    <w:rsid w:val="00BF5E79"/>
    <w:rsid w:val="00BF648C"/>
    <w:rsid w:val="00BF7B16"/>
    <w:rsid w:val="00BF7BBC"/>
    <w:rsid w:val="00BF7C02"/>
    <w:rsid w:val="00BF7C26"/>
    <w:rsid w:val="00C00877"/>
    <w:rsid w:val="00C00BF6"/>
    <w:rsid w:val="00C011A5"/>
    <w:rsid w:val="00C011B1"/>
    <w:rsid w:val="00C011E4"/>
    <w:rsid w:val="00C011EC"/>
    <w:rsid w:val="00C01C82"/>
    <w:rsid w:val="00C01CC5"/>
    <w:rsid w:val="00C01CF9"/>
    <w:rsid w:val="00C01DEF"/>
    <w:rsid w:val="00C01E8D"/>
    <w:rsid w:val="00C020AC"/>
    <w:rsid w:val="00C02954"/>
    <w:rsid w:val="00C02AEA"/>
    <w:rsid w:val="00C03037"/>
    <w:rsid w:val="00C031A5"/>
    <w:rsid w:val="00C03262"/>
    <w:rsid w:val="00C034BB"/>
    <w:rsid w:val="00C034F9"/>
    <w:rsid w:val="00C0368E"/>
    <w:rsid w:val="00C03788"/>
    <w:rsid w:val="00C03AC7"/>
    <w:rsid w:val="00C03D25"/>
    <w:rsid w:val="00C040CF"/>
    <w:rsid w:val="00C0422F"/>
    <w:rsid w:val="00C04588"/>
    <w:rsid w:val="00C046E0"/>
    <w:rsid w:val="00C046EE"/>
    <w:rsid w:val="00C0475C"/>
    <w:rsid w:val="00C04D2A"/>
    <w:rsid w:val="00C0514C"/>
    <w:rsid w:val="00C05298"/>
    <w:rsid w:val="00C054D6"/>
    <w:rsid w:val="00C055A5"/>
    <w:rsid w:val="00C05695"/>
    <w:rsid w:val="00C05D41"/>
    <w:rsid w:val="00C05F1C"/>
    <w:rsid w:val="00C05FAF"/>
    <w:rsid w:val="00C061A5"/>
    <w:rsid w:val="00C064D4"/>
    <w:rsid w:val="00C0745F"/>
    <w:rsid w:val="00C07572"/>
    <w:rsid w:val="00C0786D"/>
    <w:rsid w:val="00C07FC7"/>
    <w:rsid w:val="00C105AF"/>
    <w:rsid w:val="00C10FEB"/>
    <w:rsid w:val="00C11239"/>
    <w:rsid w:val="00C1176E"/>
    <w:rsid w:val="00C119CC"/>
    <w:rsid w:val="00C11BCC"/>
    <w:rsid w:val="00C11CE5"/>
    <w:rsid w:val="00C11E5F"/>
    <w:rsid w:val="00C127B2"/>
    <w:rsid w:val="00C12E50"/>
    <w:rsid w:val="00C133B1"/>
    <w:rsid w:val="00C133C1"/>
    <w:rsid w:val="00C1381E"/>
    <w:rsid w:val="00C13858"/>
    <w:rsid w:val="00C1394A"/>
    <w:rsid w:val="00C13DB9"/>
    <w:rsid w:val="00C13F70"/>
    <w:rsid w:val="00C14423"/>
    <w:rsid w:val="00C14E00"/>
    <w:rsid w:val="00C15627"/>
    <w:rsid w:val="00C15696"/>
    <w:rsid w:val="00C1588C"/>
    <w:rsid w:val="00C15932"/>
    <w:rsid w:val="00C15A5A"/>
    <w:rsid w:val="00C15F19"/>
    <w:rsid w:val="00C1624A"/>
    <w:rsid w:val="00C16718"/>
    <w:rsid w:val="00C16A8B"/>
    <w:rsid w:val="00C17519"/>
    <w:rsid w:val="00C1790D"/>
    <w:rsid w:val="00C17919"/>
    <w:rsid w:val="00C17C6C"/>
    <w:rsid w:val="00C17F4D"/>
    <w:rsid w:val="00C20121"/>
    <w:rsid w:val="00C202FA"/>
    <w:rsid w:val="00C208FE"/>
    <w:rsid w:val="00C20BFC"/>
    <w:rsid w:val="00C20FA0"/>
    <w:rsid w:val="00C2260B"/>
    <w:rsid w:val="00C22F97"/>
    <w:rsid w:val="00C22FA7"/>
    <w:rsid w:val="00C23113"/>
    <w:rsid w:val="00C23158"/>
    <w:rsid w:val="00C23666"/>
    <w:rsid w:val="00C24067"/>
    <w:rsid w:val="00C2406D"/>
    <w:rsid w:val="00C241B3"/>
    <w:rsid w:val="00C24E68"/>
    <w:rsid w:val="00C255D8"/>
    <w:rsid w:val="00C256D8"/>
    <w:rsid w:val="00C2572B"/>
    <w:rsid w:val="00C259B2"/>
    <w:rsid w:val="00C25AC1"/>
    <w:rsid w:val="00C2616C"/>
    <w:rsid w:val="00C2656D"/>
    <w:rsid w:val="00C26E51"/>
    <w:rsid w:val="00C26F36"/>
    <w:rsid w:val="00C272A8"/>
    <w:rsid w:val="00C273D8"/>
    <w:rsid w:val="00C273F9"/>
    <w:rsid w:val="00C27DB6"/>
    <w:rsid w:val="00C30029"/>
    <w:rsid w:val="00C3042A"/>
    <w:rsid w:val="00C3065B"/>
    <w:rsid w:val="00C30662"/>
    <w:rsid w:val="00C306EF"/>
    <w:rsid w:val="00C30DA4"/>
    <w:rsid w:val="00C3123C"/>
    <w:rsid w:val="00C314C5"/>
    <w:rsid w:val="00C315D6"/>
    <w:rsid w:val="00C316B1"/>
    <w:rsid w:val="00C31F2E"/>
    <w:rsid w:val="00C31FCB"/>
    <w:rsid w:val="00C3217F"/>
    <w:rsid w:val="00C3234E"/>
    <w:rsid w:val="00C32473"/>
    <w:rsid w:val="00C32771"/>
    <w:rsid w:val="00C32981"/>
    <w:rsid w:val="00C32D0D"/>
    <w:rsid w:val="00C32E2F"/>
    <w:rsid w:val="00C32E35"/>
    <w:rsid w:val="00C336A0"/>
    <w:rsid w:val="00C337F5"/>
    <w:rsid w:val="00C33A95"/>
    <w:rsid w:val="00C33F24"/>
    <w:rsid w:val="00C33FD7"/>
    <w:rsid w:val="00C33FF1"/>
    <w:rsid w:val="00C34ABC"/>
    <w:rsid w:val="00C34B4F"/>
    <w:rsid w:val="00C34DA4"/>
    <w:rsid w:val="00C34DBA"/>
    <w:rsid w:val="00C34F52"/>
    <w:rsid w:val="00C3515C"/>
    <w:rsid w:val="00C353C6"/>
    <w:rsid w:val="00C35B4B"/>
    <w:rsid w:val="00C35C36"/>
    <w:rsid w:val="00C35F16"/>
    <w:rsid w:val="00C36277"/>
    <w:rsid w:val="00C3651B"/>
    <w:rsid w:val="00C36907"/>
    <w:rsid w:val="00C37450"/>
    <w:rsid w:val="00C374B9"/>
    <w:rsid w:val="00C37827"/>
    <w:rsid w:val="00C37894"/>
    <w:rsid w:val="00C41021"/>
    <w:rsid w:val="00C41315"/>
    <w:rsid w:val="00C4144B"/>
    <w:rsid w:val="00C4144E"/>
    <w:rsid w:val="00C415D1"/>
    <w:rsid w:val="00C41937"/>
    <w:rsid w:val="00C41DC4"/>
    <w:rsid w:val="00C41F79"/>
    <w:rsid w:val="00C420D9"/>
    <w:rsid w:val="00C42249"/>
    <w:rsid w:val="00C42525"/>
    <w:rsid w:val="00C425F8"/>
    <w:rsid w:val="00C430F1"/>
    <w:rsid w:val="00C43331"/>
    <w:rsid w:val="00C4391C"/>
    <w:rsid w:val="00C43B8C"/>
    <w:rsid w:val="00C4407C"/>
    <w:rsid w:val="00C442FB"/>
    <w:rsid w:val="00C4439D"/>
    <w:rsid w:val="00C443CA"/>
    <w:rsid w:val="00C44643"/>
    <w:rsid w:val="00C44B84"/>
    <w:rsid w:val="00C44BBE"/>
    <w:rsid w:val="00C44C55"/>
    <w:rsid w:val="00C450D9"/>
    <w:rsid w:val="00C45917"/>
    <w:rsid w:val="00C45C22"/>
    <w:rsid w:val="00C45D1F"/>
    <w:rsid w:val="00C4635B"/>
    <w:rsid w:val="00C46448"/>
    <w:rsid w:val="00C4652B"/>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11E1"/>
    <w:rsid w:val="00C5176A"/>
    <w:rsid w:val="00C5188E"/>
    <w:rsid w:val="00C5191D"/>
    <w:rsid w:val="00C51F95"/>
    <w:rsid w:val="00C5208F"/>
    <w:rsid w:val="00C5247E"/>
    <w:rsid w:val="00C52F7E"/>
    <w:rsid w:val="00C537A0"/>
    <w:rsid w:val="00C53913"/>
    <w:rsid w:val="00C53BB9"/>
    <w:rsid w:val="00C53EA4"/>
    <w:rsid w:val="00C547C3"/>
    <w:rsid w:val="00C550F7"/>
    <w:rsid w:val="00C553D5"/>
    <w:rsid w:val="00C55BC6"/>
    <w:rsid w:val="00C55FCD"/>
    <w:rsid w:val="00C5625F"/>
    <w:rsid w:val="00C5636F"/>
    <w:rsid w:val="00C568D5"/>
    <w:rsid w:val="00C57248"/>
    <w:rsid w:val="00C57595"/>
    <w:rsid w:val="00C57852"/>
    <w:rsid w:val="00C6021D"/>
    <w:rsid w:val="00C603C5"/>
    <w:rsid w:val="00C60B1F"/>
    <w:rsid w:val="00C60D71"/>
    <w:rsid w:val="00C60D8F"/>
    <w:rsid w:val="00C60E2A"/>
    <w:rsid w:val="00C60E31"/>
    <w:rsid w:val="00C610AB"/>
    <w:rsid w:val="00C6145A"/>
    <w:rsid w:val="00C61CDA"/>
    <w:rsid w:val="00C621D4"/>
    <w:rsid w:val="00C621F6"/>
    <w:rsid w:val="00C623C1"/>
    <w:rsid w:val="00C6279E"/>
    <w:rsid w:val="00C6294E"/>
    <w:rsid w:val="00C62EA3"/>
    <w:rsid w:val="00C63194"/>
    <w:rsid w:val="00C635E0"/>
    <w:rsid w:val="00C63701"/>
    <w:rsid w:val="00C63A69"/>
    <w:rsid w:val="00C63A94"/>
    <w:rsid w:val="00C63B07"/>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52"/>
    <w:rsid w:val="00C70EF3"/>
    <w:rsid w:val="00C711AB"/>
    <w:rsid w:val="00C71469"/>
    <w:rsid w:val="00C717E7"/>
    <w:rsid w:val="00C71CA4"/>
    <w:rsid w:val="00C725D8"/>
    <w:rsid w:val="00C72A4D"/>
    <w:rsid w:val="00C73015"/>
    <w:rsid w:val="00C7306C"/>
    <w:rsid w:val="00C733ED"/>
    <w:rsid w:val="00C73402"/>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2ED6"/>
    <w:rsid w:val="00C835CD"/>
    <w:rsid w:val="00C83787"/>
    <w:rsid w:val="00C8394C"/>
    <w:rsid w:val="00C83C6D"/>
    <w:rsid w:val="00C842CD"/>
    <w:rsid w:val="00C84400"/>
    <w:rsid w:val="00C8443D"/>
    <w:rsid w:val="00C845E7"/>
    <w:rsid w:val="00C84CDA"/>
    <w:rsid w:val="00C85352"/>
    <w:rsid w:val="00C85938"/>
    <w:rsid w:val="00C860B6"/>
    <w:rsid w:val="00C86B6D"/>
    <w:rsid w:val="00C86EC5"/>
    <w:rsid w:val="00C87072"/>
    <w:rsid w:val="00C870C0"/>
    <w:rsid w:val="00C87312"/>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308C"/>
    <w:rsid w:val="00C93FDC"/>
    <w:rsid w:val="00C946AC"/>
    <w:rsid w:val="00C95099"/>
    <w:rsid w:val="00C951CA"/>
    <w:rsid w:val="00C95518"/>
    <w:rsid w:val="00C955D2"/>
    <w:rsid w:val="00C95866"/>
    <w:rsid w:val="00C95FFB"/>
    <w:rsid w:val="00C96485"/>
    <w:rsid w:val="00C96A57"/>
    <w:rsid w:val="00C96D33"/>
    <w:rsid w:val="00C96DA8"/>
    <w:rsid w:val="00C96FB2"/>
    <w:rsid w:val="00C97137"/>
    <w:rsid w:val="00C972E0"/>
    <w:rsid w:val="00C972FE"/>
    <w:rsid w:val="00C976C5"/>
    <w:rsid w:val="00C97A1B"/>
    <w:rsid w:val="00CA02CE"/>
    <w:rsid w:val="00CA02CF"/>
    <w:rsid w:val="00CA0388"/>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42E1"/>
    <w:rsid w:val="00CA4BB7"/>
    <w:rsid w:val="00CA4D0F"/>
    <w:rsid w:val="00CA5EBA"/>
    <w:rsid w:val="00CA5F70"/>
    <w:rsid w:val="00CA6488"/>
    <w:rsid w:val="00CA64CB"/>
    <w:rsid w:val="00CA6799"/>
    <w:rsid w:val="00CA69C5"/>
    <w:rsid w:val="00CA6A66"/>
    <w:rsid w:val="00CA6B8F"/>
    <w:rsid w:val="00CA6BD2"/>
    <w:rsid w:val="00CA6C49"/>
    <w:rsid w:val="00CA6CC0"/>
    <w:rsid w:val="00CA7CB0"/>
    <w:rsid w:val="00CA7E94"/>
    <w:rsid w:val="00CA7EAF"/>
    <w:rsid w:val="00CB01D3"/>
    <w:rsid w:val="00CB0465"/>
    <w:rsid w:val="00CB04F1"/>
    <w:rsid w:val="00CB0918"/>
    <w:rsid w:val="00CB0E4C"/>
    <w:rsid w:val="00CB1154"/>
    <w:rsid w:val="00CB18E2"/>
    <w:rsid w:val="00CB2473"/>
    <w:rsid w:val="00CB2789"/>
    <w:rsid w:val="00CB2827"/>
    <w:rsid w:val="00CB2A8C"/>
    <w:rsid w:val="00CB2C72"/>
    <w:rsid w:val="00CB2EA9"/>
    <w:rsid w:val="00CB2FD6"/>
    <w:rsid w:val="00CB3124"/>
    <w:rsid w:val="00CB3DB0"/>
    <w:rsid w:val="00CB3F6E"/>
    <w:rsid w:val="00CB4950"/>
    <w:rsid w:val="00CB4A0E"/>
    <w:rsid w:val="00CB4C8C"/>
    <w:rsid w:val="00CB4FA4"/>
    <w:rsid w:val="00CB55D5"/>
    <w:rsid w:val="00CB5BC1"/>
    <w:rsid w:val="00CB5DEA"/>
    <w:rsid w:val="00CB6269"/>
    <w:rsid w:val="00CB62F1"/>
    <w:rsid w:val="00CB6344"/>
    <w:rsid w:val="00CB66DE"/>
    <w:rsid w:val="00CB67C5"/>
    <w:rsid w:val="00CB6DA0"/>
    <w:rsid w:val="00CB6FC5"/>
    <w:rsid w:val="00CB7B12"/>
    <w:rsid w:val="00CB7C0A"/>
    <w:rsid w:val="00CB7CB1"/>
    <w:rsid w:val="00CC0827"/>
    <w:rsid w:val="00CC0AB9"/>
    <w:rsid w:val="00CC0CA3"/>
    <w:rsid w:val="00CC112F"/>
    <w:rsid w:val="00CC1466"/>
    <w:rsid w:val="00CC15E9"/>
    <w:rsid w:val="00CC19B8"/>
    <w:rsid w:val="00CC1B9B"/>
    <w:rsid w:val="00CC22BF"/>
    <w:rsid w:val="00CC2BB1"/>
    <w:rsid w:val="00CC2DE3"/>
    <w:rsid w:val="00CC34BB"/>
    <w:rsid w:val="00CC3E5D"/>
    <w:rsid w:val="00CC4261"/>
    <w:rsid w:val="00CC44A5"/>
    <w:rsid w:val="00CC50DB"/>
    <w:rsid w:val="00CC53D9"/>
    <w:rsid w:val="00CC74F6"/>
    <w:rsid w:val="00CD003F"/>
    <w:rsid w:val="00CD021E"/>
    <w:rsid w:val="00CD03EC"/>
    <w:rsid w:val="00CD072C"/>
    <w:rsid w:val="00CD087F"/>
    <w:rsid w:val="00CD0892"/>
    <w:rsid w:val="00CD0DE6"/>
    <w:rsid w:val="00CD1C33"/>
    <w:rsid w:val="00CD27BA"/>
    <w:rsid w:val="00CD2944"/>
    <w:rsid w:val="00CD2B5B"/>
    <w:rsid w:val="00CD2DA6"/>
    <w:rsid w:val="00CD2FF2"/>
    <w:rsid w:val="00CD311C"/>
    <w:rsid w:val="00CD32F4"/>
    <w:rsid w:val="00CD3362"/>
    <w:rsid w:val="00CD33AD"/>
    <w:rsid w:val="00CD3806"/>
    <w:rsid w:val="00CD408D"/>
    <w:rsid w:val="00CD4120"/>
    <w:rsid w:val="00CD412E"/>
    <w:rsid w:val="00CD442C"/>
    <w:rsid w:val="00CD48EC"/>
    <w:rsid w:val="00CD4AA5"/>
    <w:rsid w:val="00CD5201"/>
    <w:rsid w:val="00CD5537"/>
    <w:rsid w:val="00CD5682"/>
    <w:rsid w:val="00CD66B3"/>
    <w:rsid w:val="00CD6825"/>
    <w:rsid w:val="00CD68C1"/>
    <w:rsid w:val="00CD6DFF"/>
    <w:rsid w:val="00CD6FAE"/>
    <w:rsid w:val="00CE0076"/>
    <w:rsid w:val="00CE00B5"/>
    <w:rsid w:val="00CE00B7"/>
    <w:rsid w:val="00CE01A8"/>
    <w:rsid w:val="00CE024F"/>
    <w:rsid w:val="00CE06C4"/>
    <w:rsid w:val="00CE0752"/>
    <w:rsid w:val="00CE0962"/>
    <w:rsid w:val="00CE0CA4"/>
    <w:rsid w:val="00CE16BE"/>
    <w:rsid w:val="00CE1774"/>
    <w:rsid w:val="00CE18D7"/>
    <w:rsid w:val="00CE1957"/>
    <w:rsid w:val="00CE1977"/>
    <w:rsid w:val="00CE202D"/>
    <w:rsid w:val="00CE230F"/>
    <w:rsid w:val="00CE2C1E"/>
    <w:rsid w:val="00CE3531"/>
    <w:rsid w:val="00CE373F"/>
    <w:rsid w:val="00CE3F0B"/>
    <w:rsid w:val="00CE3FCC"/>
    <w:rsid w:val="00CE4C99"/>
    <w:rsid w:val="00CE4DCA"/>
    <w:rsid w:val="00CE4DEC"/>
    <w:rsid w:val="00CE5093"/>
    <w:rsid w:val="00CE533E"/>
    <w:rsid w:val="00CE55D9"/>
    <w:rsid w:val="00CE57A1"/>
    <w:rsid w:val="00CE6002"/>
    <w:rsid w:val="00CE60CA"/>
    <w:rsid w:val="00CE613A"/>
    <w:rsid w:val="00CE6CB6"/>
    <w:rsid w:val="00CE6FBA"/>
    <w:rsid w:val="00CE7321"/>
    <w:rsid w:val="00CE741B"/>
    <w:rsid w:val="00CE7733"/>
    <w:rsid w:val="00CE78C1"/>
    <w:rsid w:val="00CE78D7"/>
    <w:rsid w:val="00CE7CF2"/>
    <w:rsid w:val="00CF0112"/>
    <w:rsid w:val="00CF0126"/>
    <w:rsid w:val="00CF02FE"/>
    <w:rsid w:val="00CF0788"/>
    <w:rsid w:val="00CF0A9D"/>
    <w:rsid w:val="00CF0D15"/>
    <w:rsid w:val="00CF0D7F"/>
    <w:rsid w:val="00CF0EA2"/>
    <w:rsid w:val="00CF0ED8"/>
    <w:rsid w:val="00CF0F4D"/>
    <w:rsid w:val="00CF11B0"/>
    <w:rsid w:val="00CF134F"/>
    <w:rsid w:val="00CF13CC"/>
    <w:rsid w:val="00CF14FB"/>
    <w:rsid w:val="00CF1788"/>
    <w:rsid w:val="00CF17A6"/>
    <w:rsid w:val="00CF18BA"/>
    <w:rsid w:val="00CF1E64"/>
    <w:rsid w:val="00CF224B"/>
    <w:rsid w:val="00CF2503"/>
    <w:rsid w:val="00CF2889"/>
    <w:rsid w:val="00CF2A7D"/>
    <w:rsid w:val="00CF2C08"/>
    <w:rsid w:val="00CF2C65"/>
    <w:rsid w:val="00CF2CA9"/>
    <w:rsid w:val="00CF2E0D"/>
    <w:rsid w:val="00CF324E"/>
    <w:rsid w:val="00CF3934"/>
    <w:rsid w:val="00CF3986"/>
    <w:rsid w:val="00CF39E8"/>
    <w:rsid w:val="00CF3A14"/>
    <w:rsid w:val="00CF42AF"/>
    <w:rsid w:val="00CF43BA"/>
    <w:rsid w:val="00CF44F4"/>
    <w:rsid w:val="00CF450C"/>
    <w:rsid w:val="00CF472B"/>
    <w:rsid w:val="00CF51DE"/>
    <w:rsid w:val="00CF56B7"/>
    <w:rsid w:val="00CF56D5"/>
    <w:rsid w:val="00CF578F"/>
    <w:rsid w:val="00CF581C"/>
    <w:rsid w:val="00CF5F3A"/>
    <w:rsid w:val="00CF6318"/>
    <w:rsid w:val="00CF6DB4"/>
    <w:rsid w:val="00CF6E1B"/>
    <w:rsid w:val="00CF6FF1"/>
    <w:rsid w:val="00CF702F"/>
    <w:rsid w:val="00CF7075"/>
    <w:rsid w:val="00CF724E"/>
    <w:rsid w:val="00CF75A4"/>
    <w:rsid w:val="00CF773E"/>
    <w:rsid w:val="00CF7757"/>
    <w:rsid w:val="00CF7C54"/>
    <w:rsid w:val="00CF7D1F"/>
    <w:rsid w:val="00D000F1"/>
    <w:rsid w:val="00D00297"/>
    <w:rsid w:val="00D0081E"/>
    <w:rsid w:val="00D00C46"/>
    <w:rsid w:val="00D010A1"/>
    <w:rsid w:val="00D013D0"/>
    <w:rsid w:val="00D0148E"/>
    <w:rsid w:val="00D01491"/>
    <w:rsid w:val="00D014BC"/>
    <w:rsid w:val="00D0181A"/>
    <w:rsid w:val="00D01CD1"/>
    <w:rsid w:val="00D01FC6"/>
    <w:rsid w:val="00D02280"/>
    <w:rsid w:val="00D0248A"/>
    <w:rsid w:val="00D025B4"/>
    <w:rsid w:val="00D02B3C"/>
    <w:rsid w:val="00D038AC"/>
    <w:rsid w:val="00D03A90"/>
    <w:rsid w:val="00D03E66"/>
    <w:rsid w:val="00D0403D"/>
    <w:rsid w:val="00D047D9"/>
    <w:rsid w:val="00D04E3E"/>
    <w:rsid w:val="00D05196"/>
    <w:rsid w:val="00D052D5"/>
    <w:rsid w:val="00D05E6C"/>
    <w:rsid w:val="00D062D0"/>
    <w:rsid w:val="00D06335"/>
    <w:rsid w:val="00D06A58"/>
    <w:rsid w:val="00D07354"/>
    <w:rsid w:val="00D076B1"/>
    <w:rsid w:val="00D078CA"/>
    <w:rsid w:val="00D07B7A"/>
    <w:rsid w:val="00D07DF8"/>
    <w:rsid w:val="00D07EE1"/>
    <w:rsid w:val="00D10645"/>
    <w:rsid w:val="00D10E41"/>
    <w:rsid w:val="00D111FB"/>
    <w:rsid w:val="00D11780"/>
    <w:rsid w:val="00D11B16"/>
    <w:rsid w:val="00D12599"/>
    <w:rsid w:val="00D12872"/>
    <w:rsid w:val="00D12FF9"/>
    <w:rsid w:val="00D1316D"/>
    <w:rsid w:val="00D132B2"/>
    <w:rsid w:val="00D136E5"/>
    <w:rsid w:val="00D13A0B"/>
    <w:rsid w:val="00D13D58"/>
    <w:rsid w:val="00D1428B"/>
    <w:rsid w:val="00D14922"/>
    <w:rsid w:val="00D14D14"/>
    <w:rsid w:val="00D14EB4"/>
    <w:rsid w:val="00D150AE"/>
    <w:rsid w:val="00D1540B"/>
    <w:rsid w:val="00D156F3"/>
    <w:rsid w:val="00D15796"/>
    <w:rsid w:val="00D157E2"/>
    <w:rsid w:val="00D159CF"/>
    <w:rsid w:val="00D15C52"/>
    <w:rsid w:val="00D16648"/>
    <w:rsid w:val="00D16B48"/>
    <w:rsid w:val="00D16BB4"/>
    <w:rsid w:val="00D16CE7"/>
    <w:rsid w:val="00D170D2"/>
    <w:rsid w:val="00D17228"/>
    <w:rsid w:val="00D1733C"/>
    <w:rsid w:val="00D1753D"/>
    <w:rsid w:val="00D17E7C"/>
    <w:rsid w:val="00D203D0"/>
    <w:rsid w:val="00D20966"/>
    <w:rsid w:val="00D20CDE"/>
    <w:rsid w:val="00D20DB8"/>
    <w:rsid w:val="00D21302"/>
    <w:rsid w:val="00D2167E"/>
    <w:rsid w:val="00D21C13"/>
    <w:rsid w:val="00D229CF"/>
    <w:rsid w:val="00D22BE6"/>
    <w:rsid w:val="00D22D56"/>
    <w:rsid w:val="00D22F60"/>
    <w:rsid w:val="00D23356"/>
    <w:rsid w:val="00D234C6"/>
    <w:rsid w:val="00D236FD"/>
    <w:rsid w:val="00D23AF3"/>
    <w:rsid w:val="00D23C83"/>
    <w:rsid w:val="00D23E16"/>
    <w:rsid w:val="00D23E40"/>
    <w:rsid w:val="00D2402E"/>
    <w:rsid w:val="00D242D2"/>
    <w:rsid w:val="00D24C6C"/>
    <w:rsid w:val="00D24D8E"/>
    <w:rsid w:val="00D24FD9"/>
    <w:rsid w:val="00D25395"/>
    <w:rsid w:val="00D25B96"/>
    <w:rsid w:val="00D260F4"/>
    <w:rsid w:val="00D27694"/>
    <w:rsid w:val="00D27F3B"/>
    <w:rsid w:val="00D30031"/>
    <w:rsid w:val="00D30799"/>
    <w:rsid w:val="00D3124C"/>
    <w:rsid w:val="00D31967"/>
    <w:rsid w:val="00D31DE7"/>
    <w:rsid w:val="00D32120"/>
    <w:rsid w:val="00D32557"/>
    <w:rsid w:val="00D32F47"/>
    <w:rsid w:val="00D330A5"/>
    <w:rsid w:val="00D33121"/>
    <w:rsid w:val="00D33576"/>
    <w:rsid w:val="00D337C4"/>
    <w:rsid w:val="00D33A99"/>
    <w:rsid w:val="00D33BCB"/>
    <w:rsid w:val="00D33CE4"/>
    <w:rsid w:val="00D3479A"/>
    <w:rsid w:val="00D34A0E"/>
    <w:rsid w:val="00D34BBF"/>
    <w:rsid w:val="00D34D41"/>
    <w:rsid w:val="00D34E03"/>
    <w:rsid w:val="00D34E47"/>
    <w:rsid w:val="00D358F0"/>
    <w:rsid w:val="00D35989"/>
    <w:rsid w:val="00D35CBE"/>
    <w:rsid w:val="00D368DE"/>
    <w:rsid w:val="00D36A64"/>
    <w:rsid w:val="00D36CFF"/>
    <w:rsid w:val="00D37293"/>
    <w:rsid w:val="00D375EB"/>
    <w:rsid w:val="00D377B1"/>
    <w:rsid w:val="00D400A1"/>
    <w:rsid w:val="00D400C3"/>
    <w:rsid w:val="00D40444"/>
    <w:rsid w:val="00D4051E"/>
    <w:rsid w:val="00D40551"/>
    <w:rsid w:val="00D40ABC"/>
    <w:rsid w:val="00D40AF0"/>
    <w:rsid w:val="00D410F2"/>
    <w:rsid w:val="00D4169C"/>
    <w:rsid w:val="00D425AC"/>
    <w:rsid w:val="00D42871"/>
    <w:rsid w:val="00D42880"/>
    <w:rsid w:val="00D42F41"/>
    <w:rsid w:val="00D4302F"/>
    <w:rsid w:val="00D430C5"/>
    <w:rsid w:val="00D43176"/>
    <w:rsid w:val="00D43ABD"/>
    <w:rsid w:val="00D43D09"/>
    <w:rsid w:val="00D448EA"/>
    <w:rsid w:val="00D44CFD"/>
    <w:rsid w:val="00D44EC1"/>
    <w:rsid w:val="00D45D49"/>
    <w:rsid w:val="00D45EF7"/>
    <w:rsid w:val="00D45FB6"/>
    <w:rsid w:val="00D46304"/>
    <w:rsid w:val="00D4635E"/>
    <w:rsid w:val="00D46D2E"/>
    <w:rsid w:val="00D46FDC"/>
    <w:rsid w:val="00D47044"/>
    <w:rsid w:val="00D470B4"/>
    <w:rsid w:val="00D47EE2"/>
    <w:rsid w:val="00D50110"/>
    <w:rsid w:val="00D5046F"/>
    <w:rsid w:val="00D5078E"/>
    <w:rsid w:val="00D50CCB"/>
    <w:rsid w:val="00D511E6"/>
    <w:rsid w:val="00D513BC"/>
    <w:rsid w:val="00D5160C"/>
    <w:rsid w:val="00D516B9"/>
    <w:rsid w:val="00D521C5"/>
    <w:rsid w:val="00D522A3"/>
    <w:rsid w:val="00D5264F"/>
    <w:rsid w:val="00D526CA"/>
    <w:rsid w:val="00D528B8"/>
    <w:rsid w:val="00D52BCB"/>
    <w:rsid w:val="00D535C5"/>
    <w:rsid w:val="00D535F7"/>
    <w:rsid w:val="00D536C0"/>
    <w:rsid w:val="00D5400D"/>
    <w:rsid w:val="00D549A2"/>
    <w:rsid w:val="00D55016"/>
    <w:rsid w:val="00D55737"/>
    <w:rsid w:val="00D558B1"/>
    <w:rsid w:val="00D55A1B"/>
    <w:rsid w:val="00D55F0A"/>
    <w:rsid w:val="00D56055"/>
    <w:rsid w:val="00D56177"/>
    <w:rsid w:val="00D563D5"/>
    <w:rsid w:val="00D5673E"/>
    <w:rsid w:val="00D56B32"/>
    <w:rsid w:val="00D56DBA"/>
    <w:rsid w:val="00D5745C"/>
    <w:rsid w:val="00D57466"/>
    <w:rsid w:val="00D576FB"/>
    <w:rsid w:val="00D578EC"/>
    <w:rsid w:val="00D60052"/>
    <w:rsid w:val="00D60261"/>
    <w:rsid w:val="00D6038E"/>
    <w:rsid w:val="00D605D4"/>
    <w:rsid w:val="00D60DA1"/>
    <w:rsid w:val="00D610C1"/>
    <w:rsid w:val="00D6149D"/>
    <w:rsid w:val="00D61D28"/>
    <w:rsid w:val="00D620C4"/>
    <w:rsid w:val="00D622BD"/>
    <w:rsid w:val="00D625E7"/>
    <w:rsid w:val="00D627F7"/>
    <w:rsid w:val="00D62B05"/>
    <w:rsid w:val="00D62FA1"/>
    <w:rsid w:val="00D6304D"/>
    <w:rsid w:val="00D63380"/>
    <w:rsid w:val="00D633AA"/>
    <w:rsid w:val="00D633AF"/>
    <w:rsid w:val="00D6360C"/>
    <w:rsid w:val="00D638FC"/>
    <w:rsid w:val="00D63978"/>
    <w:rsid w:val="00D63CA0"/>
    <w:rsid w:val="00D63CE4"/>
    <w:rsid w:val="00D63F75"/>
    <w:rsid w:val="00D640E6"/>
    <w:rsid w:val="00D64961"/>
    <w:rsid w:val="00D6510E"/>
    <w:rsid w:val="00D65371"/>
    <w:rsid w:val="00D6586C"/>
    <w:rsid w:val="00D6598B"/>
    <w:rsid w:val="00D659A4"/>
    <w:rsid w:val="00D66145"/>
    <w:rsid w:val="00D66A8A"/>
    <w:rsid w:val="00D66C1C"/>
    <w:rsid w:val="00D66F0E"/>
    <w:rsid w:val="00D67889"/>
    <w:rsid w:val="00D701B9"/>
    <w:rsid w:val="00D70333"/>
    <w:rsid w:val="00D70460"/>
    <w:rsid w:val="00D7104B"/>
    <w:rsid w:val="00D71280"/>
    <w:rsid w:val="00D71617"/>
    <w:rsid w:val="00D71C01"/>
    <w:rsid w:val="00D71EB0"/>
    <w:rsid w:val="00D722CF"/>
    <w:rsid w:val="00D72312"/>
    <w:rsid w:val="00D72B52"/>
    <w:rsid w:val="00D72F11"/>
    <w:rsid w:val="00D7318B"/>
    <w:rsid w:val="00D73210"/>
    <w:rsid w:val="00D732C3"/>
    <w:rsid w:val="00D732FB"/>
    <w:rsid w:val="00D737DE"/>
    <w:rsid w:val="00D748E9"/>
    <w:rsid w:val="00D74BF2"/>
    <w:rsid w:val="00D75030"/>
    <w:rsid w:val="00D750A5"/>
    <w:rsid w:val="00D7511C"/>
    <w:rsid w:val="00D755E7"/>
    <w:rsid w:val="00D7587E"/>
    <w:rsid w:val="00D75D40"/>
    <w:rsid w:val="00D760C5"/>
    <w:rsid w:val="00D762FC"/>
    <w:rsid w:val="00D7695A"/>
    <w:rsid w:val="00D76CC3"/>
    <w:rsid w:val="00D77649"/>
    <w:rsid w:val="00D7788C"/>
    <w:rsid w:val="00D779F9"/>
    <w:rsid w:val="00D77AF0"/>
    <w:rsid w:val="00D77DFF"/>
    <w:rsid w:val="00D80053"/>
    <w:rsid w:val="00D80337"/>
    <w:rsid w:val="00D80462"/>
    <w:rsid w:val="00D80670"/>
    <w:rsid w:val="00D807B7"/>
    <w:rsid w:val="00D8080B"/>
    <w:rsid w:val="00D80A4F"/>
    <w:rsid w:val="00D80BB3"/>
    <w:rsid w:val="00D80DD3"/>
    <w:rsid w:val="00D80E33"/>
    <w:rsid w:val="00D81386"/>
    <w:rsid w:val="00D81EC5"/>
    <w:rsid w:val="00D81F1F"/>
    <w:rsid w:val="00D8212C"/>
    <w:rsid w:val="00D82368"/>
    <w:rsid w:val="00D824D5"/>
    <w:rsid w:val="00D827E2"/>
    <w:rsid w:val="00D82AB8"/>
    <w:rsid w:val="00D82FEB"/>
    <w:rsid w:val="00D830A0"/>
    <w:rsid w:val="00D83912"/>
    <w:rsid w:val="00D84009"/>
    <w:rsid w:val="00D840BB"/>
    <w:rsid w:val="00D845A3"/>
    <w:rsid w:val="00D847F5"/>
    <w:rsid w:val="00D849DB"/>
    <w:rsid w:val="00D84B46"/>
    <w:rsid w:val="00D85210"/>
    <w:rsid w:val="00D86791"/>
    <w:rsid w:val="00D86A15"/>
    <w:rsid w:val="00D86B32"/>
    <w:rsid w:val="00D86CDD"/>
    <w:rsid w:val="00D86D62"/>
    <w:rsid w:val="00D86D91"/>
    <w:rsid w:val="00D873CC"/>
    <w:rsid w:val="00D8757F"/>
    <w:rsid w:val="00D876DD"/>
    <w:rsid w:val="00D87AA3"/>
    <w:rsid w:val="00D87ADC"/>
    <w:rsid w:val="00D87BEC"/>
    <w:rsid w:val="00D87E58"/>
    <w:rsid w:val="00D9006C"/>
    <w:rsid w:val="00D9024E"/>
    <w:rsid w:val="00D903F4"/>
    <w:rsid w:val="00D90D80"/>
    <w:rsid w:val="00D910D6"/>
    <w:rsid w:val="00D91386"/>
    <w:rsid w:val="00D922E7"/>
    <w:rsid w:val="00D9255F"/>
    <w:rsid w:val="00D92609"/>
    <w:rsid w:val="00D9266C"/>
    <w:rsid w:val="00D92E4A"/>
    <w:rsid w:val="00D93267"/>
    <w:rsid w:val="00D93353"/>
    <w:rsid w:val="00D94257"/>
    <w:rsid w:val="00D94DF7"/>
    <w:rsid w:val="00D9560C"/>
    <w:rsid w:val="00D95A82"/>
    <w:rsid w:val="00D9625F"/>
    <w:rsid w:val="00D963B5"/>
    <w:rsid w:val="00D96488"/>
    <w:rsid w:val="00D967C8"/>
    <w:rsid w:val="00D968CA"/>
    <w:rsid w:val="00D96B03"/>
    <w:rsid w:val="00D96D60"/>
    <w:rsid w:val="00D96DAA"/>
    <w:rsid w:val="00D9756E"/>
    <w:rsid w:val="00D976C2"/>
    <w:rsid w:val="00D97A49"/>
    <w:rsid w:val="00D97CDE"/>
    <w:rsid w:val="00D97DAB"/>
    <w:rsid w:val="00D97ED6"/>
    <w:rsid w:val="00DA0163"/>
    <w:rsid w:val="00DA098A"/>
    <w:rsid w:val="00DA0C94"/>
    <w:rsid w:val="00DA0F0A"/>
    <w:rsid w:val="00DA1332"/>
    <w:rsid w:val="00DA13A0"/>
    <w:rsid w:val="00DA17D0"/>
    <w:rsid w:val="00DA1984"/>
    <w:rsid w:val="00DA1C9F"/>
    <w:rsid w:val="00DA1D64"/>
    <w:rsid w:val="00DA1DFB"/>
    <w:rsid w:val="00DA2028"/>
    <w:rsid w:val="00DA2185"/>
    <w:rsid w:val="00DA2297"/>
    <w:rsid w:val="00DA231C"/>
    <w:rsid w:val="00DA235A"/>
    <w:rsid w:val="00DA2395"/>
    <w:rsid w:val="00DA2920"/>
    <w:rsid w:val="00DA2973"/>
    <w:rsid w:val="00DA30B7"/>
    <w:rsid w:val="00DA37FE"/>
    <w:rsid w:val="00DA395C"/>
    <w:rsid w:val="00DA3A22"/>
    <w:rsid w:val="00DA3AF4"/>
    <w:rsid w:val="00DA422C"/>
    <w:rsid w:val="00DA46B2"/>
    <w:rsid w:val="00DA4706"/>
    <w:rsid w:val="00DA4A0E"/>
    <w:rsid w:val="00DA4DD5"/>
    <w:rsid w:val="00DA5B86"/>
    <w:rsid w:val="00DA5EBB"/>
    <w:rsid w:val="00DA6372"/>
    <w:rsid w:val="00DA65B4"/>
    <w:rsid w:val="00DA6D29"/>
    <w:rsid w:val="00DA7003"/>
    <w:rsid w:val="00DA71CF"/>
    <w:rsid w:val="00DA7390"/>
    <w:rsid w:val="00DA75DB"/>
    <w:rsid w:val="00DA7974"/>
    <w:rsid w:val="00DA79C0"/>
    <w:rsid w:val="00DA7F78"/>
    <w:rsid w:val="00DA7FBB"/>
    <w:rsid w:val="00DA7FEA"/>
    <w:rsid w:val="00DB013B"/>
    <w:rsid w:val="00DB039E"/>
    <w:rsid w:val="00DB03D5"/>
    <w:rsid w:val="00DB0904"/>
    <w:rsid w:val="00DB0B24"/>
    <w:rsid w:val="00DB1851"/>
    <w:rsid w:val="00DB1C06"/>
    <w:rsid w:val="00DB1CD2"/>
    <w:rsid w:val="00DB1D28"/>
    <w:rsid w:val="00DB1FD6"/>
    <w:rsid w:val="00DB20DD"/>
    <w:rsid w:val="00DB2990"/>
    <w:rsid w:val="00DB311E"/>
    <w:rsid w:val="00DB33FD"/>
    <w:rsid w:val="00DB3427"/>
    <w:rsid w:val="00DB36C3"/>
    <w:rsid w:val="00DB3C34"/>
    <w:rsid w:val="00DB3D43"/>
    <w:rsid w:val="00DB3FA3"/>
    <w:rsid w:val="00DB41C2"/>
    <w:rsid w:val="00DB45C2"/>
    <w:rsid w:val="00DB4676"/>
    <w:rsid w:val="00DB4E53"/>
    <w:rsid w:val="00DB5B68"/>
    <w:rsid w:val="00DB5E66"/>
    <w:rsid w:val="00DB5EDB"/>
    <w:rsid w:val="00DB61C3"/>
    <w:rsid w:val="00DB691D"/>
    <w:rsid w:val="00DB6A90"/>
    <w:rsid w:val="00DB6C82"/>
    <w:rsid w:val="00DB6CB7"/>
    <w:rsid w:val="00DB7A41"/>
    <w:rsid w:val="00DB7CC3"/>
    <w:rsid w:val="00DB7D2E"/>
    <w:rsid w:val="00DB7E00"/>
    <w:rsid w:val="00DB7E70"/>
    <w:rsid w:val="00DC0252"/>
    <w:rsid w:val="00DC0913"/>
    <w:rsid w:val="00DC0B96"/>
    <w:rsid w:val="00DC1044"/>
    <w:rsid w:val="00DC146A"/>
    <w:rsid w:val="00DC14BE"/>
    <w:rsid w:val="00DC15D0"/>
    <w:rsid w:val="00DC180D"/>
    <w:rsid w:val="00DC180F"/>
    <w:rsid w:val="00DC1B38"/>
    <w:rsid w:val="00DC1B5C"/>
    <w:rsid w:val="00DC1C83"/>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33BF"/>
    <w:rsid w:val="00DC3873"/>
    <w:rsid w:val="00DC38D1"/>
    <w:rsid w:val="00DC393F"/>
    <w:rsid w:val="00DC3969"/>
    <w:rsid w:val="00DC3A76"/>
    <w:rsid w:val="00DC3AEA"/>
    <w:rsid w:val="00DC3B40"/>
    <w:rsid w:val="00DC499D"/>
    <w:rsid w:val="00DC4A9E"/>
    <w:rsid w:val="00DC50B5"/>
    <w:rsid w:val="00DC5135"/>
    <w:rsid w:val="00DC5951"/>
    <w:rsid w:val="00DC5953"/>
    <w:rsid w:val="00DC59C8"/>
    <w:rsid w:val="00DC5DC5"/>
    <w:rsid w:val="00DC5EEA"/>
    <w:rsid w:val="00DD0382"/>
    <w:rsid w:val="00DD0E3B"/>
    <w:rsid w:val="00DD1020"/>
    <w:rsid w:val="00DD1EB5"/>
    <w:rsid w:val="00DD2373"/>
    <w:rsid w:val="00DD24C7"/>
    <w:rsid w:val="00DD2B86"/>
    <w:rsid w:val="00DD2E62"/>
    <w:rsid w:val="00DD2EB6"/>
    <w:rsid w:val="00DD385E"/>
    <w:rsid w:val="00DD3F4A"/>
    <w:rsid w:val="00DD40C1"/>
    <w:rsid w:val="00DD42E4"/>
    <w:rsid w:val="00DD4329"/>
    <w:rsid w:val="00DD4899"/>
    <w:rsid w:val="00DD5552"/>
    <w:rsid w:val="00DD5679"/>
    <w:rsid w:val="00DD5C27"/>
    <w:rsid w:val="00DD5DD3"/>
    <w:rsid w:val="00DD6030"/>
    <w:rsid w:val="00DD6199"/>
    <w:rsid w:val="00DD6234"/>
    <w:rsid w:val="00DD64F3"/>
    <w:rsid w:val="00DD6C04"/>
    <w:rsid w:val="00DD6F77"/>
    <w:rsid w:val="00DD70E9"/>
    <w:rsid w:val="00DD7545"/>
    <w:rsid w:val="00DD75BC"/>
    <w:rsid w:val="00DD770D"/>
    <w:rsid w:val="00DD7936"/>
    <w:rsid w:val="00DD7A90"/>
    <w:rsid w:val="00DD7AEE"/>
    <w:rsid w:val="00DD7E11"/>
    <w:rsid w:val="00DE08EE"/>
    <w:rsid w:val="00DE0C6A"/>
    <w:rsid w:val="00DE0E13"/>
    <w:rsid w:val="00DE1855"/>
    <w:rsid w:val="00DE1EAB"/>
    <w:rsid w:val="00DE1F2F"/>
    <w:rsid w:val="00DE2061"/>
    <w:rsid w:val="00DE2068"/>
    <w:rsid w:val="00DE26EE"/>
    <w:rsid w:val="00DE27FA"/>
    <w:rsid w:val="00DE2A82"/>
    <w:rsid w:val="00DE2B6D"/>
    <w:rsid w:val="00DE2E7D"/>
    <w:rsid w:val="00DE3406"/>
    <w:rsid w:val="00DE37E1"/>
    <w:rsid w:val="00DE3814"/>
    <w:rsid w:val="00DE391D"/>
    <w:rsid w:val="00DE39A1"/>
    <w:rsid w:val="00DE3C60"/>
    <w:rsid w:val="00DE3EED"/>
    <w:rsid w:val="00DE4593"/>
    <w:rsid w:val="00DE4A83"/>
    <w:rsid w:val="00DE4AD5"/>
    <w:rsid w:val="00DE5580"/>
    <w:rsid w:val="00DE5B20"/>
    <w:rsid w:val="00DE5DB5"/>
    <w:rsid w:val="00DE5FF3"/>
    <w:rsid w:val="00DE60E5"/>
    <w:rsid w:val="00DE634F"/>
    <w:rsid w:val="00DE664D"/>
    <w:rsid w:val="00DE6A7B"/>
    <w:rsid w:val="00DE6B0F"/>
    <w:rsid w:val="00DE6C09"/>
    <w:rsid w:val="00DE709A"/>
    <w:rsid w:val="00DE7116"/>
    <w:rsid w:val="00DE75F5"/>
    <w:rsid w:val="00DE76B5"/>
    <w:rsid w:val="00DE7E07"/>
    <w:rsid w:val="00DF004F"/>
    <w:rsid w:val="00DF052F"/>
    <w:rsid w:val="00DF06CB"/>
    <w:rsid w:val="00DF07BA"/>
    <w:rsid w:val="00DF08F2"/>
    <w:rsid w:val="00DF0F35"/>
    <w:rsid w:val="00DF0FF5"/>
    <w:rsid w:val="00DF11FA"/>
    <w:rsid w:val="00DF124D"/>
    <w:rsid w:val="00DF1266"/>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79C"/>
    <w:rsid w:val="00DF6841"/>
    <w:rsid w:val="00DF7114"/>
    <w:rsid w:val="00DF7492"/>
    <w:rsid w:val="00DF75E6"/>
    <w:rsid w:val="00DF7806"/>
    <w:rsid w:val="00DF7D65"/>
    <w:rsid w:val="00DF7F98"/>
    <w:rsid w:val="00DF7FD1"/>
    <w:rsid w:val="00E0005B"/>
    <w:rsid w:val="00E00672"/>
    <w:rsid w:val="00E0077C"/>
    <w:rsid w:val="00E010D7"/>
    <w:rsid w:val="00E011DC"/>
    <w:rsid w:val="00E013E6"/>
    <w:rsid w:val="00E0165C"/>
    <w:rsid w:val="00E016CB"/>
    <w:rsid w:val="00E01775"/>
    <w:rsid w:val="00E01AC9"/>
    <w:rsid w:val="00E01B79"/>
    <w:rsid w:val="00E01CF3"/>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C03"/>
    <w:rsid w:val="00E05EA7"/>
    <w:rsid w:val="00E0691D"/>
    <w:rsid w:val="00E06C3E"/>
    <w:rsid w:val="00E07667"/>
    <w:rsid w:val="00E0773C"/>
    <w:rsid w:val="00E0798C"/>
    <w:rsid w:val="00E07B89"/>
    <w:rsid w:val="00E07FF0"/>
    <w:rsid w:val="00E1021B"/>
    <w:rsid w:val="00E10344"/>
    <w:rsid w:val="00E10ED5"/>
    <w:rsid w:val="00E112B8"/>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ED2"/>
    <w:rsid w:val="00E14132"/>
    <w:rsid w:val="00E14A2D"/>
    <w:rsid w:val="00E15278"/>
    <w:rsid w:val="00E15345"/>
    <w:rsid w:val="00E15770"/>
    <w:rsid w:val="00E1581C"/>
    <w:rsid w:val="00E15F47"/>
    <w:rsid w:val="00E16353"/>
    <w:rsid w:val="00E1693D"/>
    <w:rsid w:val="00E16A5A"/>
    <w:rsid w:val="00E16D36"/>
    <w:rsid w:val="00E16FE5"/>
    <w:rsid w:val="00E17D2A"/>
    <w:rsid w:val="00E203B7"/>
    <w:rsid w:val="00E20632"/>
    <w:rsid w:val="00E208BE"/>
    <w:rsid w:val="00E20BE5"/>
    <w:rsid w:val="00E20D5E"/>
    <w:rsid w:val="00E20F4E"/>
    <w:rsid w:val="00E2144F"/>
    <w:rsid w:val="00E2153E"/>
    <w:rsid w:val="00E215F1"/>
    <w:rsid w:val="00E21F8E"/>
    <w:rsid w:val="00E2345B"/>
    <w:rsid w:val="00E2355E"/>
    <w:rsid w:val="00E2387C"/>
    <w:rsid w:val="00E238D0"/>
    <w:rsid w:val="00E24251"/>
    <w:rsid w:val="00E246E9"/>
    <w:rsid w:val="00E24A0F"/>
    <w:rsid w:val="00E24E9F"/>
    <w:rsid w:val="00E25E5A"/>
    <w:rsid w:val="00E261BF"/>
    <w:rsid w:val="00E2685B"/>
    <w:rsid w:val="00E26987"/>
    <w:rsid w:val="00E26B36"/>
    <w:rsid w:val="00E26DD6"/>
    <w:rsid w:val="00E26E2C"/>
    <w:rsid w:val="00E2707B"/>
    <w:rsid w:val="00E2749F"/>
    <w:rsid w:val="00E27601"/>
    <w:rsid w:val="00E27645"/>
    <w:rsid w:val="00E30031"/>
    <w:rsid w:val="00E304F8"/>
    <w:rsid w:val="00E30702"/>
    <w:rsid w:val="00E3078D"/>
    <w:rsid w:val="00E3173F"/>
    <w:rsid w:val="00E31C45"/>
    <w:rsid w:val="00E31ED9"/>
    <w:rsid w:val="00E322C8"/>
    <w:rsid w:val="00E325E4"/>
    <w:rsid w:val="00E32727"/>
    <w:rsid w:val="00E32E4C"/>
    <w:rsid w:val="00E3307E"/>
    <w:rsid w:val="00E335D0"/>
    <w:rsid w:val="00E33BB0"/>
    <w:rsid w:val="00E33F91"/>
    <w:rsid w:val="00E343B2"/>
    <w:rsid w:val="00E346DF"/>
    <w:rsid w:val="00E35012"/>
    <w:rsid w:val="00E351EA"/>
    <w:rsid w:val="00E35607"/>
    <w:rsid w:val="00E36140"/>
    <w:rsid w:val="00E367E4"/>
    <w:rsid w:val="00E369CC"/>
    <w:rsid w:val="00E36C0B"/>
    <w:rsid w:val="00E36E4A"/>
    <w:rsid w:val="00E37A29"/>
    <w:rsid w:val="00E4018F"/>
    <w:rsid w:val="00E402D6"/>
    <w:rsid w:val="00E4080F"/>
    <w:rsid w:val="00E408BF"/>
    <w:rsid w:val="00E409D7"/>
    <w:rsid w:val="00E40B34"/>
    <w:rsid w:val="00E40BCB"/>
    <w:rsid w:val="00E40CAD"/>
    <w:rsid w:val="00E40D08"/>
    <w:rsid w:val="00E411E8"/>
    <w:rsid w:val="00E4138F"/>
    <w:rsid w:val="00E41893"/>
    <w:rsid w:val="00E418A4"/>
    <w:rsid w:val="00E41DB1"/>
    <w:rsid w:val="00E42018"/>
    <w:rsid w:val="00E42245"/>
    <w:rsid w:val="00E42287"/>
    <w:rsid w:val="00E42CF2"/>
    <w:rsid w:val="00E43329"/>
    <w:rsid w:val="00E43391"/>
    <w:rsid w:val="00E4362C"/>
    <w:rsid w:val="00E438A6"/>
    <w:rsid w:val="00E43EF7"/>
    <w:rsid w:val="00E43FA9"/>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7325"/>
    <w:rsid w:val="00E4794F"/>
    <w:rsid w:val="00E47D3F"/>
    <w:rsid w:val="00E47DA3"/>
    <w:rsid w:val="00E47FA6"/>
    <w:rsid w:val="00E5062B"/>
    <w:rsid w:val="00E5066E"/>
    <w:rsid w:val="00E50CBB"/>
    <w:rsid w:val="00E50D53"/>
    <w:rsid w:val="00E50E81"/>
    <w:rsid w:val="00E51A36"/>
    <w:rsid w:val="00E51A61"/>
    <w:rsid w:val="00E51CC1"/>
    <w:rsid w:val="00E520D3"/>
    <w:rsid w:val="00E52385"/>
    <w:rsid w:val="00E529B5"/>
    <w:rsid w:val="00E52FC8"/>
    <w:rsid w:val="00E5378B"/>
    <w:rsid w:val="00E53CD7"/>
    <w:rsid w:val="00E541AD"/>
    <w:rsid w:val="00E54354"/>
    <w:rsid w:val="00E54BED"/>
    <w:rsid w:val="00E5522B"/>
    <w:rsid w:val="00E556F9"/>
    <w:rsid w:val="00E55844"/>
    <w:rsid w:val="00E55FD5"/>
    <w:rsid w:val="00E56330"/>
    <w:rsid w:val="00E563B1"/>
    <w:rsid w:val="00E56DC3"/>
    <w:rsid w:val="00E56EA4"/>
    <w:rsid w:val="00E570B0"/>
    <w:rsid w:val="00E571B1"/>
    <w:rsid w:val="00E5770B"/>
    <w:rsid w:val="00E57D2F"/>
    <w:rsid w:val="00E6023E"/>
    <w:rsid w:val="00E602E5"/>
    <w:rsid w:val="00E6036E"/>
    <w:rsid w:val="00E603AF"/>
    <w:rsid w:val="00E60991"/>
    <w:rsid w:val="00E60C38"/>
    <w:rsid w:val="00E60C4A"/>
    <w:rsid w:val="00E61336"/>
    <w:rsid w:val="00E61727"/>
    <w:rsid w:val="00E61F88"/>
    <w:rsid w:val="00E626B9"/>
    <w:rsid w:val="00E62730"/>
    <w:rsid w:val="00E6284F"/>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2C3"/>
    <w:rsid w:val="00E66305"/>
    <w:rsid w:val="00E66452"/>
    <w:rsid w:val="00E66ADA"/>
    <w:rsid w:val="00E66B0B"/>
    <w:rsid w:val="00E674C1"/>
    <w:rsid w:val="00E6750B"/>
    <w:rsid w:val="00E679EF"/>
    <w:rsid w:val="00E70162"/>
    <w:rsid w:val="00E7030D"/>
    <w:rsid w:val="00E70748"/>
    <w:rsid w:val="00E707FE"/>
    <w:rsid w:val="00E70E2D"/>
    <w:rsid w:val="00E70FF1"/>
    <w:rsid w:val="00E71098"/>
    <w:rsid w:val="00E7125D"/>
    <w:rsid w:val="00E71723"/>
    <w:rsid w:val="00E71926"/>
    <w:rsid w:val="00E71AAB"/>
    <w:rsid w:val="00E71BB4"/>
    <w:rsid w:val="00E7221E"/>
    <w:rsid w:val="00E722BC"/>
    <w:rsid w:val="00E722C6"/>
    <w:rsid w:val="00E72A2C"/>
    <w:rsid w:val="00E72B09"/>
    <w:rsid w:val="00E72BC5"/>
    <w:rsid w:val="00E72DB8"/>
    <w:rsid w:val="00E7309D"/>
    <w:rsid w:val="00E734CB"/>
    <w:rsid w:val="00E735F2"/>
    <w:rsid w:val="00E73615"/>
    <w:rsid w:val="00E73841"/>
    <w:rsid w:val="00E73976"/>
    <w:rsid w:val="00E742CD"/>
    <w:rsid w:val="00E74FB6"/>
    <w:rsid w:val="00E75356"/>
    <w:rsid w:val="00E7537E"/>
    <w:rsid w:val="00E754BB"/>
    <w:rsid w:val="00E75896"/>
    <w:rsid w:val="00E75DAE"/>
    <w:rsid w:val="00E75F59"/>
    <w:rsid w:val="00E760DB"/>
    <w:rsid w:val="00E76429"/>
    <w:rsid w:val="00E766E3"/>
    <w:rsid w:val="00E76A87"/>
    <w:rsid w:val="00E76FCF"/>
    <w:rsid w:val="00E771F5"/>
    <w:rsid w:val="00E7793F"/>
    <w:rsid w:val="00E77E4B"/>
    <w:rsid w:val="00E80394"/>
    <w:rsid w:val="00E803FE"/>
    <w:rsid w:val="00E806C3"/>
    <w:rsid w:val="00E80C95"/>
    <w:rsid w:val="00E80CC0"/>
    <w:rsid w:val="00E81BB1"/>
    <w:rsid w:val="00E81C2E"/>
    <w:rsid w:val="00E81D02"/>
    <w:rsid w:val="00E82145"/>
    <w:rsid w:val="00E8273A"/>
    <w:rsid w:val="00E82A0E"/>
    <w:rsid w:val="00E82DBE"/>
    <w:rsid w:val="00E82EBA"/>
    <w:rsid w:val="00E82FCA"/>
    <w:rsid w:val="00E83232"/>
    <w:rsid w:val="00E833EC"/>
    <w:rsid w:val="00E8356B"/>
    <w:rsid w:val="00E83AEA"/>
    <w:rsid w:val="00E83CF9"/>
    <w:rsid w:val="00E8417B"/>
    <w:rsid w:val="00E846B8"/>
    <w:rsid w:val="00E84D1C"/>
    <w:rsid w:val="00E84F38"/>
    <w:rsid w:val="00E852DD"/>
    <w:rsid w:val="00E8549B"/>
    <w:rsid w:val="00E859AB"/>
    <w:rsid w:val="00E85E42"/>
    <w:rsid w:val="00E8606E"/>
    <w:rsid w:val="00E86381"/>
    <w:rsid w:val="00E863CE"/>
    <w:rsid w:val="00E86515"/>
    <w:rsid w:val="00E87855"/>
    <w:rsid w:val="00E878EC"/>
    <w:rsid w:val="00E87C3E"/>
    <w:rsid w:val="00E87C51"/>
    <w:rsid w:val="00E87D08"/>
    <w:rsid w:val="00E87F1E"/>
    <w:rsid w:val="00E90436"/>
    <w:rsid w:val="00E908CF"/>
    <w:rsid w:val="00E90A69"/>
    <w:rsid w:val="00E91231"/>
    <w:rsid w:val="00E9138E"/>
    <w:rsid w:val="00E9159C"/>
    <w:rsid w:val="00E91649"/>
    <w:rsid w:val="00E91B30"/>
    <w:rsid w:val="00E91C5B"/>
    <w:rsid w:val="00E92ADF"/>
    <w:rsid w:val="00E933AC"/>
    <w:rsid w:val="00E9497A"/>
    <w:rsid w:val="00E949D3"/>
    <w:rsid w:val="00E94B22"/>
    <w:rsid w:val="00E94D6A"/>
    <w:rsid w:val="00E94DF0"/>
    <w:rsid w:val="00E95199"/>
    <w:rsid w:val="00E953A5"/>
    <w:rsid w:val="00E95466"/>
    <w:rsid w:val="00E957A2"/>
    <w:rsid w:val="00E9584C"/>
    <w:rsid w:val="00E958F1"/>
    <w:rsid w:val="00E959E8"/>
    <w:rsid w:val="00E96455"/>
    <w:rsid w:val="00E965BC"/>
    <w:rsid w:val="00E965ED"/>
    <w:rsid w:val="00E96634"/>
    <w:rsid w:val="00E96855"/>
    <w:rsid w:val="00E975A4"/>
    <w:rsid w:val="00E97E46"/>
    <w:rsid w:val="00EA0CC4"/>
    <w:rsid w:val="00EA13BF"/>
    <w:rsid w:val="00EA13FD"/>
    <w:rsid w:val="00EA1656"/>
    <w:rsid w:val="00EA1BBB"/>
    <w:rsid w:val="00EA20D0"/>
    <w:rsid w:val="00EA2380"/>
    <w:rsid w:val="00EA289A"/>
    <w:rsid w:val="00EA2C30"/>
    <w:rsid w:val="00EA2CB7"/>
    <w:rsid w:val="00EA2DD9"/>
    <w:rsid w:val="00EA3435"/>
    <w:rsid w:val="00EA43FC"/>
    <w:rsid w:val="00EA4E49"/>
    <w:rsid w:val="00EA51C2"/>
    <w:rsid w:val="00EA5582"/>
    <w:rsid w:val="00EA5A2A"/>
    <w:rsid w:val="00EA5C8C"/>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2719"/>
    <w:rsid w:val="00EB2801"/>
    <w:rsid w:val="00EB312F"/>
    <w:rsid w:val="00EB33B1"/>
    <w:rsid w:val="00EB35D8"/>
    <w:rsid w:val="00EB367F"/>
    <w:rsid w:val="00EB3716"/>
    <w:rsid w:val="00EB378C"/>
    <w:rsid w:val="00EB3B93"/>
    <w:rsid w:val="00EB3C93"/>
    <w:rsid w:val="00EB3DB9"/>
    <w:rsid w:val="00EB3E6F"/>
    <w:rsid w:val="00EB3EF4"/>
    <w:rsid w:val="00EB4056"/>
    <w:rsid w:val="00EB43BA"/>
    <w:rsid w:val="00EB4894"/>
    <w:rsid w:val="00EB4FF7"/>
    <w:rsid w:val="00EB503F"/>
    <w:rsid w:val="00EB50FD"/>
    <w:rsid w:val="00EB56E5"/>
    <w:rsid w:val="00EB575F"/>
    <w:rsid w:val="00EB59A8"/>
    <w:rsid w:val="00EB5AA6"/>
    <w:rsid w:val="00EB693F"/>
    <w:rsid w:val="00EB695C"/>
    <w:rsid w:val="00EB6C89"/>
    <w:rsid w:val="00EB6FA6"/>
    <w:rsid w:val="00EB7233"/>
    <w:rsid w:val="00EB7250"/>
    <w:rsid w:val="00EB7436"/>
    <w:rsid w:val="00EB7D3A"/>
    <w:rsid w:val="00EC005A"/>
    <w:rsid w:val="00EC0167"/>
    <w:rsid w:val="00EC0666"/>
    <w:rsid w:val="00EC088A"/>
    <w:rsid w:val="00EC0B95"/>
    <w:rsid w:val="00EC0CF2"/>
    <w:rsid w:val="00EC12D6"/>
    <w:rsid w:val="00EC20C9"/>
    <w:rsid w:val="00EC2166"/>
    <w:rsid w:val="00EC269F"/>
    <w:rsid w:val="00EC26A6"/>
    <w:rsid w:val="00EC272E"/>
    <w:rsid w:val="00EC273E"/>
    <w:rsid w:val="00EC4479"/>
    <w:rsid w:val="00EC475D"/>
    <w:rsid w:val="00EC4876"/>
    <w:rsid w:val="00EC4ED4"/>
    <w:rsid w:val="00EC5042"/>
    <w:rsid w:val="00EC50B7"/>
    <w:rsid w:val="00EC517A"/>
    <w:rsid w:val="00EC5607"/>
    <w:rsid w:val="00EC5899"/>
    <w:rsid w:val="00EC59A2"/>
    <w:rsid w:val="00EC60A2"/>
    <w:rsid w:val="00EC633F"/>
    <w:rsid w:val="00EC6D09"/>
    <w:rsid w:val="00EC70D3"/>
    <w:rsid w:val="00EC739D"/>
    <w:rsid w:val="00EC784B"/>
    <w:rsid w:val="00EC79AA"/>
    <w:rsid w:val="00EC7DD8"/>
    <w:rsid w:val="00EC7F35"/>
    <w:rsid w:val="00EC7FA3"/>
    <w:rsid w:val="00ED017D"/>
    <w:rsid w:val="00ED02AB"/>
    <w:rsid w:val="00ED02E6"/>
    <w:rsid w:val="00ED0328"/>
    <w:rsid w:val="00ED04FB"/>
    <w:rsid w:val="00ED0516"/>
    <w:rsid w:val="00ED0619"/>
    <w:rsid w:val="00ED1285"/>
    <w:rsid w:val="00ED163A"/>
    <w:rsid w:val="00ED17E7"/>
    <w:rsid w:val="00ED1893"/>
    <w:rsid w:val="00ED1D71"/>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E81"/>
    <w:rsid w:val="00ED6083"/>
    <w:rsid w:val="00ED613D"/>
    <w:rsid w:val="00ED6C45"/>
    <w:rsid w:val="00ED6EE6"/>
    <w:rsid w:val="00ED7245"/>
    <w:rsid w:val="00ED726E"/>
    <w:rsid w:val="00ED77DC"/>
    <w:rsid w:val="00ED7BB2"/>
    <w:rsid w:val="00ED7E8C"/>
    <w:rsid w:val="00EE0871"/>
    <w:rsid w:val="00EE0D6E"/>
    <w:rsid w:val="00EE0E5A"/>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EAC"/>
    <w:rsid w:val="00EE3FDA"/>
    <w:rsid w:val="00EE4165"/>
    <w:rsid w:val="00EE44B0"/>
    <w:rsid w:val="00EE4BF8"/>
    <w:rsid w:val="00EE4D62"/>
    <w:rsid w:val="00EE5081"/>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F0218"/>
    <w:rsid w:val="00EF03DA"/>
    <w:rsid w:val="00EF0C37"/>
    <w:rsid w:val="00EF0C96"/>
    <w:rsid w:val="00EF0D7F"/>
    <w:rsid w:val="00EF128A"/>
    <w:rsid w:val="00EF1AEC"/>
    <w:rsid w:val="00EF1B43"/>
    <w:rsid w:val="00EF1BB0"/>
    <w:rsid w:val="00EF1C74"/>
    <w:rsid w:val="00EF29F1"/>
    <w:rsid w:val="00EF2A1B"/>
    <w:rsid w:val="00EF2B0C"/>
    <w:rsid w:val="00EF2D67"/>
    <w:rsid w:val="00EF2F86"/>
    <w:rsid w:val="00EF307C"/>
    <w:rsid w:val="00EF312E"/>
    <w:rsid w:val="00EF33CE"/>
    <w:rsid w:val="00EF3511"/>
    <w:rsid w:val="00EF35D4"/>
    <w:rsid w:val="00EF36DF"/>
    <w:rsid w:val="00EF38BF"/>
    <w:rsid w:val="00EF39A3"/>
    <w:rsid w:val="00EF3F7B"/>
    <w:rsid w:val="00EF4515"/>
    <w:rsid w:val="00EF4594"/>
    <w:rsid w:val="00EF4690"/>
    <w:rsid w:val="00EF476C"/>
    <w:rsid w:val="00EF4921"/>
    <w:rsid w:val="00EF4A7B"/>
    <w:rsid w:val="00EF4B8D"/>
    <w:rsid w:val="00EF4D37"/>
    <w:rsid w:val="00EF5501"/>
    <w:rsid w:val="00EF56FD"/>
    <w:rsid w:val="00EF5AEE"/>
    <w:rsid w:val="00EF5C07"/>
    <w:rsid w:val="00EF5EC7"/>
    <w:rsid w:val="00EF61DB"/>
    <w:rsid w:val="00EF695C"/>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19B"/>
    <w:rsid w:val="00F0132F"/>
    <w:rsid w:val="00F01512"/>
    <w:rsid w:val="00F01771"/>
    <w:rsid w:val="00F01A6C"/>
    <w:rsid w:val="00F01CD3"/>
    <w:rsid w:val="00F01EB6"/>
    <w:rsid w:val="00F0232F"/>
    <w:rsid w:val="00F023C6"/>
    <w:rsid w:val="00F025F6"/>
    <w:rsid w:val="00F02F7E"/>
    <w:rsid w:val="00F0318D"/>
    <w:rsid w:val="00F0321E"/>
    <w:rsid w:val="00F0361C"/>
    <w:rsid w:val="00F03A7B"/>
    <w:rsid w:val="00F03B86"/>
    <w:rsid w:val="00F03C1E"/>
    <w:rsid w:val="00F03D9C"/>
    <w:rsid w:val="00F03DD6"/>
    <w:rsid w:val="00F04214"/>
    <w:rsid w:val="00F043EF"/>
    <w:rsid w:val="00F05678"/>
    <w:rsid w:val="00F0567D"/>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101AC"/>
    <w:rsid w:val="00F1081A"/>
    <w:rsid w:val="00F10C55"/>
    <w:rsid w:val="00F110FA"/>
    <w:rsid w:val="00F11303"/>
    <w:rsid w:val="00F115EC"/>
    <w:rsid w:val="00F12691"/>
    <w:rsid w:val="00F13248"/>
    <w:rsid w:val="00F132A4"/>
    <w:rsid w:val="00F1347B"/>
    <w:rsid w:val="00F13564"/>
    <w:rsid w:val="00F136DD"/>
    <w:rsid w:val="00F13A19"/>
    <w:rsid w:val="00F13BB3"/>
    <w:rsid w:val="00F13D7E"/>
    <w:rsid w:val="00F14047"/>
    <w:rsid w:val="00F1490E"/>
    <w:rsid w:val="00F14AC9"/>
    <w:rsid w:val="00F152D6"/>
    <w:rsid w:val="00F1588B"/>
    <w:rsid w:val="00F159B9"/>
    <w:rsid w:val="00F15C7B"/>
    <w:rsid w:val="00F15EA4"/>
    <w:rsid w:val="00F1620C"/>
    <w:rsid w:val="00F164B0"/>
    <w:rsid w:val="00F16EA7"/>
    <w:rsid w:val="00F17111"/>
    <w:rsid w:val="00F1754F"/>
    <w:rsid w:val="00F1755C"/>
    <w:rsid w:val="00F175FD"/>
    <w:rsid w:val="00F17781"/>
    <w:rsid w:val="00F178BE"/>
    <w:rsid w:val="00F17E1D"/>
    <w:rsid w:val="00F17FF9"/>
    <w:rsid w:val="00F201F1"/>
    <w:rsid w:val="00F20462"/>
    <w:rsid w:val="00F2065D"/>
    <w:rsid w:val="00F21B8C"/>
    <w:rsid w:val="00F21C72"/>
    <w:rsid w:val="00F21D0B"/>
    <w:rsid w:val="00F2210D"/>
    <w:rsid w:val="00F2216F"/>
    <w:rsid w:val="00F22578"/>
    <w:rsid w:val="00F23134"/>
    <w:rsid w:val="00F238D2"/>
    <w:rsid w:val="00F23AAB"/>
    <w:rsid w:val="00F2405E"/>
    <w:rsid w:val="00F2411C"/>
    <w:rsid w:val="00F24281"/>
    <w:rsid w:val="00F2450A"/>
    <w:rsid w:val="00F2465C"/>
    <w:rsid w:val="00F249D2"/>
    <w:rsid w:val="00F24C32"/>
    <w:rsid w:val="00F25109"/>
    <w:rsid w:val="00F25560"/>
    <w:rsid w:val="00F2581F"/>
    <w:rsid w:val="00F263D9"/>
    <w:rsid w:val="00F26475"/>
    <w:rsid w:val="00F26721"/>
    <w:rsid w:val="00F26865"/>
    <w:rsid w:val="00F26967"/>
    <w:rsid w:val="00F26D11"/>
    <w:rsid w:val="00F27156"/>
    <w:rsid w:val="00F2758F"/>
    <w:rsid w:val="00F279B8"/>
    <w:rsid w:val="00F27B13"/>
    <w:rsid w:val="00F3033A"/>
    <w:rsid w:val="00F3074E"/>
    <w:rsid w:val="00F30936"/>
    <w:rsid w:val="00F3115F"/>
    <w:rsid w:val="00F311BF"/>
    <w:rsid w:val="00F3175A"/>
    <w:rsid w:val="00F31CCE"/>
    <w:rsid w:val="00F31CD9"/>
    <w:rsid w:val="00F32149"/>
    <w:rsid w:val="00F32244"/>
    <w:rsid w:val="00F3231E"/>
    <w:rsid w:val="00F32D6D"/>
    <w:rsid w:val="00F33681"/>
    <w:rsid w:val="00F3370B"/>
    <w:rsid w:val="00F33BD9"/>
    <w:rsid w:val="00F33D60"/>
    <w:rsid w:val="00F34707"/>
    <w:rsid w:val="00F34A91"/>
    <w:rsid w:val="00F34C3B"/>
    <w:rsid w:val="00F34DCE"/>
    <w:rsid w:val="00F34F03"/>
    <w:rsid w:val="00F35039"/>
    <w:rsid w:val="00F35101"/>
    <w:rsid w:val="00F351DC"/>
    <w:rsid w:val="00F3525B"/>
    <w:rsid w:val="00F35BFD"/>
    <w:rsid w:val="00F35EBE"/>
    <w:rsid w:val="00F364A6"/>
    <w:rsid w:val="00F36EE2"/>
    <w:rsid w:val="00F3726A"/>
    <w:rsid w:val="00F37993"/>
    <w:rsid w:val="00F37DFB"/>
    <w:rsid w:val="00F404A2"/>
    <w:rsid w:val="00F40F05"/>
    <w:rsid w:val="00F41BA7"/>
    <w:rsid w:val="00F42613"/>
    <w:rsid w:val="00F427EB"/>
    <w:rsid w:val="00F42A7B"/>
    <w:rsid w:val="00F42B39"/>
    <w:rsid w:val="00F42C9B"/>
    <w:rsid w:val="00F43160"/>
    <w:rsid w:val="00F4323A"/>
    <w:rsid w:val="00F43817"/>
    <w:rsid w:val="00F43A48"/>
    <w:rsid w:val="00F43A75"/>
    <w:rsid w:val="00F43C2F"/>
    <w:rsid w:val="00F443C7"/>
    <w:rsid w:val="00F4444E"/>
    <w:rsid w:val="00F44657"/>
    <w:rsid w:val="00F44B7B"/>
    <w:rsid w:val="00F455F3"/>
    <w:rsid w:val="00F4582A"/>
    <w:rsid w:val="00F45CE7"/>
    <w:rsid w:val="00F45E2C"/>
    <w:rsid w:val="00F465B1"/>
    <w:rsid w:val="00F46756"/>
    <w:rsid w:val="00F46788"/>
    <w:rsid w:val="00F46A12"/>
    <w:rsid w:val="00F46A5E"/>
    <w:rsid w:val="00F46E18"/>
    <w:rsid w:val="00F47145"/>
    <w:rsid w:val="00F474C4"/>
    <w:rsid w:val="00F4755B"/>
    <w:rsid w:val="00F47572"/>
    <w:rsid w:val="00F477DE"/>
    <w:rsid w:val="00F47A07"/>
    <w:rsid w:val="00F47E33"/>
    <w:rsid w:val="00F502B4"/>
    <w:rsid w:val="00F50475"/>
    <w:rsid w:val="00F50A4F"/>
    <w:rsid w:val="00F51096"/>
    <w:rsid w:val="00F51413"/>
    <w:rsid w:val="00F515C9"/>
    <w:rsid w:val="00F5163B"/>
    <w:rsid w:val="00F51781"/>
    <w:rsid w:val="00F517B7"/>
    <w:rsid w:val="00F517FC"/>
    <w:rsid w:val="00F51994"/>
    <w:rsid w:val="00F51EE6"/>
    <w:rsid w:val="00F5247C"/>
    <w:rsid w:val="00F525CC"/>
    <w:rsid w:val="00F52858"/>
    <w:rsid w:val="00F52EC4"/>
    <w:rsid w:val="00F5331A"/>
    <w:rsid w:val="00F5354A"/>
    <w:rsid w:val="00F53720"/>
    <w:rsid w:val="00F53740"/>
    <w:rsid w:val="00F53817"/>
    <w:rsid w:val="00F538D8"/>
    <w:rsid w:val="00F53E5F"/>
    <w:rsid w:val="00F5406D"/>
    <w:rsid w:val="00F540C7"/>
    <w:rsid w:val="00F54129"/>
    <w:rsid w:val="00F5419A"/>
    <w:rsid w:val="00F545E0"/>
    <w:rsid w:val="00F545EE"/>
    <w:rsid w:val="00F546FD"/>
    <w:rsid w:val="00F54E1E"/>
    <w:rsid w:val="00F5501A"/>
    <w:rsid w:val="00F55251"/>
    <w:rsid w:val="00F553C5"/>
    <w:rsid w:val="00F5549C"/>
    <w:rsid w:val="00F55B06"/>
    <w:rsid w:val="00F55CAB"/>
    <w:rsid w:val="00F55DA0"/>
    <w:rsid w:val="00F55DF1"/>
    <w:rsid w:val="00F56007"/>
    <w:rsid w:val="00F564B1"/>
    <w:rsid w:val="00F56502"/>
    <w:rsid w:val="00F566AB"/>
    <w:rsid w:val="00F568AA"/>
    <w:rsid w:val="00F574D8"/>
    <w:rsid w:val="00F575E8"/>
    <w:rsid w:val="00F57956"/>
    <w:rsid w:val="00F57ADD"/>
    <w:rsid w:val="00F57CEB"/>
    <w:rsid w:val="00F57E29"/>
    <w:rsid w:val="00F60330"/>
    <w:rsid w:val="00F6039C"/>
    <w:rsid w:val="00F609A0"/>
    <w:rsid w:val="00F60E04"/>
    <w:rsid w:val="00F61072"/>
    <w:rsid w:val="00F61870"/>
    <w:rsid w:val="00F61893"/>
    <w:rsid w:val="00F61E8B"/>
    <w:rsid w:val="00F6288D"/>
    <w:rsid w:val="00F62E6F"/>
    <w:rsid w:val="00F630AF"/>
    <w:rsid w:val="00F632B5"/>
    <w:rsid w:val="00F633CD"/>
    <w:rsid w:val="00F63680"/>
    <w:rsid w:val="00F63A3C"/>
    <w:rsid w:val="00F63D77"/>
    <w:rsid w:val="00F63F6B"/>
    <w:rsid w:val="00F63FDF"/>
    <w:rsid w:val="00F64096"/>
    <w:rsid w:val="00F64964"/>
    <w:rsid w:val="00F64AEE"/>
    <w:rsid w:val="00F64D2F"/>
    <w:rsid w:val="00F6509A"/>
    <w:rsid w:val="00F65894"/>
    <w:rsid w:val="00F6608E"/>
    <w:rsid w:val="00F6620B"/>
    <w:rsid w:val="00F6625F"/>
    <w:rsid w:val="00F66631"/>
    <w:rsid w:val="00F66722"/>
    <w:rsid w:val="00F66B82"/>
    <w:rsid w:val="00F66C8A"/>
    <w:rsid w:val="00F676F9"/>
    <w:rsid w:val="00F6775D"/>
    <w:rsid w:val="00F677EA"/>
    <w:rsid w:val="00F679DE"/>
    <w:rsid w:val="00F67D52"/>
    <w:rsid w:val="00F67DD2"/>
    <w:rsid w:val="00F70308"/>
    <w:rsid w:val="00F703BD"/>
    <w:rsid w:val="00F705EC"/>
    <w:rsid w:val="00F70602"/>
    <w:rsid w:val="00F70669"/>
    <w:rsid w:val="00F70F5B"/>
    <w:rsid w:val="00F71546"/>
    <w:rsid w:val="00F7165F"/>
    <w:rsid w:val="00F71A12"/>
    <w:rsid w:val="00F71B1C"/>
    <w:rsid w:val="00F71B30"/>
    <w:rsid w:val="00F721F0"/>
    <w:rsid w:val="00F72482"/>
    <w:rsid w:val="00F72977"/>
    <w:rsid w:val="00F73476"/>
    <w:rsid w:val="00F7348B"/>
    <w:rsid w:val="00F73E97"/>
    <w:rsid w:val="00F73FA8"/>
    <w:rsid w:val="00F740C0"/>
    <w:rsid w:val="00F74539"/>
    <w:rsid w:val="00F74863"/>
    <w:rsid w:val="00F748AA"/>
    <w:rsid w:val="00F74E51"/>
    <w:rsid w:val="00F74F33"/>
    <w:rsid w:val="00F76162"/>
    <w:rsid w:val="00F761D4"/>
    <w:rsid w:val="00F764D0"/>
    <w:rsid w:val="00F764E9"/>
    <w:rsid w:val="00F76590"/>
    <w:rsid w:val="00F7665B"/>
    <w:rsid w:val="00F7688B"/>
    <w:rsid w:val="00F76C10"/>
    <w:rsid w:val="00F77977"/>
    <w:rsid w:val="00F77A4A"/>
    <w:rsid w:val="00F77A59"/>
    <w:rsid w:val="00F77DB5"/>
    <w:rsid w:val="00F80764"/>
    <w:rsid w:val="00F807EB"/>
    <w:rsid w:val="00F808CE"/>
    <w:rsid w:val="00F80A72"/>
    <w:rsid w:val="00F810C3"/>
    <w:rsid w:val="00F81370"/>
    <w:rsid w:val="00F816C4"/>
    <w:rsid w:val="00F81A28"/>
    <w:rsid w:val="00F81E5A"/>
    <w:rsid w:val="00F81FDD"/>
    <w:rsid w:val="00F821E8"/>
    <w:rsid w:val="00F82A66"/>
    <w:rsid w:val="00F82DD4"/>
    <w:rsid w:val="00F838D2"/>
    <w:rsid w:val="00F83BCA"/>
    <w:rsid w:val="00F83BCC"/>
    <w:rsid w:val="00F84160"/>
    <w:rsid w:val="00F844F2"/>
    <w:rsid w:val="00F84799"/>
    <w:rsid w:val="00F84C50"/>
    <w:rsid w:val="00F85925"/>
    <w:rsid w:val="00F85B3C"/>
    <w:rsid w:val="00F85F3E"/>
    <w:rsid w:val="00F865DF"/>
    <w:rsid w:val="00F86F69"/>
    <w:rsid w:val="00F871F7"/>
    <w:rsid w:val="00F8758B"/>
    <w:rsid w:val="00F87700"/>
    <w:rsid w:val="00F87947"/>
    <w:rsid w:val="00F87F06"/>
    <w:rsid w:val="00F900C1"/>
    <w:rsid w:val="00F9096C"/>
    <w:rsid w:val="00F90AC7"/>
    <w:rsid w:val="00F90CEE"/>
    <w:rsid w:val="00F9153D"/>
    <w:rsid w:val="00F91ADB"/>
    <w:rsid w:val="00F92078"/>
    <w:rsid w:val="00F9219F"/>
    <w:rsid w:val="00F924AD"/>
    <w:rsid w:val="00F92F39"/>
    <w:rsid w:val="00F93032"/>
    <w:rsid w:val="00F930BC"/>
    <w:rsid w:val="00F934ED"/>
    <w:rsid w:val="00F93A88"/>
    <w:rsid w:val="00F93D58"/>
    <w:rsid w:val="00F942DB"/>
    <w:rsid w:val="00F94560"/>
    <w:rsid w:val="00F946C9"/>
    <w:rsid w:val="00F94C1F"/>
    <w:rsid w:val="00F94FCA"/>
    <w:rsid w:val="00F9509C"/>
    <w:rsid w:val="00F95449"/>
    <w:rsid w:val="00F9562F"/>
    <w:rsid w:val="00F956D6"/>
    <w:rsid w:val="00F956F9"/>
    <w:rsid w:val="00F957B7"/>
    <w:rsid w:val="00F95A96"/>
    <w:rsid w:val="00F95B1C"/>
    <w:rsid w:val="00F960CD"/>
    <w:rsid w:val="00F96281"/>
    <w:rsid w:val="00F9680A"/>
    <w:rsid w:val="00F96869"/>
    <w:rsid w:val="00F9686B"/>
    <w:rsid w:val="00F96A38"/>
    <w:rsid w:val="00F96B17"/>
    <w:rsid w:val="00F96CBA"/>
    <w:rsid w:val="00F96E18"/>
    <w:rsid w:val="00F9701E"/>
    <w:rsid w:val="00F9751F"/>
    <w:rsid w:val="00F975F0"/>
    <w:rsid w:val="00F97943"/>
    <w:rsid w:val="00F97E6C"/>
    <w:rsid w:val="00FA0351"/>
    <w:rsid w:val="00FA0F6F"/>
    <w:rsid w:val="00FA1134"/>
    <w:rsid w:val="00FA16B9"/>
    <w:rsid w:val="00FA1726"/>
    <w:rsid w:val="00FA1980"/>
    <w:rsid w:val="00FA1D87"/>
    <w:rsid w:val="00FA284D"/>
    <w:rsid w:val="00FA296B"/>
    <w:rsid w:val="00FA2FFA"/>
    <w:rsid w:val="00FA3470"/>
    <w:rsid w:val="00FA3B3A"/>
    <w:rsid w:val="00FA42D5"/>
    <w:rsid w:val="00FA45E6"/>
    <w:rsid w:val="00FA4688"/>
    <w:rsid w:val="00FA48B7"/>
    <w:rsid w:val="00FA4B55"/>
    <w:rsid w:val="00FA5060"/>
    <w:rsid w:val="00FA50F9"/>
    <w:rsid w:val="00FA5574"/>
    <w:rsid w:val="00FA5580"/>
    <w:rsid w:val="00FA558C"/>
    <w:rsid w:val="00FA5B47"/>
    <w:rsid w:val="00FA5C3E"/>
    <w:rsid w:val="00FA6138"/>
    <w:rsid w:val="00FA6649"/>
    <w:rsid w:val="00FA66B1"/>
    <w:rsid w:val="00FA6982"/>
    <w:rsid w:val="00FA6FDB"/>
    <w:rsid w:val="00FA7140"/>
    <w:rsid w:val="00FA7211"/>
    <w:rsid w:val="00FA72E3"/>
    <w:rsid w:val="00FA7CC5"/>
    <w:rsid w:val="00FA7D6D"/>
    <w:rsid w:val="00FA7E55"/>
    <w:rsid w:val="00FA7F80"/>
    <w:rsid w:val="00FB01A0"/>
    <w:rsid w:val="00FB0356"/>
    <w:rsid w:val="00FB08FC"/>
    <w:rsid w:val="00FB0D95"/>
    <w:rsid w:val="00FB23A3"/>
    <w:rsid w:val="00FB26F2"/>
    <w:rsid w:val="00FB270D"/>
    <w:rsid w:val="00FB2909"/>
    <w:rsid w:val="00FB2C62"/>
    <w:rsid w:val="00FB2F0D"/>
    <w:rsid w:val="00FB32B9"/>
    <w:rsid w:val="00FB34E1"/>
    <w:rsid w:val="00FB38F2"/>
    <w:rsid w:val="00FB3B9A"/>
    <w:rsid w:val="00FB4136"/>
    <w:rsid w:val="00FB435C"/>
    <w:rsid w:val="00FB45F6"/>
    <w:rsid w:val="00FB4B19"/>
    <w:rsid w:val="00FB4CDD"/>
    <w:rsid w:val="00FB5287"/>
    <w:rsid w:val="00FB5789"/>
    <w:rsid w:val="00FB5B35"/>
    <w:rsid w:val="00FB62AA"/>
    <w:rsid w:val="00FB6858"/>
    <w:rsid w:val="00FB6928"/>
    <w:rsid w:val="00FB6948"/>
    <w:rsid w:val="00FB6AB1"/>
    <w:rsid w:val="00FB6EB9"/>
    <w:rsid w:val="00FB6ECD"/>
    <w:rsid w:val="00FB6F2E"/>
    <w:rsid w:val="00FB6F82"/>
    <w:rsid w:val="00FB7190"/>
    <w:rsid w:val="00FB731C"/>
    <w:rsid w:val="00FB76C8"/>
    <w:rsid w:val="00FB76E5"/>
    <w:rsid w:val="00FB7A17"/>
    <w:rsid w:val="00FC030F"/>
    <w:rsid w:val="00FC092D"/>
    <w:rsid w:val="00FC0D64"/>
    <w:rsid w:val="00FC137A"/>
    <w:rsid w:val="00FC158F"/>
    <w:rsid w:val="00FC1D68"/>
    <w:rsid w:val="00FC1E65"/>
    <w:rsid w:val="00FC2058"/>
    <w:rsid w:val="00FC2119"/>
    <w:rsid w:val="00FC34FD"/>
    <w:rsid w:val="00FC37C5"/>
    <w:rsid w:val="00FC3893"/>
    <w:rsid w:val="00FC3BC2"/>
    <w:rsid w:val="00FC3D1F"/>
    <w:rsid w:val="00FC426A"/>
    <w:rsid w:val="00FC4326"/>
    <w:rsid w:val="00FC4B88"/>
    <w:rsid w:val="00FC4C25"/>
    <w:rsid w:val="00FC4F30"/>
    <w:rsid w:val="00FC540C"/>
    <w:rsid w:val="00FC5426"/>
    <w:rsid w:val="00FC5AD5"/>
    <w:rsid w:val="00FC5BF2"/>
    <w:rsid w:val="00FC5D55"/>
    <w:rsid w:val="00FC5E15"/>
    <w:rsid w:val="00FC5F7A"/>
    <w:rsid w:val="00FC6103"/>
    <w:rsid w:val="00FC6371"/>
    <w:rsid w:val="00FC657E"/>
    <w:rsid w:val="00FC6872"/>
    <w:rsid w:val="00FC6B31"/>
    <w:rsid w:val="00FC6C2F"/>
    <w:rsid w:val="00FC6C40"/>
    <w:rsid w:val="00FC6D65"/>
    <w:rsid w:val="00FC736F"/>
    <w:rsid w:val="00FC7D05"/>
    <w:rsid w:val="00FC7E74"/>
    <w:rsid w:val="00FD020F"/>
    <w:rsid w:val="00FD04E9"/>
    <w:rsid w:val="00FD09EE"/>
    <w:rsid w:val="00FD0BD2"/>
    <w:rsid w:val="00FD1304"/>
    <w:rsid w:val="00FD13FA"/>
    <w:rsid w:val="00FD1421"/>
    <w:rsid w:val="00FD19EA"/>
    <w:rsid w:val="00FD1FF2"/>
    <w:rsid w:val="00FD24E5"/>
    <w:rsid w:val="00FD2986"/>
    <w:rsid w:val="00FD31E6"/>
    <w:rsid w:val="00FD3590"/>
    <w:rsid w:val="00FD41D8"/>
    <w:rsid w:val="00FD437B"/>
    <w:rsid w:val="00FD446E"/>
    <w:rsid w:val="00FD4626"/>
    <w:rsid w:val="00FD4881"/>
    <w:rsid w:val="00FD5525"/>
    <w:rsid w:val="00FD5553"/>
    <w:rsid w:val="00FD5641"/>
    <w:rsid w:val="00FD56F5"/>
    <w:rsid w:val="00FD58D9"/>
    <w:rsid w:val="00FD5B0B"/>
    <w:rsid w:val="00FD5C08"/>
    <w:rsid w:val="00FD5CF6"/>
    <w:rsid w:val="00FD60F3"/>
    <w:rsid w:val="00FD6209"/>
    <w:rsid w:val="00FD67E6"/>
    <w:rsid w:val="00FD6996"/>
    <w:rsid w:val="00FD7798"/>
    <w:rsid w:val="00FD7917"/>
    <w:rsid w:val="00FD7B33"/>
    <w:rsid w:val="00FD7CC4"/>
    <w:rsid w:val="00FD7EC9"/>
    <w:rsid w:val="00FE036D"/>
    <w:rsid w:val="00FE0B2E"/>
    <w:rsid w:val="00FE14EC"/>
    <w:rsid w:val="00FE1887"/>
    <w:rsid w:val="00FE1ECC"/>
    <w:rsid w:val="00FE2122"/>
    <w:rsid w:val="00FE23B6"/>
    <w:rsid w:val="00FE29AA"/>
    <w:rsid w:val="00FE2D10"/>
    <w:rsid w:val="00FE3067"/>
    <w:rsid w:val="00FE3260"/>
    <w:rsid w:val="00FE3957"/>
    <w:rsid w:val="00FE3A5A"/>
    <w:rsid w:val="00FE3EC2"/>
    <w:rsid w:val="00FE3F6B"/>
    <w:rsid w:val="00FE4003"/>
    <w:rsid w:val="00FE4E99"/>
    <w:rsid w:val="00FE519B"/>
    <w:rsid w:val="00FE53A1"/>
    <w:rsid w:val="00FE5673"/>
    <w:rsid w:val="00FE5866"/>
    <w:rsid w:val="00FE60CA"/>
    <w:rsid w:val="00FE60D6"/>
    <w:rsid w:val="00FE692B"/>
    <w:rsid w:val="00FE6AC5"/>
    <w:rsid w:val="00FE6D55"/>
    <w:rsid w:val="00FE6E8C"/>
    <w:rsid w:val="00FE6EA1"/>
    <w:rsid w:val="00FE6F14"/>
    <w:rsid w:val="00FE70FE"/>
    <w:rsid w:val="00FE7437"/>
    <w:rsid w:val="00FE799B"/>
    <w:rsid w:val="00FE7DB6"/>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F46"/>
    <w:rsid w:val="00FF409C"/>
    <w:rsid w:val="00FF43D5"/>
    <w:rsid w:val="00FF4FEE"/>
    <w:rsid w:val="00FF52F7"/>
    <w:rsid w:val="00FF5417"/>
    <w:rsid w:val="00FF5869"/>
    <w:rsid w:val="00FF5ADC"/>
    <w:rsid w:val="00FF5B3D"/>
    <w:rsid w:val="00FF5C6B"/>
    <w:rsid w:val="00FF5CAC"/>
    <w:rsid w:val="00FF5EEB"/>
    <w:rsid w:val="00FF6186"/>
    <w:rsid w:val="00FF65BC"/>
    <w:rsid w:val="00FF6A62"/>
    <w:rsid w:val="00FF6B1B"/>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4B483EC"/>
  <w15:docId w15:val="{38AA9552-81FF-4890-A576-0BE15D66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 w:type="character" w:styleId="UnresolvedMention">
    <w:name w:val="Unresolved Mention"/>
    <w:basedOn w:val="DefaultParagraphFont"/>
    <w:uiPriority w:val="99"/>
    <w:semiHidden/>
    <w:unhideWhenUsed/>
    <w:rsid w:val="00A7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roducts.mhra.gov.uk/search/?search=keytruda+sc&amp;page=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igitalliverpool.sharepoint.com/sites/MA/Horizon%20Scanning/SPS%20HS%20publications/New%20Medicines%20News%20(incl%20Clinical%20Pharmacist)/Admin/New%20Medicines%20News%20template%202025%20new%20logo.dotx?OR=81dd2b71-fb82-4b33-ac71-fed46bf0f87a&am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bb2474fd6bf5582551744ff9e1dd8e4d">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1f034f550e89351c40860eadeb4bb604"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F6B2-13C0-4835-BE83-75A0D0B4856D}">
  <ds:schemaRefs>
    <ds:schemaRef ds:uri="http://schemas.microsoft.com/office/2006/metadata/properties"/>
    <ds:schemaRef ds:uri="http://schemas.microsoft.com/office/infopath/2007/PartnerControls"/>
    <ds:schemaRef ds:uri="bc6437e3-65b5-4a7b-a123-cc0b1a712dbe"/>
    <ds:schemaRef ds:uri="9930fb2e-2b64-4524-8d19-1f206af19760"/>
  </ds:schemaRefs>
</ds:datastoreItem>
</file>

<file path=customXml/itemProps2.xml><?xml version="1.0" encoding="utf-8"?>
<ds:datastoreItem xmlns:ds="http://schemas.openxmlformats.org/officeDocument/2006/customXml" ds:itemID="{4D491869-6A80-4380-B4C8-BDFECDE465A6}">
  <ds:schemaRefs>
    <ds:schemaRef ds:uri="http://schemas.microsoft.com/sharepoint/v3/contenttype/forms"/>
  </ds:schemaRefs>
</ds:datastoreItem>
</file>

<file path=customXml/itemProps3.xml><?xml version="1.0" encoding="utf-8"?>
<ds:datastoreItem xmlns:ds="http://schemas.openxmlformats.org/officeDocument/2006/customXml" ds:itemID="{0C4AB39F-4551-4CBC-AC36-9D1F362E8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New%20Medicines%20News%20template%202025%20new%20logo.dotx?OR=81dd2b71-fb82-4b33-ac71-fed46bf0f87a&amp;CI</Template>
  <TotalTime>1423</TotalTime>
  <Pages>8</Pages>
  <Words>4165</Words>
  <Characters>26076</Characters>
  <Application>Microsoft Office Word</Application>
  <DocSecurity>0</DocSecurity>
  <Lines>651</Lines>
  <Paragraphs>315</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29926</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Joanne McEntee</dc:creator>
  <cp:lastModifiedBy>Joanne McEntee</cp:lastModifiedBy>
  <cp:revision>489</cp:revision>
  <cp:lastPrinted>2019-12-09T12:59:00Z</cp:lastPrinted>
  <dcterms:created xsi:type="dcterms:W3CDTF">2025-12-21T21:48:00Z</dcterms:created>
  <dcterms:modified xsi:type="dcterms:W3CDTF">2026-01-09T08:25:00Z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ies>
</file>