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E6E1E" w:rsidR="00FE6E1E" w:rsidP="00AB5250" w:rsidRDefault="00FE6E1E" w14:paraId="0F04342D" w14:textId="38375224">
      <w:pPr>
        <w:pStyle w:val="PGDNormal"/>
        <w:rPr>
          <w:bCs/>
          <w:highlight w:val="cyan"/>
        </w:rPr>
      </w:pPr>
      <w:bookmarkStart w:name="_Toc258333614" w:id="0"/>
      <w:bookmarkStart w:name="_Toc263684039" w:id="1"/>
      <w:bookmarkStart w:name="_Toc264471101" w:id="2"/>
    </w:p>
    <w:p w:rsidR="001D4AB6" w:rsidP="00AA5A30" w:rsidRDefault="00E46E97" w14:paraId="71B767E5" w14:textId="3A7E014A">
      <w:pPr>
        <w:pStyle w:val="PGDlogo"/>
        <w:rPr>
          <w:highlight w:val="cyan"/>
        </w:rPr>
      </w:pPr>
      <w:r>
        <w:rPr>
          <w:highlight w:val="cyan"/>
        </w:rPr>
        <w:t>[</w:t>
      </w:r>
      <w:r w:rsidRPr="00DF77C7" w:rsidR="007A1448">
        <w:rPr>
          <w:highlight w:val="cyan"/>
        </w:rPr>
        <w:t xml:space="preserve">Insert </w:t>
      </w:r>
      <w:r w:rsidR="002E0743">
        <w:rPr>
          <w:highlight w:val="cyan"/>
        </w:rPr>
        <w:t xml:space="preserve">the </w:t>
      </w:r>
      <w:r w:rsidRPr="00DF77C7" w:rsidR="007A1448">
        <w:rPr>
          <w:highlight w:val="cyan"/>
        </w:rPr>
        <w:t>logo of</w:t>
      </w:r>
      <w:r w:rsidR="002E0743">
        <w:rPr>
          <w:highlight w:val="cyan"/>
        </w:rPr>
        <w:t xml:space="preserve"> the</w:t>
      </w:r>
      <w:r w:rsidR="001D4AB6">
        <w:rPr>
          <w:highlight w:val="cyan"/>
        </w:rPr>
        <w:t xml:space="preserve"> authorising body here</w:t>
      </w:r>
    </w:p>
    <w:p w:rsidRPr="00DF77C7" w:rsidR="005F1603" w:rsidP="00AA5A30" w:rsidRDefault="001D4AB6" w14:paraId="0F1FF2E2" w14:textId="7FA10673">
      <w:pPr>
        <w:pStyle w:val="PGDlogo"/>
      </w:pPr>
      <w:r w:rsidRPr="00B36F46">
        <w:rPr>
          <w:highlight w:val="yellow"/>
        </w:rPr>
        <w:t xml:space="preserve"> </w:t>
      </w:r>
      <w:r w:rsidRPr="00B36F46" w:rsidR="00EC5BB8">
        <w:rPr>
          <w:highlight w:val="yellow"/>
        </w:rPr>
        <w:t>[</w:t>
      </w:r>
      <w:r w:rsidRPr="00F6120B" w:rsidR="00EC5BB8">
        <w:rPr>
          <w:rStyle w:val="Hyperlink"/>
          <w:highlight w:val="yellow"/>
        </w:rPr>
        <w:t>[</w:t>
      </w:r>
      <w:hyperlink w:history="1" w:anchor="terms-used-in-the-guideline" r:id="rId10">
        <w:r w:rsidRPr="00F6120B">
          <w:rPr>
            <w:rStyle w:val="Hyperlink"/>
            <w:highlight w:val="yellow"/>
          </w:rPr>
          <w:t>See the NICE guidance for the definition of an authorising body</w:t>
        </w:r>
      </w:hyperlink>
      <w:r w:rsidRPr="00EC5BB8" w:rsidR="002E0743">
        <w:rPr>
          <w:highlight w:val="yellow"/>
        </w:rPr>
        <w:t>]</w:t>
      </w:r>
      <w:r w:rsidRPr="00EC5BB8" w:rsidR="00EC5BB8">
        <w:rPr>
          <w:highlight w:val="yellow"/>
        </w:rPr>
        <w:t>]</w:t>
      </w:r>
    </w:p>
    <w:tbl>
      <w:tblPr>
        <w:tblStyle w:val="TableGrid"/>
        <w:tblW w:w="0" w:type="auto"/>
        <w:tblLook w:val="04A0" w:firstRow="1" w:lastRow="0" w:firstColumn="1" w:lastColumn="0" w:noHBand="0" w:noVBand="1"/>
      </w:tblPr>
      <w:tblGrid>
        <w:gridCol w:w="8495"/>
      </w:tblGrid>
      <w:tr w:rsidRPr="00DF77C7" w:rsidR="00AD67D4" w:rsidTr="00AD67D4" w14:paraId="1FBF41D7" w14:textId="77777777">
        <w:tc>
          <w:tcPr>
            <w:tcW w:w="8495" w:type="dxa"/>
          </w:tcPr>
          <w:p w:rsidRPr="00DF77C7" w:rsidR="00AD67D4" w:rsidP="00BB2C75" w:rsidRDefault="00AD67D4" w14:paraId="68445008" w14:textId="38D8F2C6">
            <w:pPr>
              <w:pStyle w:val="Tabletext"/>
              <w:rPr>
                <w:lang w:val="en-GB"/>
              </w:rPr>
            </w:pPr>
            <w:r w:rsidRPr="00DF77C7">
              <w:rPr>
                <w:lang w:val="en-GB"/>
              </w:rPr>
              <w:t xml:space="preserve">This Patient Group Direction (PGD) must only be used by registered </w:t>
            </w:r>
            <w:r w:rsidR="004C39C3">
              <w:rPr>
                <w:lang w:val="en-GB"/>
              </w:rPr>
              <w:t xml:space="preserve">healthcare professionals </w:t>
            </w:r>
            <w:r w:rsidRPr="00DF77C7">
              <w:rPr>
                <w:lang w:val="en-GB"/>
              </w:rPr>
              <w:t>who have been named and authorised by their organisation to practice under it. The most recent and in date final signed version of the PGD should be used.</w:t>
            </w:r>
          </w:p>
        </w:tc>
      </w:tr>
    </w:tbl>
    <w:p w:rsidRPr="00DF77C7" w:rsidR="00AD67D4" w:rsidP="00ED232C" w:rsidRDefault="00AD67D4" w14:paraId="440F929F" w14:textId="77777777">
      <w:pPr>
        <w:pStyle w:val="PGDNormal"/>
      </w:pPr>
    </w:p>
    <w:p w:rsidRPr="00DF77C7" w:rsidR="007A1448" w:rsidP="006529F3" w:rsidRDefault="007A1448" w14:paraId="4F81DF8E" w14:textId="5914E859">
      <w:pPr>
        <w:pStyle w:val="PGDTitle1"/>
      </w:pPr>
      <w:r w:rsidRPr="00DF77C7">
        <w:t>Patient Group Direction</w:t>
      </w:r>
    </w:p>
    <w:p w:rsidRPr="00DF77C7" w:rsidR="00903548" w:rsidP="004C1FDF" w:rsidRDefault="00903548" w14:paraId="446A3A01" w14:textId="77777777">
      <w:pPr>
        <w:pStyle w:val="PGDNormal"/>
      </w:pPr>
    </w:p>
    <w:p w:rsidR="00AB5250" w:rsidP="006529F3" w:rsidRDefault="00AB5250" w14:paraId="523AC6C1" w14:textId="35D0E750">
      <w:pPr>
        <w:pStyle w:val="PGDTitle2"/>
      </w:pPr>
      <w:r w:rsidRPr="00AB5250">
        <w:t xml:space="preserve">Supply </w:t>
      </w:r>
      <w:r w:rsidRPr="003F15B0" w:rsidR="003F15B0">
        <w:rPr>
          <w:bCs/>
        </w:rPr>
        <w:t>of a combined oral hormonal contraceptive (COC)</w:t>
      </w:r>
      <w:r w:rsidR="00FB3672">
        <w:rPr>
          <w:bCs/>
        </w:rPr>
        <w:t xml:space="preserve"> </w:t>
      </w:r>
      <w:r w:rsidRPr="00DF77C7" w:rsidR="005C6771">
        <w:t xml:space="preserve">in </w:t>
      </w:r>
    </w:p>
    <w:p w:rsidRPr="00DF77C7" w:rsidR="007A1448" w:rsidP="006529F3" w:rsidRDefault="00E46E97" w14:paraId="4799BFF7" w14:textId="1CC52575">
      <w:pPr>
        <w:pStyle w:val="PGDTitle2"/>
      </w:pPr>
      <w:r>
        <w:t>[</w:t>
      </w:r>
      <w:r w:rsidRPr="00DF77C7" w:rsidR="005C6771">
        <w:rPr>
          <w:highlight w:val="cyan"/>
        </w:rPr>
        <w:t>location/service/organisation</w:t>
      </w:r>
      <w:r>
        <w:t>]</w:t>
      </w:r>
    </w:p>
    <w:p w:rsidRPr="00DF77C7" w:rsidR="006529F3" w:rsidP="004C1FDF" w:rsidRDefault="006529F3" w14:paraId="446CEE0D" w14:textId="77777777">
      <w:pPr>
        <w:pStyle w:val="PGDNormal"/>
      </w:pPr>
    </w:p>
    <w:p w:rsidRPr="00187B60" w:rsidR="00813399" w:rsidP="00187B60" w:rsidRDefault="00813399" w14:paraId="70665420" w14:textId="0EAB259A">
      <w:pPr>
        <w:jc w:val="center"/>
        <w:rPr>
          <w:rStyle w:val="PGDVersionNumber"/>
          <w:kern w:val="0"/>
          <w:lang w:val="en-US"/>
          <w14:ligatures w14:val="none"/>
        </w:rPr>
      </w:pPr>
      <w:r w:rsidRPr="007F687D">
        <w:rPr>
          <w:rStyle w:val="PGDVersionNumber"/>
        </w:rPr>
        <w:t xml:space="preserve">Version </w:t>
      </w:r>
      <w:r w:rsidRPr="00AE42D7">
        <w:rPr>
          <w:rStyle w:val="PGDVersionNumber"/>
        </w:rPr>
        <w:t xml:space="preserve">Number </w:t>
      </w:r>
      <w:r w:rsidRPr="00AE42D7" w:rsidR="00AE42D7">
        <w:rPr>
          <w:rStyle w:val="PGDVersionNumber"/>
        </w:rPr>
        <w:t>2.</w:t>
      </w:r>
      <w:r w:rsidR="003F15B0">
        <w:rPr>
          <w:rStyle w:val="PGDVersionNumber"/>
        </w:rPr>
        <w:t>6</w:t>
      </w:r>
    </w:p>
    <w:p w:rsidRPr="00DF77C7" w:rsidR="00813399" w:rsidP="00F57606" w:rsidRDefault="00813399" w14:paraId="20B630F6" w14:textId="77777777">
      <w:pPr>
        <w:pStyle w:val="Tabletext"/>
      </w:pPr>
    </w:p>
    <w:p w:rsidRPr="00DF77C7" w:rsidR="00763E7A" w:rsidP="00AD67D4" w:rsidRDefault="00763E7A" w14:paraId="4B28C630" w14:textId="1C130391">
      <w:pPr>
        <w:pStyle w:val="Tabletitle"/>
        <w:rPr>
          <w:lang w:val="en-GB"/>
        </w:rPr>
      </w:pPr>
      <w:r w:rsidRPr="00DF77C7">
        <w:rPr>
          <w:lang w:val="en-GB"/>
        </w:rPr>
        <w:t>Change history</w:t>
      </w:r>
    </w:p>
    <w:p w:rsidRPr="00DF77C7" w:rsidR="00813399" w:rsidP="00F57606" w:rsidRDefault="00813399" w14:paraId="0880FF0C" w14:textId="77777777">
      <w:pPr>
        <w:pStyle w:val="Tabletext"/>
      </w:pPr>
    </w:p>
    <w:tbl>
      <w:tblPr>
        <w:tblW w:w="8801" w:type="dxa"/>
        <w:tblInd w:w="127" w:type="dxa"/>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995"/>
        <w:gridCol w:w="6806"/>
      </w:tblGrid>
      <w:tr w:rsidRPr="00DF77C7" w:rsidR="00813399" w:rsidTr="003F15B0" w14:paraId="1AA21739" w14:textId="77777777">
        <w:trPr>
          <w:trHeight w:val="442"/>
          <w:tblHeader/>
        </w:trPr>
        <w:tc>
          <w:tcPr>
            <w:tcW w:w="1995" w:type="dxa"/>
            <w:tcBorders>
              <w:top w:val="single" w:color="auto" w:sz="4" w:space="0"/>
              <w:left w:val="single" w:color="auto" w:sz="4" w:space="0"/>
              <w:bottom w:val="single" w:color="auto" w:sz="4" w:space="0"/>
              <w:right w:val="single" w:color="auto" w:sz="4" w:space="0"/>
            </w:tcBorders>
          </w:tcPr>
          <w:p w:rsidRPr="00DF77C7" w:rsidR="00813399" w:rsidP="006829D5" w:rsidRDefault="00813399" w14:paraId="4C3B7AF4" w14:textId="77777777">
            <w:pPr>
              <w:pStyle w:val="TableHeaderRow"/>
            </w:pPr>
            <w:r w:rsidRPr="00DF77C7">
              <w:t>Version and Date</w:t>
            </w:r>
          </w:p>
        </w:tc>
        <w:tc>
          <w:tcPr>
            <w:tcW w:w="6806" w:type="dxa"/>
            <w:tcBorders>
              <w:top w:val="single" w:color="auto" w:sz="4" w:space="0"/>
              <w:left w:val="single" w:color="auto" w:sz="4" w:space="0"/>
              <w:bottom w:val="single" w:color="auto" w:sz="4" w:space="0"/>
              <w:right w:val="single" w:color="auto" w:sz="4" w:space="0"/>
            </w:tcBorders>
          </w:tcPr>
          <w:p w:rsidRPr="00DF77C7" w:rsidR="00813399" w:rsidP="006829D5" w:rsidRDefault="00813399" w14:paraId="20E8B630" w14:textId="77777777">
            <w:pPr>
              <w:pStyle w:val="TableHeaderRow"/>
            </w:pPr>
            <w:r w:rsidRPr="00DF77C7">
              <w:t>Change details</w:t>
            </w:r>
          </w:p>
        </w:tc>
      </w:tr>
      <w:tr w:rsidRPr="00DF77C7" w:rsidR="00E15FB4" w:rsidTr="00AB5250" w14:paraId="5448D2BC" w14:textId="77777777">
        <w:trPr>
          <w:trHeight w:val="442"/>
        </w:trPr>
        <w:tc>
          <w:tcPr>
            <w:tcW w:w="1995" w:type="dxa"/>
            <w:tcBorders>
              <w:top w:val="single" w:color="auto" w:sz="4" w:space="0"/>
              <w:left w:val="single" w:color="auto" w:sz="4" w:space="0"/>
              <w:bottom w:val="single" w:color="auto" w:sz="4" w:space="0"/>
              <w:right w:val="single" w:color="auto" w:sz="4" w:space="0"/>
            </w:tcBorders>
          </w:tcPr>
          <w:p w:rsidRPr="00084D8E" w:rsidR="00E15FB4" w:rsidP="003F15B0" w:rsidRDefault="00E15FB4" w14:paraId="247DD230" w14:textId="77777777">
            <w:pPr>
              <w:pStyle w:val="Tabletext"/>
            </w:pPr>
            <w:r w:rsidRPr="00084D8E">
              <w:t>Version 1</w:t>
            </w:r>
          </w:p>
          <w:p w:rsidRPr="002E3EBF" w:rsidR="00E15FB4" w:rsidP="003F15B0" w:rsidRDefault="003F15B0" w14:paraId="564FB0F8" w14:textId="185EEF8A">
            <w:pPr>
              <w:pStyle w:val="Tabletext"/>
              <w:rPr>
                <w:lang w:val="en-GB"/>
              </w:rPr>
            </w:pPr>
            <w:r w:rsidRPr="00084D8E">
              <w:t>April</w:t>
            </w:r>
            <w:r w:rsidRPr="00084D8E" w:rsidR="00AB5250">
              <w:t xml:space="preserve"> 2020</w:t>
            </w:r>
          </w:p>
        </w:tc>
        <w:tc>
          <w:tcPr>
            <w:tcW w:w="6806" w:type="dxa"/>
            <w:tcBorders>
              <w:top w:val="single" w:color="auto" w:sz="4" w:space="0"/>
              <w:left w:val="single" w:color="auto" w:sz="4" w:space="0"/>
              <w:bottom w:val="single" w:color="auto" w:sz="4" w:space="0"/>
              <w:right w:val="single" w:color="auto" w:sz="4" w:space="0"/>
            </w:tcBorders>
          </w:tcPr>
          <w:p w:rsidRPr="00DF77C7" w:rsidR="00E15FB4" w:rsidP="003F15B0" w:rsidRDefault="00E15FB4" w14:paraId="4A45011F" w14:textId="160FF60B">
            <w:pPr>
              <w:pStyle w:val="Tabletext"/>
              <w:rPr>
                <w:lang w:val="en-GB"/>
              </w:rPr>
            </w:pPr>
            <w:r w:rsidRPr="00D1051E">
              <w:t>New template</w:t>
            </w:r>
          </w:p>
        </w:tc>
      </w:tr>
      <w:tr w:rsidRPr="00DF77C7" w:rsidR="003F15B0" w:rsidTr="00AB5250" w14:paraId="608E9454" w14:textId="77777777">
        <w:trPr>
          <w:trHeight w:val="442"/>
        </w:trPr>
        <w:tc>
          <w:tcPr>
            <w:tcW w:w="1995" w:type="dxa"/>
            <w:tcBorders>
              <w:top w:val="single" w:color="auto" w:sz="4" w:space="0"/>
              <w:left w:val="single" w:color="auto" w:sz="4" w:space="0"/>
              <w:bottom w:val="single" w:color="auto" w:sz="4" w:space="0"/>
              <w:right w:val="single" w:color="auto" w:sz="4" w:space="0"/>
            </w:tcBorders>
          </w:tcPr>
          <w:p w:rsidRPr="00084D8E" w:rsidR="003F15B0" w:rsidP="003F15B0" w:rsidRDefault="003F15B0" w14:paraId="04BE3836" w14:textId="77777777">
            <w:pPr>
              <w:pStyle w:val="Tabletext"/>
            </w:pPr>
            <w:r w:rsidRPr="00084D8E">
              <w:t>Version 1.1</w:t>
            </w:r>
          </w:p>
          <w:p w:rsidRPr="00084D8E" w:rsidR="003F15B0" w:rsidP="003F15B0" w:rsidRDefault="003F15B0" w14:paraId="706980D9" w14:textId="107F10D0">
            <w:pPr>
              <w:pStyle w:val="Tabletext"/>
            </w:pPr>
            <w:r w:rsidRPr="00084D8E">
              <w:t>November 2020</w:t>
            </w:r>
          </w:p>
        </w:tc>
        <w:tc>
          <w:tcPr>
            <w:tcW w:w="6806" w:type="dxa"/>
            <w:tcBorders>
              <w:top w:val="single" w:color="auto" w:sz="4" w:space="0"/>
              <w:left w:val="single" w:color="auto" w:sz="4" w:space="0"/>
              <w:bottom w:val="single" w:color="auto" w:sz="4" w:space="0"/>
              <w:right w:val="single" w:color="auto" w:sz="4" w:space="0"/>
            </w:tcBorders>
          </w:tcPr>
          <w:p w:rsidRPr="003F15B0" w:rsidR="003F15B0" w:rsidP="003F15B0" w:rsidRDefault="003F15B0" w14:paraId="325AE566" w14:textId="64631440">
            <w:pPr>
              <w:pStyle w:val="Tabletext"/>
            </w:pPr>
            <w:r w:rsidRPr="003F15B0">
              <w:t xml:space="preserve">Minor </w:t>
            </w:r>
            <w:proofErr w:type="gramStart"/>
            <w:r w:rsidRPr="003F15B0">
              <w:t>rewording</w:t>
            </w:r>
            <w:proofErr w:type="gramEnd"/>
            <w:r w:rsidRPr="003F15B0">
              <w:t xml:space="preserve"> and highlighting contents</w:t>
            </w:r>
            <w:r w:rsidR="00084D8E">
              <w:t xml:space="preserve"> of </w:t>
            </w:r>
            <w:proofErr w:type="gramStart"/>
            <w:r w:rsidRPr="003F15B0" w:rsidR="00084D8E">
              <w:t>cautions</w:t>
            </w:r>
            <w:r w:rsidRPr="003F15B0">
              <w:t xml:space="preserve"> section</w:t>
            </w:r>
            <w:proofErr w:type="gramEnd"/>
            <w:r w:rsidRPr="003F15B0">
              <w:t xml:space="preserve"> relating to individuals for whom pregnancy presents an unacceptable risk and those on a pregnancy prevention plan.</w:t>
            </w:r>
          </w:p>
          <w:p w:rsidRPr="003F15B0" w:rsidR="003F15B0" w:rsidP="003F15B0" w:rsidRDefault="003F15B0" w14:paraId="1A80F6F3" w14:textId="641F39AB">
            <w:pPr>
              <w:pStyle w:val="Tabletext"/>
            </w:pPr>
            <w:r w:rsidRPr="003F15B0">
              <w:t xml:space="preserve">Acute porphyria </w:t>
            </w:r>
            <w:proofErr w:type="gramStart"/>
            <w:r w:rsidRPr="003F15B0">
              <w:t>added</w:t>
            </w:r>
            <w:proofErr w:type="gramEnd"/>
            <w:r w:rsidRPr="003F15B0">
              <w:t xml:space="preserve"> to exclusion criteria.  </w:t>
            </w:r>
          </w:p>
        </w:tc>
      </w:tr>
      <w:tr w:rsidRPr="00404E02" w:rsidR="003F15B0" w:rsidTr="00AB5250" w14:paraId="206313DF" w14:textId="77777777">
        <w:trPr>
          <w:trHeight w:val="442"/>
        </w:trPr>
        <w:tc>
          <w:tcPr>
            <w:tcW w:w="1995" w:type="dxa"/>
            <w:tcBorders>
              <w:top w:val="single" w:color="auto" w:sz="4" w:space="0"/>
              <w:left w:val="single" w:color="auto" w:sz="4" w:space="0"/>
              <w:bottom w:val="single" w:color="auto" w:sz="4" w:space="0"/>
              <w:right w:val="single" w:color="auto" w:sz="4" w:space="0"/>
            </w:tcBorders>
          </w:tcPr>
          <w:p w:rsidRPr="003F15B0" w:rsidR="003F15B0" w:rsidP="003F15B0" w:rsidRDefault="003F15B0" w14:paraId="50B59F8E" w14:textId="77777777">
            <w:pPr>
              <w:pStyle w:val="Tabletext"/>
            </w:pPr>
            <w:r w:rsidRPr="003F15B0">
              <w:t>Version 1.2</w:t>
            </w:r>
          </w:p>
          <w:p w:rsidRPr="003F15B0" w:rsidR="003F15B0" w:rsidP="003F15B0" w:rsidRDefault="003F15B0" w14:paraId="6A6235FE" w14:textId="62B6DA28">
            <w:pPr>
              <w:pStyle w:val="Tabletext"/>
            </w:pPr>
            <w:r w:rsidRPr="003F15B0">
              <w:t>March 2022</w:t>
            </w:r>
          </w:p>
        </w:tc>
        <w:tc>
          <w:tcPr>
            <w:tcW w:w="6806" w:type="dxa"/>
            <w:tcBorders>
              <w:top w:val="single" w:color="auto" w:sz="4" w:space="0"/>
              <w:left w:val="single" w:color="auto" w:sz="4" w:space="0"/>
              <w:bottom w:val="single" w:color="auto" w:sz="4" w:space="0"/>
              <w:right w:val="single" w:color="auto" w:sz="4" w:space="0"/>
            </w:tcBorders>
          </w:tcPr>
          <w:p w:rsidRPr="003F15B0" w:rsidR="003F15B0" w:rsidP="003F15B0" w:rsidRDefault="003F15B0" w14:paraId="68B6B46F" w14:textId="77777777">
            <w:pPr>
              <w:pStyle w:val="Tabletext"/>
            </w:pPr>
            <w:r w:rsidRPr="003F15B0">
              <w:t>Addition of vaping/use of e-cigarettes where reference to smoking within PGD.</w:t>
            </w:r>
          </w:p>
          <w:p w:rsidRPr="003F15B0" w:rsidR="003F15B0" w:rsidP="003F15B0" w:rsidRDefault="003F15B0" w14:paraId="4434EDF3" w14:textId="77777777">
            <w:pPr>
              <w:pStyle w:val="Tabletext"/>
            </w:pPr>
            <w:r w:rsidRPr="003F15B0">
              <w:t xml:space="preserve">Following exclusion criteria updated from 3-6 weeks to less than 6 </w:t>
            </w:r>
            <w:proofErr w:type="gramStart"/>
            <w:r w:rsidRPr="003F15B0">
              <w:t>weeks: ‘</w:t>
            </w:r>
            <w:proofErr w:type="gramEnd"/>
            <w:r w:rsidRPr="003F15B0">
              <w:t>Not breastfeeding and less than 6 weeks post-partum with other risk factors for venous thromboembolism (VTE).</w:t>
            </w:r>
          </w:p>
          <w:p w:rsidRPr="003F15B0" w:rsidR="003F15B0" w:rsidP="003F15B0" w:rsidRDefault="003F15B0" w14:paraId="54BE377A" w14:textId="3D996522">
            <w:pPr>
              <w:pStyle w:val="Tabletext"/>
            </w:pPr>
            <w:r w:rsidRPr="003F15B0">
              <w:t>Clarification of advice for Zoely®</w:t>
            </w:r>
          </w:p>
        </w:tc>
      </w:tr>
      <w:tr w:rsidRPr="00404E02" w:rsidR="003F15B0" w:rsidTr="00AB5250" w14:paraId="273DDF71" w14:textId="77777777">
        <w:trPr>
          <w:trHeight w:val="442"/>
        </w:trPr>
        <w:tc>
          <w:tcPr>
            <w:tcW w:w="1995" w:type="dxa"/>
            <w:tcBorders>
              <w:top w:val="single" w:color="auto" w:sz="4" w:space="0"/>
              <w:left w:val="single" w:color="auto" w:sz="4" w:space="0"/>
              <w:bottom w:val="single" w:color="auto" w:sz="4" w:space="0"/>
              <w:right w:val="single" w:color="auto" w:sz="4" w:space="0"/>
            </w:tcBorders>
          </w:tcPr>
          <w:p w:rsidRPr="003F15B0" w:rsidR="003F15B0" w:rsidP="003F15B0" w:rsidRDefault="003F15B0" w14:paraId="46627504" w14:textId="77777777">
            <w:pPr>
              <w:pStyle w:val="Tabletext"/>
            </w:pPr>
            <w:r w:rsidRPr="003F15B0">
              <w:t>Version 2.0</w:t>
            </w:r>
          </w:p>
          <w:p w:rsidRPr="003F15B0" w:rsidR="003F15B0" w:rsidP="003F15B0" w:rsidRDefault="003F15B0" w14:paraId="2B4ADCF1" w14:textId="4A2FF02C">
            <w:pPr>
              <w:pStyle w:val="Tabletext"/>
            </w:pPr>
            <w:r w:rsidRPr="003F15B0">
              <w:t>April 2023</w:t>
            </w:r>
          </w:p>
        </w:tc>
        <w:tc>
          <w:tcPr>
            <w:tcW w:w="6806" w:type="dxa"/>
            <w:tcBorders>
              <w:top w:val="single" w:color="auto" w:sz="4" w:space="0"/>
              <w:left w:val="single" w:color="auto" w:sz="4" w:space="0"/>
              <w:bottom w:val="single" w:color="auto" w:sz="4" w:space="0"/>
              <w:right w:val="single" w:color="auto" w:sz="4" w:space="0"/>
            </w:tcBorders>
          </w:tcPr>
          <w:p w:rsidRPr="003F15B0" w:rsidR="003F15B0" w:rsidP="003F15B0" w:rsidRDefault="003F15B0" w14:paraId="06AAFAC7" w14:textId="77777777">
            <w:pPr>
              <w:pStyle w:val="Tabletext"/>
            </w:pPr>
            <w:r w:rsidRPr="003F15B0">
              <w:t xml:space="preserve">Updated template – amended references and minor editing and wording changes/clarifications.  </w:t>
            </w:r>
          </w:p>
          <w:p w:rsidRPr="003F15B0" w:rsidR="003F15B0" w:rsidP="003F15B0" w:rsidRDefault="003F15B0" w14:paraId="720AE69C" w14:textId="68635DE9">
            <w:pPr>
              <w:pStyle w:val="Tabletext"/>
            </w:pPr>
            <w:r w:rsidRPr="003F15B0">
              <w:t xml:space="preserve">Strengthened detail on use in individuals requiring control of problematic bleeding caused by the subdermal implant, IUS or medroxyprogesterone injection for up to three months.  </w:t>
            </w:r>
          </w:p>
        </w:tc>
      </w:tr>
      <w:tr w:rsidRPr="00404E02" w:rsidR="003F15B0" w:rsidTr="00AB5250" w14:paraId="388461E4" w14:textId="77777777">
        <w:trPr>
          <w:trHeight w:val="442"/>
        </w:trPr>
        <w:tc>
          <w:tcPr>
            <w:tcW w:w="1995" w:type="dxa"/>
            <w:tcBorders>
              <w:top w:val="single" w:color="auto" w:sz="4" w:space="0"/>
              <w:left w:val="single" w:color="auto" w:sz="4" w:space="0"/>
              <w:bottom w:val="single" w:color="auto" w:sz="4" w:space="0"/>
              <w:right w:val="single" w:color="auto" w:sz="4" w:space="0"/>
            </w:tcBorders>
          </w:tcPr>
          <w:p w:rsidRPr="003F15B0" w:rsidR="003F15B0" w:rsidP="003F15B0" w:rsidRDefault="003F15B0" w14:paraId="39C88306" w14:textId="77777777">
            <w:pPr>
              <w:pStyle w:val="Tabletext"/>
            </w:pPr>
            <w:r w:rsidRPr="003F15B0">
              <w:t>Version 2.1</w:t>
            </w:r>
          </w:p>
          <w:p w:rsidRPr="003F15B0" w:rsidR="003F15B0" w:rsidP="003F15B0" w:rsidRDefault="003F15B0" w14:paraId="4737E25D" w14:textId="5C573D51">
            <w:pPr>
              <w:pStyle w:val="Tabletext"/>
            </w:pPr>
            <w:r w:rsidRPr="003F15B0">
              <w:t>April 2023</w:t>
            </w:r>
          </w:p>
        </w:tc>
        <w:tc>
          <w:tcPr>
            <w:tcW w:w="6806" w:type="dxa"/>
            <w:tcBorders>
              <w:top w:val="single" w:color="auto" w:sz="4" w:space="0"/>
              <w:left w:val="single" w:color="auto" w:sz="4" w:space="0"/>
              <w:bottom w:val="single" w:color="auto" w:sz="4" w:space="0"/>
              <w:right w:val="single" w:color="auto" w:sz="4" w:space="0"/>
            </w:tcBorders>
          </w:tcPr>
          <w:p w:rsidRPr="003F15B0" w:rsidR="003F15B0" w:rsidP="003F15B0" w:rsidRDefault="003F15B0" w14:paraId="45F3E426" w14:textId="1709B04E">
            <w:pPr>
              <w:pStyle w:val="Tabletext"/>
            </w:pPr>
            <w:r w:rsidRPr="003F15B0">
              <w:t xml:space="preserve">Exclusion added relating to Zoely® only </w:t>
            </w:r>
          </w:p>
        </w:tc>
      </w:tr>
      <w:tr w:rsidRPr="00404E02" w:rsidR="003F15B0" w:rsidTr="00AB5250" w14:paraId="1E742B32" w14:textId="77777777">
        <w:trPr>
          <w:trHeight w:val="442"/>
        </w:trPr>
        <w:tc>
          <w:tcPr>
            <w:tcW w:w="1995" w:type="dxa"/>
            <w:tcBorders>
              <w:top w:val="single" w:color="auto" w:sz="4" w:space="0"/>
              <w:left w:val="single" w:color="auto" w:sz="4" w:space="0"/>
              <w:bottom w:val="single" w:color="auto" w:sz="4" w:space="0"/>
              <w:right w:val="single" w:color="auto" w:sz="4" w:space="0"/>
            </w:tcBorders>
          </w:tcPr>
          <w:p w:rsidRPr="003F15B0" w:rsidR="003F15B0" w:rsidP="003F15B0" w:rsidRDefault="003F15B0" w14:paraId="6D33EC6E" w14:textId="77777777">
            <w:pPr>
              <w:pStyle w:val="Tabletext"/>
            </w:pPr>
            <w:r w:rsidRPr="003F15B0">
              <w:t>Version 2.2</w:t>
            </w:r>
          </w:p>
          <w:p w:rsidRPr="003F15B0" w:rsidR="003F15B0" w:rsidP="003F15B0" w:rsidRDefault="003F15B0" w14:paraId="67818BB9" w14:textId="7C023C0E">
            <w:pPr>
              <w:pStyle w:val="Tabletext"/>
            </w:pPr>
            <w:r w:rsidRPr="003F15B0">
              <w:t>October 2023</w:t>
            </w:r>
          </w:p>
        </w:tc>
        <w:tc>
          <w:tcPr>
            <w:tcW w:w="6806" w:type="dxa"/>
            <w:tcBorders>
              <w:top w:val="single" w:color="auto" w:sz="4" w:space="0"/>
              <w:left w:val="single" w:color="auto" w:sz="4" w:space="0"/>
              <w:bottom w:val="single" w:color="auto" w:sz="4" w:space="0"/>
              <w:right w:val="single" w:color="auto" w:sz="4" w:space="0"/>
            </w:tcBorders>
          </w:tcPr>
          <w:p w:rsidRPr="003F15B0" w:rsidR="003F15B0" w:rsidP="003F15B0" w:rsidRDefault="003F15B0" w14:paraId="6FDA22C1" w14:textId="7CC6EE47">
            <w:pPr>
              <w:pStyle w:val="Tabletext"/>
            </w:pPr>
            <w:r w:rsidRPr="003F15B0">
              <w:t>Updated PGD development group members.</w:t>
            </w:r>
            <w:r w:rsidRPr="003F15B0">
              <w:br/>
            </w:r>
            <w:r w:rsidRPr="003F15B0">
              <w:t>Statement added in exclusion criteria regarding consideration of lactose/sucrose content in individual products.</w:t>
            </w:r>
          </w:p>
        </w:tc>
      </w:tr>
      <w:tr w:rsidRPr="00404E02" w:rsidR="003F15B0" w:rsidTr="00AB5250" w14:paraId="7C4F80BF" w14:textId="77777777">
        <w:trPr>
          <w:trHeight w:val="442"/>
        </w:trPr>
        <w:tc>
          <w:tcPr>
            <w:tcW w:w="1995" w:type="dxa"/>
            <w:tcBorders>
              <w:top w:val="single" w:color="auto" w:sz="4" w:space="0"/>
              <w:left w:val="single" w:color="auto" w:sz="4" w:space="0"/>
              <w:bottom w:val="single" w:color="auto" w:sz="4" w:space="0"/>
              <w:right w:val="single" w:color="auto" w:sz="4" w:space="0"/>
            </w:tcBorders>
          </w:tcPr>
          <w:p w:rsidRPr="003F15B0" w:rsidR="003F15B0" w:rsidP="003F15B0" w:rsidRDefault="003F15B0" w14:paraId="2E08F67A" w14:textId="77777777">
            <w:pPr>
              <w:pStyle w:val="Tabletext"/>
            </w:pPr>
            <w:r w:rsidRPr="003F15B0">
              <w:t>Version 2.3</w:t>
            </w:r>
          </w:p>
          <w:p w:rsidRPr="003F15B0" w:rsidR="003F15B0" w:rsidP="003F15B0" w:rsidRDefault="003F15B0" w14:paraId="173E6837" w14:textId="28E471B3">
            <w:pPr>
              <w:pStyle w:val="Tabletext"/>
            </w:pPr>
            <w:r w:rsidRPr="003F15B0">
              <w:t>March 2025</w:t>
            </w:r>
          </w:p>
        </w:tc>
        <w:tc>
          <w:tcPr>
            <w:tcW w:w="6806" w:type="dxa"/>
            <w:tcBorders>
              <w:top w:val="single" w:color="auto" w:sz="4" w:space="0"/>
              <w:left w:val="single" w:color="auto" w:sz="4" w:space="0"/>
              <w:bottom w:val="single" w:color="auto" w:sz="4" w:space="0"/>
              <w:right w:val="single" w:color="auto" w:sz="4" w:space="0"/>
            </w:tcBorders>
          </w:tcPr>
          <w:p w:rsidRPr="003F15B0" w:rsidR="003F15B0" w:rsidP="003F15B0" w:rsidRDefault="003F15B0" w14:paraId="5030D45B" w14:textId="5EEAAF86">
            <w:pPr>
              <w:pStyle w:val="Tabletext"/>
            </w:pPr>
            <w:r w:rsidRPr="003F15B0">
              <w:t>Added statement on management of people using 30mcgEE/LNG combination who have missed two pills in week one of cycle in dose and frequency section. Updated references.</w:t>
            </w:r>
          </w:p>
        </w:tc>
      </w:tr>
      <w:tr w:rsidRPr="00404E02" w:rsidR="003F15B0" w:rsidTr="00AB5250" w14:paraId="49EF04D7" w14:textId="77777777">
        <w:trPr>
          <w:trHeight w:val="442"/>
        </w:trPr>
        <w:tc>
          <w:tcPr>
            <w:tcW w:w="1995" w:type="dxa"/>
            <w:tcBorders>
              <w:top w:val="single" w:color="auto" w:sz="4" w:space="0"/>
              <w:left w:val="single" w:color="auto" w:sz="4" w:space="0"/>
              <w:bottom w:val="single" w:color="auto" w:sz="4" w:space="0"/>
              <w:right w:val="single" w:color="auto" w:sz="4" w:space="0"/>
            </w:tcBorders>
          </w:tcPr>
          <w:p w:rsidRPr="003F15B0" w:rsidR="003F15B0" w:rsidP="003F15B0" w:rsidRDefault="003F15B0" w14:paraId="4C1AE23E" w14:textId="77777777">
            <w:pPr>
              <w:pStyle w:val="Tabletext"/>
            </w:pPr>
            <w:r w:rsidRPr="003F15B0">
              <w:t>Version 2.4</w:t>
            </w:r>
          </w:p>
          <w:p w:rsidRPr="003F15B0" w:rsidR="003F15B0" w:rsidP="003F15B0" w:rsidRDefault="003F15B0" w14:paraId="239350F9" w14:textId="3E664675">
            <w:pPr>
              <w:pStyle w:val="Tabletext"/>
            </w:pPr>
            <w:r w:rsidRPr="003F15B0">
              <w:t>April 2025</w:t>
            </w:r>
          </w:p>
        </w:tc>
        <w:tc>
          <w:tcPr>
            <w:tcW w:w="6806" w:type="dxa"/>
            <w:tcBorders>
              <w:top w:val="single" w:color="auto" w:sz="4" w:space="0"/>
              <w:left w:val="single" w:color="auto" w:sz="4" w:space="0"/>
              <w:bottom w:val="single" w:color="auto" w:sz="4" w:space="0"/>
              <w:right w:val="single" w:color="auto" w:sz="4" w:space="0"/>
            </w:tcBorders>
          </w:tcPr>
          <w:p w:rsidRPr="003F15B0" w:rsidR="003F15B0" w:rsidP="003F15B0" w:rsidRDefault="003F15B0" w14:paraId="659616A1" w14:textId="74A9B97D">
            <w:pPr>
              <w:pStyle w:val="Tabletext"/>
            </w:pPr>
            <w:r w:rsidRPr="003F15B0">
              <w:t>Added statement on advice when used in combination with GLP-1 agonists. Clarified statement on Qlaira. Updated references.</w:t>
            </w:r>
          </w:p>
        </w:tc>
      </w:tr>
      <w:tr w:rsidRPr="00404E02" w:rsidR="003F15B0" w:rsidTr="00AB5250" w14:paraId="78C45717" w14:textId="77777777">
        <w:trPr>
          <w:trHeight w:val="442"/>
        </w:trPr>
        <w:tc>
          <w:tcPr>
            <w:tcW w:w="1995" w:type="dxa"/>
            <w:tcBorders>
              <w:top w:val="single" w:color="auto" w:sz="4" w:space="0"/>
              <w:left w:val="single" w:color="auto" w:sz="4" w:space="0"/>
              <w:bottom w:val="single" w:color="auto" w:sz="4" w:space="0"/>
              <w:right w:val="single" w:color="auto" w:sz="4" w:space="0"/>
            </w:tcBorders>
          </w:tcPr>
          <w:p w:rsidRPr="003F15B0" w:rsidR="003F15B0" w:rsidP="003F15B0" w:rsidRDefault="003F15B0" w14:paraId="52BF4732" w14:textId="77777777">
            <w:pPr>
              <w:pStyle w:val="Tabletext"/>
            </w:pPr>
            <w:r w:rsidRPr="003F15B0">
              <w:t>Version 2.5</w:t>
            </w:r>
          </w:p>
          <w:p w:rsidRPr="003F15B0" w:rsidR="003F15B0" w:rsidP="003F15B0" w:rsidRDefault="003F15B0" w14:paraId="18555B49" w14:textId="0F1B3165">
            <w:pPr>
              <w:pStyle w:val="Tabletext"/>
            </w:pPr>
            <w:r w:rsidRPr="003F15B0">
              <w:t>July 2025</w:t>
            </w:r>
          </w:p>
        </w:tc>
        <w:tc>
          <w:tcPr>
            <w:tcW w:w="6806" w:type="dxa"/>
            <w:tcBorders>
              <w:top w:val="single" w:color="auto" w:sz="4" w:space="0"/>
              <w:left w:val="single" w:color="auto" w:sz="4" w:space="0"/>
              <w:bottom w:val="single" w:color="auto" w:sz="4" w:space="0"/>
              <w:right w:val="single" w:color="auto" w:sz="4" w:space="0"/>
            </w:tcBorders>
          </w:tcPr>
          <w:p w:rsidRPr="003F15B0" w:rsidR="003F15B0" w:rsidP="003F15B0" w:rsidRDefault="003F15B0" w14:paraId="1D9BB03A" w14:textId="21429635">
            <w:pPr>
              <w:pStyle w:val="Tabletext"/>
            </w:pPr>
            <w:r w:rsidRPr="003F15B0">
              <w:t>Added statement on advice on desogestrel and risk of meningioma. Clarified statement regarding omitted pills. Updated references.</w:t>
            </w:r>
          </w:p>
        </w:tc>
      </w:tr>
      <w:tr w:rsidRPr="00404E02" w:rsidR="003F15B0" w:rsidTr="00AB5250" w14:paraId="35F5FBE1" w14:textId="77777777">
        <w:trPr>
          <w:trHeight w:val="442"/>
        </w:trPr>
        <w:tc>
          <w:tcPr>
            <w:tcW w:w="1995" w:type="dxa"/>
            <w:tcBorders>
              <w:top w:val="single" w:color="auto" w:sz="4" w:space="0"/>
              <w:left w:val="single" w:color="auto" w:sz="4" w:space="0"/>
              <w:bottom w:val="single" w:color="auto" w:sz="4" w:space="0"/>
              <w:right w:val="single" w:color="auto" w:sz="4" w:space="0"/>
            </w:tcBorders>
          </w:tcPr>
          <w:p w:rsidRPr="003F15B0" w:rsidR="003F15B0" w:rsidP="003F15B0" w:rsidRDefault="003F15B0" w14:paraId="4547A4C3" w14:textId="0F409A6C">
            <w:pPr>
              <w:pStyle w:val="Tabletext"/>
            </w:pPr>
            <w:r w:rsidRPr="003F15B0">
              <w:t>Version 2.6</w:t>
            </w:r>
          </w:p>
          <w:p w:rsidRPr="003F15B0" w:rsidR="003F15B0" w:rsidP="003F15B0" w:rsidRDefault="003F15B0" w14:paraId="5BD8ACF3" w14:textId="6888B776">
            <w:pPr>
              <w:pStyle w:val="Tabletext"/>
            </w:pPr>
            <w:r w:rsidRPr="003F15B0">
              <w:t>October 2025</w:t>
            </w:r>
          </w:p>
        </w:tc>
        <w:tc>
          <w:tcPr>
            <w:tcW w:w="6806" w:type="dxa"/>
            <w:tcBorders>
              <w:top w:val="single" w:color="auto" w:sz="4" w:space="0"/>
              <w:left w:val="single" w:color="auto" w:sz="4" w:space="0"/>
              <w:bottom w:val="single" w:color="auto" w:sz="4" w:space="0"/>
              <w:right w:val="single" w:color="auto" w:sz="4" w:space="0"/>
            </w:tcBorders>
          </w:tcPr>
          <w:p w:rsidRPr="003F15B0" w:rsidR="003F15B0" w:rsidP="003F15B0" w:rsidRDefault="003F15B0" w14:paraId="226FCC1B" w14:textId="3C70D768">
            <w:pPr>
              <w:pStyle w:val="Tabletext"/>
            </w:pPr>
            <w:r w:rsidRPr="003F15B0">
              <w:t xml:space="preserve">Strengthened information on UPA-EC place if missed pill scenario to align with wording in V3 COC and V3 and V2.3 UPA-EC national templates. Contraindication with interacting Hep C medicines added. Updated reference to FSRH to CoSRH. </w:t>
            </w:r>
          </w:p>
        </w:tc>
      </w:tr>
    </w:tbl>
    <w:p w:rsidRPr="00DF77C7" w:rsidR="00813399" w:rsidP="00ED232C" w:rsidRDefault="00813399" w14:paraId="403025EC" w14:textId="77777777">
      <w:pPr>
        <w:pStyle w:val="PGDNormal"/>
      </w:pPr>
    </w:p>
    <w:p w:rsidRPr="00DF77C7" w:rsidR="00813399" w:rsidP="00763E7A" w:rsidRDefault="00E46E97" w14:paraId="2CBBA5EF" w14:textId="38129608">
      <w:pPr>
        <w:pStyle w:val="PGDNormal"/>
        <w:rPr>
          <w:lang w:val="en-GB"/>
        </w:rPr>
      </w:pPr>
      <w:r>
        <w:rPr>
          <w:highlight w:val="yellow"/>
          <w:lang w:val="en-GB"/>
        </w:rPr>
        <w:t>[[</w:t>
      </w:r>
      <w:r w:rsidRPr="00DF77C7" w:rsidR="00813399">
        <w:rPr>
          <w:highlight w:val="yellow"/>
          <w:lang w:val="en-GB"/>
        </w:rPr>
        <w:t xml:space="preserve">Each organisation using this PGD must ensure that it is formally signed by a senior pharmacist, a senior doctor and any other professional group representatives involved in its review and that it is reviewed in line with the organisations’ PGD governance system.  The organisation’s governance lead must sign to authorise the PGD on behalf </w:t>
      </w:r>
      <w:r w:rsidRPr="00DF77C7" w:rsidR="00813399">
        <w:rPr>
          <w:highlight w:val="yellow"/>
          <w:lang w:val="en-GB"/>
        </w:rPr>
        <w:t>of the authorising organisation to ensure that this document meets legal requirements for a PGD.</w:t>
      </w:r>
      <w:r>
        <w:rPr>
          <w:lang w:val="en-GB"/>
        </w:rPr>
        <w:t>]]</w:t>
      </w:r>
    </w:p>
    <w:p w:rsidRPr="00DF77C7" w:rsidR="00813399" w:rsidP="004C1FDF" w:rsidRDefault="006829D5" w14:paraId="75C4570A" w14:textId="591BFC79">
      <w:pPr>
        <w:pStyle w:val="Heading1"/>
      </w:pPr>
      <w:r w:rsidRPr="00DF77C7">
        <w:rPr>
          <w:highlight w:val="yellow"/>
        </w:rPr>
        <w:br w:type="page"/>
      </w:r>
      <w:r w:rsidRPr="00DF77C7" w:rsidR="00813399">
        <w:t xml:space="preserve">PGD </w:t>
      </w:r>
      <w:r w:rsidRPr="00DF77C7">
        <w:t>development group</w:t>
      </w:r>
    </w:p>
    <w:tbl>
      <w:tblPr>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3969"/>
        <w:gridCol w:w="4536"/>
      </w:tblGrid>
      <w:tr w:rsidRPr="00DF77C7" w:rsidR="003F15B0" w:rsidTr="00043006" w14:paraId="2D1BCEA8" w14:textId="77777777">
        <w:tc>
          <w:tcPr>
            <w:tcW w:w="3969" w:type="dxa"/>
          </w:tcPr>
          <w:p w:rsidRPr="00DF77C7" w:rsidR="003F15B0" w:rsidP="003F15B0" w:rsidRDefault="003F15B0" w14:paraId="68303232" w14:textId="77777777">
            <w:pPr>
              <w:pStyle w:val="Tabletext"/>
              <w:rPr>
                <w:lang w:val="en-GB"/>
              </w:rPr>
            </w:pPr>
            <w:r w:rsidRPr="00DF77C7">
              <w:rPr>
                <w:lang w:val="en-GB"/>
              </w:rPr>
              <w:t xml:space="preserve">Date PGD template comes into effect: </w:t>
            </w:r>
          </w:p>
        </w:tc>
        <w:tc>
          <w:tcPr>
            <w:tcW w:w="4536" w:type="dxa"/>
            <w:tcBorders>
              <w:top w:val="single" w:color="auto" w:sz="4" w:space="0"/>
              <w:left w:val="single" w:color="auto" w:sz="4" w:space="0"/>
              <w:bottom w:val="single" w:color="auto" w:sz="4" w:space="0"/>
              <w:right w:val="single" w:color="auto" w:sz="4" w:space="0"/>
            </w:tcBorders>
          </w:tcPr>
          <w:p w:rsidRPr="00AE42D7" w:rsidR="003F15B0" w:rsidP="003F15B0" w:rsidRDefault="00187B60" w14:paraId="1C02A90B" w14:textId="70F70E12">
            <w:pPr>
              <w:pStyle w:val="Tabletext"/>
              <w:rPr>
                <w:lang w:val="en-GB"/>
              </w:rPr>
            </w:pPr>
            <w:r>
              <w:t xml:space="preserve">1 </w:t>
            </w:r>
            <w:r w:rsidRPr="009418FD" w:rsidR="003F15B0">
              <w:t>April 2023</w:t>
            </w:r>
          </w:p>
        </w:tc>
      </w:tr>
      <w:tr w:rsidRPr="00DF77C7" w:rsidR="003F15B0" w:rsidTr="00043006" w14:paraId="18F33630" w14:textId="77777777">
        <w:tc>
          <w:tcPr>
            <w:tcW w:w="3969" w:type="dxa"/>
          </w:tcPr>
          <w:p w:rsidRPr="00DF77C7" w:rsidR="003F15B0" w:rsidP="003F15B0" w:rsidRDefault="003F15B0" w14:paraId="40ECC743" w14:textId="7F4BD51B">
            <w:pPr>
              <w:pStyle w:val="Tabletext"/>
              <w:rPr>
                <w:lang w:val="en-GB"/>
              </w:rPr>
            </w:pPr>
            <w:r w:rsidRPr="00DF77C7">
              <w:rPr>
                <w:lang w:val="en-GB"/>
              </w:rPr>
              <w:t>Review date</w:t>
            </w:r>
          </w:p>
        </w:tc>
        <w:tc>
          <w:tcPr>
            <w:tcW w:w="4536" w:type="dxa"/>
            <w:tcBorders>
              <w:top w:val="single" w:color="auto" w:sz="4" w:space="0"/>
              <w:left w:val="single" w:color="auto" w:sz="4" w:space="0"/>
              <w:bottom w:val="single" w:color="auto" w:sz="4" w:space="0"/>
              <w:right w:val="single" w:color="auto" w:sz="4" w:space="0"/>
            </w:tcBorders>
          </w:tcPr>
          <w:p w:rsidRPr="00AE42D7" w:rsidR="003F15B0" w:rsidP="003F15B0" w:rsidRDefault="00187B60" w14:paraId="56A527C3" w14:textId="778D1477">
            <w:pPr>
              <w:pStyle w:val="Tabletext"/>
              <w:rPr>
                <w:lang w:val="en-GB"/>
              </w:rPr>
            </w:pPr>
            <w:r>
              <w:t xml:space="preserve">1 </w:t>
            </w:r>
            <w:r w:rsidRPr="009418FD" w:rsidR="003F15B0">
              <w:t>September 2025</w:t>
            </w:r>
          </w:p>
        </w:tc>
      </w:tr>
      <w:tr w:rsidRPr="00DF77C7" w:rsidR="003F15B0" w:rsidTr="00043006" w14:paraId="0FB80BBA" w14:textId="77777777">
        <w:tc>
          <w:tcPr>
            <w:tcW w:w="3969" w:type="dxa"/>
          </w:tcPr>
          <w:p w:rsidRPr="00DF77C7" w:rsidR="003F15B0" w:rsidP="003F15B0" w:rsidRDefault="003F15B0" w14:paraId="45729AD1" w14:textId="77777777">
            <w:pPr>
              <w:pStyle w:val="Tabletext"/>
              <w:rPr>
                <w:lang w:val="en-GB"/>
              </w:rPr>
            </w:pPr>
            <w:r w:rsidRPr="00DF77C7">
              <w:rPr>
                <w:lang w:val="en-GB"/>
              </w:rPr>
              <w:t xml:space="preserve">Expiry date: </w:t>
            </w:r>
          </w:p>
        </w:tc>
        <w:tc>
          <w:tcPr>
            <w:tcW w:w="4536" w:type="dxa"/>
            <w:tcBorders>
              <w:top w:val="single" w:color="auto" w:sz="4" w:space="0"/>
              <w:left w:val="single" w:color="auto" w:sz="4" w:space="0"/>
              <w:bottom w:val="single" w:color="auto" w:sz="4" w:space="0"/>
              <w:right w:val="single" w:color="auto" w:sz="4" w:space="0"/>
            </w:tcBorders>
          </w:tcPr>
          <w:p w:rsidRPr="00AE42D7" w:rsidR="003F15B0" w:rsidP="003F15B0" w:rsidRDefault="00187B60" w14:paraId="58AA136C" w14:textId="5BF8A305">
            <w:pPr>
              <w:pStyle w:val="Tabletext"/>
              <w:rPr>
                <w:lang w:val="en-GB"/>
              </w:rPr>
            </w:pPr>
            <w:r>
              <w:t xml:space="preserve">31 </w:t>
            </w:r>
            <w:r w:rsidRPr="009418FD" w:rsidR="003F15B0">
              <w:t>March 2026</w:t>
            </w:r>
            <w:r w:rsidR="00D23423">
              <w:t xml:space="preserve">   </w:t>
            </w:r>
          </w:p>
        </w:tc>
      </w:tr>
    </w:tbl>
    <w:p w:rsidRPr="00DF77C7" w:rsidR="00050C45" w:rsidP="00F57606" w:rsidRDefault="00050C45" w14:paraId="22A68ADB" w14:textId="77777777">
      <w:pPr>
        <w:pStyle w:val="Tabletext"/>
      </w:pPr>
    </w:p>
    <w:p w:rsidR="00AB5250" w:rsidP="00AB5250" w:rsidRDefault="00AB5250" w14:paraId="48BE52E5" w14:textId="10453380">
      <w:pPr>
        <w:pStyle w:val="PGDNormal"/>
      </w:pPr>
      <w:r w:rsidR="00AB5250">
        <w:rPr/>
        <w:t xml:space="preserve">This PGD template has been peer reviewed by the Reproductive Health PGDs Short Life Working Group </w:t>
      </w:r>
      <w:r w:rsidR="00AB5250">
        <w:rPr/>
        <w:t>in accordance with</w:t>
      </w:r>
      <w:r w:rsidR="00AB5250">
        <w:rPr/>
        <w:t xml:space="preserve"> their Terms of Reference. It has been approved by the College of Sexual and Reproductive Health</w:t>
      </w:r>
      <w:r w:rsidR="4F38CF9F">
        <w:rPr/>
        <w:t>care</w:t>
      </w:r>
      <w:r w:rsidR="00AB5250">
        <w:rPr/>
        <w:t xml:space="preserve"> (CoSRH) in </w:t>
      </w:r>
      <w:r w:rsidR="00AB5250">
        <w:rPr/>
        <w:t>November 2022.</w:t>
      </w:r>
    </w:p>
    <w:p w:rsidRPr="00F6120B" w:rsidR="00050C45" w:rsidP="00AB5250" w:rsidRDefault="00050C45" w14:paraId="58CD625E" w14:textId="487EFA5A">
      <w:pPr>
        <w:pStyle w:val="PGDNormal"/>
        <w:rPr>
          <w:rStyle w:val="Hyperlink"/>
        </w:rPr>
      </w:pPr>
      <w:r w:rsidRPr="00DF77C7">
        <w:rPr>
          <w:lang w:val="en-GB"/>
        </w:rPr>
        <w:t xml:space="preserve">Note the working group and approving organisation(s) agreement to the content only applies to the national template and does not extend to any local adaptations made to any of the content which are solely the responsibility of the organisation authorising the PGD. The most up to date version of the template is available </w:t>
      </w:r>
      <w:r w:rsidRPr="00DF77C7" w:rsidR="006829D5">
        <w:rPr>
          <w:lang w:val="en-GB"/>
        </w:rPr>
        <w:t xml:space="preserve">from the </w:t>
      </w:r>
      <w:hyperlink w:history="1" r:id="rId11">
        <w:r w:rsidRPr="00F6120B" w:rsidR="006829D5">
          <w:rPr>
            <w:rStyle w:val="Hyperlink"/>
          </w:rPr>
          <w:t>SPS national PGD template webpage</w:t>
        </w:r>
      </w:hyperlink>
      <w:r w:rsidRPr="00F6120B" w:rsidR="006829D5">
        <w:rPr>
          <w:rStyle w:val="Hyperlink"/>
        </w:rPr>
        <w:t>.</w:t>
      </w:r>
    </w:p>
    <w:p w:rsidRPr="00DF77C7" w:rsidR="00050C45" w:rsidP="00F57606" w:rsidRDefault="00050C45" w14:paraId="6EA0E318" w14:textId="77777777">
      <w:pPr>
        <w:pStyle w:val="Tabletext"/>
      </w:pPr>
      <w:r w:rsidRPr="00DF77C7">
        <w:rPr>
          <w:rStyle w:val="PGDNormalBold"/>
        </w:rPr>
        <w:t>This section MUST REMAIN when a PGD is adopted by an organisation.</w:t>
      </w:r>
      <w:r w:rsidRPr="00DF77C7">
        <w:t xml:space="preserve"> </w:t>
      </w:r>
    </w:p>
    <w:p w:rsidRPr="002416AD" w:rsidR="008762B8" w:rsidP="002416AD" w:rsidRDefault="008762B8" w14:paraId="0AB2A287" w14:textId="77777777">
      <w:pPr>
        <w:pStyle w:val="Tabletext"/>
        <w:rPr>
          <w:sz w:val="20"/>
        </w:rPr>
      </w:pPr>
    </w:p>
    <w:tbl>
      <w:tblPr>
        <w:tblpPr w:leftFromText="180" w:rightFromText="180" w:vertAnchor="text" w:horzAnchor="margin" w:tblpY="26"/>
        <w:tblW w:w="9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297"/>
        <w:gridCol w:w="6912"/>
      </w:tblGrid>
      <w:tr w:rsidRPr="00DF77C7" w:rsidR="005E6963" w:rsidTr="005E6963" w14:paraId="0CD61D6C" w14:textId="77777777">
        <w:trPr>
          <w:trHeight w:val="565"/>
          <w:tblHeader/>
        </w:trPr>
        <w:tc>
          <w:tcPr>
            <w:tcW w:w="2297" w:type="dxa"/>
            <w:tcBorders>
              <w:top w:val="single" w:color="auto" w:sz="4" w:space="0"/>
              <w:left w:val="single" w:color="auto" w:sz="4" w:space="0"/>
              <w:bottom w:val="single" w:color="auto" w:sz="4" w:space="0"/>
              <w:right w:val="single" w:color="auto" w:sz="4" w:space="0"/>
            </w:tcBorders>
            <w:hideMark/>
          </w:tcPr>
          <w:p w:rsidRPr="00DF77C7" w:rsidR="005E6963" w:rsidP="00160183" w:rsidRDefault="005E6963" w14:paraId="1432670F" w14:textId="77777777">
            <w:pPr>
              <w:pStyle w:val="TableHeaderRow"/>
            </w:pPr>
            <w:r w:rsidRPr="00DF77C7">
              <w:t>Name or Role</w:t>
            </w:r>
          </w:p>
        </w:tc>
        <w:tc>
          <w:tcPr>
            <w:tcW w:w="6912" w:type="dxa"/>
            <w:tcBorders>
              <w:top w:val="single" w:color="auto" w:sz="4" w:space="0"/>
              <w:left w:val="single" w:color="auto" w:sz="4" w:space="0"/>
              <w:bottom w:val="single" w:color="auto" w:sz="4" w:space="0"/>
              <w:right w:val="single" w:color="auto" w:sz="4" w:space="0"/>
            </w:tcBorders>
            <w:hideMark/>
          </w:tcPr>
          <w:p w:rsidRPr="00DF77C7" w:rsidR="005E6963" w:rsidP="00160183" w:rsidRDefault="005E6963" w14:paraId="6CA85561" w14:textId="77777777">
            <w:pPr>
              <w:pStyle w:val="TableHeaderRow"/>
            </w:pPr>
            <w:r w:rsidRPr="00DF77C7">
              <w:t>Position</w:t>
            </w:r>
          </w:p>
        </w:tc>
      </w:tr>
      <w:tr w:rsidRPr="00DF77C7" w:rsidR="00AE42D7" w:rsidTr="00305C5A" w14:paraId="6D7832C8" w14:textId="77777777">
        <w:trPr>
          <w:trHeight w:val="544"/>
        </w:trPr>
        <w:tc>
          <w:tcPr>
            <w:tcW w:w="2297" w:type="dxa"/>
          </w:tcPr>
          <w:p w:rsidRPr="00DF59C5" w:rsidR="00AE42D7" w:rsidP="00E80132" w:rsidRDefault="00AE42D7" w14:paraId="0D33821E" w14:textId="2BC82CAB">
            <w:pPr>
              <w:pStyle w:val="Tabletext"/>
              <w:rPr>
                <w:rFonts w:eastAsia="Calibri"/>
                <w:lang w:val="en-GB"/>
              </w:rPr>
            </w:pPr>
            <w:r w:rsidRPr="00D10926">
              <w:t>Dr Cindy Farmer</w:t>
            </w:r>
          </w:p>
        </w:tc>
        <w:tc>
          <w:tcPr>
            <w:tcW w:w="6912" w:type="dxa"/>
          </w:tcPr>
          <w:p w:rsidRPr="002416AD" w:rsidR="00AE42D7" w:rsidP="00E80132" w:rsidRDefault="00AE42D7" w14:paraId="0C137020" w14:textId="2758979D">
            <w:pPr>
              <w:pStyle w:val="Tabletext"/>
              <w:rPr>
                <w:rFonts w:eastAsia="Calibri"/>
                <w:lang w:val="en-GB"/>
              </w:rPr>
            </w:pPr>
            <w:r w:rsidRPr="006F1BA1">
              <w:t>Senior Vice President, Professional Learning and Development</w:t>
            </w:r>
            <w:r>
              <w:t>, College</w:t>
            </w:r>
            <w:r w:rsidRPr="00D10926">
              <w:t xml:space="preserve"> of Sexual and Reproductive Healthcare (</w:t>
            </w:r>
            <w:r>
              <w:t>Co</w:t>
            </w:r>
            <w:r w:rsidRPr="00D10926">
              <w:t>SRH)</w:t>
            </w:r>
          </w:p>
        </w:tc>
      </w:tr>
      <w:tr w:rsidRPr="00DF77C7" w:rsidR="00AE42D7" w:rsidTr="00305C5A" w14:paraId="15A217EB" w14:textId="77777777">
        <w:trPr>
          <w:trHeight w:val="539"/>
        </w:trPr>
        <w:tc>
          <w:tcPr>
            <w:tcW w:w="2297" w:type="dxa"/>
          </w:tcPr>
          <w:p w:rsidRPr="00D10926" w:rsidR="00AE42D7" w:rsidP="00E80132" w:rsidRDefault="00AE42D7" w14:paraId="51DFDB5C" w14:textId="77777777">
            <w:pPr>
              <w:pStyle w:val="Tabletext"/>
            </w:pPr>
            <w:r w:rsidRPr="00D10926">
              <w:t>Michelle Jenkins</w:t>
            </w:r>
          </w:p>
          <w:p w:rsidRPr="00DF59C5" w:rsidR="00AE42D7" w:rsidP="00E80132" w:rsidRDefault="00AE42D7" w14:paraId="543479AC" w14:textId="0CBD367C">
            <w:pPr>
              <w:pStyle w:val="Tabletext"/>
              <w:rPr>
                <w:rFonts w:eastAsia="Calibri"/>
                <w:lang w:val="en-GB"/>
              </w:rPr>
            </w:pPr>
          </w:p>
        </w:tc>
        <w:tc>
          <w:tcPr>
            <w:tcW w:w="6912" w:type="dxa"/>
          </w:tcPr>
          <w:p w:rsidR="00FB3672" w:rsidP="00E80132" w:rsidRDefault="00AE42D7" w14:paraId="2E3495E2" w14:textId="77777777">
            <w:pPr>
              <w:pStyle w:val="Tabletext"/>
            </w:pPr>
            <w:r>
              <w:t>C</w:t>
            </w:r>
            <w:r w:rsidRPr="005E2D3D">
              <w:t xml:space="preserve">linical Nurse </w:t>
            </w:r>
            <w:r>
              <w:t>S</w:t>
            </w:r>
            <w:r w:rsidRPr="005E2D3D">
              <w:t>pecialist Sexual Health Blackpool Teaching Hospitals</w:t>
            </w:r>
            <w:r>
              <w:t xml:space="preserve">, and member of </w:t>
            </w:r>
          </w:p>
          <w:p w:rsidRPr="002416AD" w:rsidR="00AE42D7" w:rsidP="00E80132" w:rsidRDefault="00AE42D7" w14:paraId="7C2C9AF1" w14:textId="0A06493E">
            <w:pPr>
              <w:pStyle w:val="Tabletext"/>
              <w:rPr>
                <w:rFonts w:eastAsia="Calibri"/>
                <w:lang w:val="en-GB"/>
              </w:rPr>
            </w:pPr>
            <w:r w:rsidRPr="005E2D3D">
              <w:t xml:space="preserve">Courses and CPD </w:t>
            </w:r>
            <w:r>
              <w:t>C</w:t>
            </w:r>
            <w:r w:rsidRPr="005E2D3D">
              <w:t>ommittee</w:t>
            </w:r>
            <w:r>
              <w:t>, College</w:t>
            </w:r>
            <w:r w:rsidRPr="00D10926">
              <w:t xml:space="preserve"> of Sexual and Reproductive Healthcare (</w:t>
            </w:r>
            <w:r>
              <w:t>Co</w:t>
            </w:r>
            <w:r w:rsidRPr="00D10926">
              <w:t>SRH)</w:t>
            </w:r>
          </w:p>
        </w:tc>
      </w:tr>
      <w:tr w:rsidRPr="00DF77C7" w:rsidR="00AE42D7" w:rsidTr="006F45CB" w14:paraId="2441A89E" w14:textId="77777777">
        <w:trPr>
          <w:trHeight w:val="411"/>
        </w:trPr>
        <w:tc>
          <w:tcPr>
            <w:tcW w:w="2297" w:type="dxa"/>
          </w:tcPr>
          <w:p w:rsidRPr="00DF59C5" w:rsidR="00AE42D7" w:rsidP="00E80132" w:rsidRDefault="00AE42D7" w14:paraId="7F6ABB2F" w14:textId="287DD600">
            <w:pPr>
              <w:pStyle w:val="Tabletext"/>
              <w:rPr>
                <w:lang w:val="en-GB"/>
              </w:rPr>
            </w:pPr>
            <w:r w:rsidRPr="00D04FDD">
              <w:t>Vicky Garner</w:t>
            </w:r>
          </w:p>
        </w:tc>
        <w:tc>
          <w:tcPr>
            <w:tcW w:w="6912" w:type="dxa"/>
          </w:tcPr>
          <w:p w:rsidRPr="002416AD" w:rsidR="00AE42D7" w:rsidP="00E80132" w:rsidRDefault="00AE42D7" w14:paraId="3C9BFAE0" w14:textId="16233E8B">
            <w:pPr>
              <w:pStyle w:val="Tabletext"/>
              <w:rPr>
                <w:lang w:val="en-GB"/>
              </w:rPr>
            </w:pPr>
            <w:r w:rsidRPr="00D04FDD">
              <w:t>Deputy Chief Midwife</w:t>
            </w:r>
            <w:r w:rsidR="00E80132">
              <w:t xml:space="preserve"> </w:t>
            </w:r>
            <w:r w:rsidRPr="00D10926">
              <w:t>British Pregnancy Advisory Service (BPAS)</w:t>
            </w:r>
          </w:p>
        </w:tc>
      </w:tr>
      <w:tr w:rsidRPr="00DF77C7" w:rsidR="00AE42D7" w:rsidTr="002C0395" w14:paraId="0E576D53" w14:textId="77777777">
        <w:trPr>
          <w:trHeight w:val="382"/>
        </w:trPr>
        <w:tc>
          <w:tcPr>
            <w:tcW w:w="2297" w:type="dxa"/>
          </w:tcPr>
          <w:p w:rsidRPr="00DF59C5" w:rsidR="00AE42D7" w:rsidP="00E80132" w:rsidRDefault="00AE42D7" w14:paraId="05EE8281" w14:textId="5CA85123">
            <w:pPr>
              <w:pStyle w:val="Tabletext"/>
              <w:rPr>
                <w:lang w:val="en-GB"/>
              </w:rPr>
            </w:pPr>
            <w:r w:rsidRPr="00E902C3">
              <w:t>Gail Rowley</w:t>
            </w:r>
          </w:p>
        </w:tc>
        <w:tc>
          <w:tcPr>
            <w:tcW w:w="6912" w:type="dxa"/>
          </w:tcPr>
          <w:p w:rsidRPr="002416AD" w:rsidR="00AE42D7" w:rsidP="00E80132" w:rsidRDefault="00AE42D7" w14:paraId="2A113ED2" w14:textId="61231B89">
            <w:pPr>
              <w:pStyle w:val="Tabletext"/>
              <w:rPr>
                <w:lang w:val="en-GB"/>
              </w:rPr>
            </w:pPr>
            <w:r w:rsidRPr="00E902C3">
              <w:t>Quality Matron</w:t>
            </w:r>
            <w:r w:rsidR="00E80132">
              <w:t xml:space="preserve"> </w:t>
            </w:r>
            <w:r w:rsidRPr="00E902C3">
              <w:t>British Pregnancy Advisory Service (BPAS)</w:t>
            </w:r>
          </w:p>
        </w:tc>
      </w:tr>
      <w:tr w:rsidRPr="00DF77C7" w:rsidR="00AE42D7" w:rsidTr="006F45CB" w14:paraId="06658BE4" w14:textId="77777777">
        <w:trPr>
          <w:trHeight w:val="451"/>
        </w:trPr>
        <w:tc>
          <w:tcPr>
            <w:tcW w:w="2297" w:type="dxa"/>
          </w:tcPr>
          <w:p w:rsidRPr="00DF59C5" w:rsidR="00AE42D7" w:rsidP="00E80132" w:rsidRDefault="00AE42D7" w14:paraId="4B09C5EB" w14:textId="6DF07E90">
            <w:pPr>
              <w:pStyle w:val="Tabletext"/>
              <w:rPr>
                <w:lang w:val="en-GB"/>
              </w:rPr>
            </w:pPr>
            <w:r w:rsidRPr="00D10926">
              <w:t>Katie Girling</w:t>
            </w:r>
          </w:p>
        </w:tc>
        <w:tc>
          <w:tcPr>
            <w:tcW w:w="6912" w:type="dxa"/>
          </w:tcPr>
          <w:p w:rsidRPr="002416AD" w:rsidR="00AE42D7" w:rsidP="00E80132" w:rsidRDefault="00AE42D7" w14:paraId="50FAAE1F" w14:textId="74AD434F">
            <w:pPr>
              <w:pStyle w:val="Tabletext"/>
              <w:rPr>
                <w:lang w:val="en-GB"/>
              </w:rPr>
            </w:pPr>
            <w:r w:rsidRPr="00D10926">
              <w:t>British Pregnancy Advisory Service (BPAS)</w:t>
            </w:r>
          </w:p>
        </w:tc>
      </w:tr>
      <w:tr w:rsidRPr="00DF77C7" w:rsidR="00AE42D7" w:rsidTr="006F45CB" w14:paraId="3803C8B9" w14:textId="77777777">
        <w:trPr>
          <w:trHeight w:val="415"/>
        </w:trPr>
        <w:tc>
          <w:tcPr>
            <w:tcW w:w="2297" w:type="dxa"/>
          </w:tcPr>
          <w:p w:rsidRPr="00DF59C5" w:rsidR="00AE42D7" w:rsidP="00E80132" w:rsidRDefault="00AE42D7" w14:paraId="00B466E6" w14:textId="22CDD2E2">
            <w:pPr>
              <w:pStyle w:val="Tabletext"/>
              <w:rPr>
                <w:lang w:val="en-GB"/>
              </w:rPr>
            </w:pPr>
            <w:r w:rsidRPr="00D04FDD">
              <w:t>Julia Hogan</w:t>
            </w:r>
          </w:p>
        </w:tc>
        <w:tc>
          <w:tcPr>
            <w:tcW w:w="6912" w:type="dxa"/>
          </w:tcPr>
          <w:p w:rsidRPr="002416AD" w:rsidR="00AE42D7" w:rsidP="00E80132" w:rsidRDefault="00AE42D7" w14:paraId="52BB571F" w14:textId="5AE126CE">
            <w:pPr>
              <w:pStyle w:val="Tabletext"/>
              <w:rPr>
                <w:lang w:val="en-GB"/>
              </w:rPr>
            </w:pPr>
            <w:r w:rsidRPr="00D04FDD">
              <w:t>CASH Nurse Consultant MSI Reproductive Choices</w:t>
            </w:r>
          </w:p>
        </w:tc>
      </w:tr>
      <w:tr w:rsidRPr="00DF77C7" w:rsidR="00AE42D7" w:rsidTr="006F45CB" w14:paraId="2099D9F1" w14:textId="77777777">
        <w:trPr>
          <w:trHeight w:val="265"/>
        </w:trPr>
        <w:tc>
          <w:tcPr>
            <w:tcW w:w="2297" w:type="dxa"/>
          </w:tcPr>
          <w:p w:rsidRPr="00DF59C5" w:rsidR="00AE42D7" w:rsidP="00E80132" w:rsidRDefault="00AE42D7" w14:paraId="784A3A8D" w14:textId="68EAA174">
            <w:pPr>
              <w:pStyle w:val="Tabletext"/>
              <w:rPr>
                <w:lang w:val="en-GB"/>
              </w:rPr>
            </w:pPr>
            <w:r w:rsidRPr="00D04FDD">
              <w:t>Kate Devonport</w:t>
            </w:r>
          </w:p>
        </w:tc>
        <w:tc>
          <w:tcPr>
            <w:tcW w:w="6912" w:type="dxa"/>
          </w:tcPr>
          <w:p w:rsidRPr="002416AD" w:rsidR="00AE42D7" w:rsidP="00E80132" w:rsidRDefault="00AE42D7" w14:paraId="0B5D7B8A" w14:textId="2B445880">
            <w:pPr>
              <w:pStyle w:val="Tabletext"/>
              <w:rPr>
                <w:lang w:val="en-GB"/>
              </w:rPr>
            </w:pPr>
            <w:r w:rsidRPr="00D04FDD">
              <w:t>National Unplanned Pregnancy Association (NUPAS)</w:t>
            </w:r>
          </w:p>
        </w:tc>
      </w:tr>
      <w:tr w:rsidRPr="00DF77C7" w:rsidR="00AE42D7" w:rsidTr="006F45CB" w14:paraId="4C01E258" w14:textId="77777777">
        <w:trPr>
          <w:trHeight w:val="396"/>
        </w:trPr>
        <w:tc>
          <w:tcPr>
            <w:tcW w:w="2297" w:type="dxa"/>
          </w:tcPr>
          <w:p w:rsidRPr="00DF59C5" w:rsidR="00AE42D7" w:rsidP="00E80132" w:rsidRDefault="00AE42D7" w14:paraId="494AA640" w14:textId="4CECB702">
            <w:pPr>
              <w:pStyle w:val="Tabletext"/>
              <w:rPr>
                <w:rFonts w:eastAsia="Calibri"/>
                <w:szCs w:val="22"/>
                <w:lang w:val="en-GB"/>
              </w:rPr>
            </w:pPr>
            <w:r w:rsidRPr="00D10926">
              <w:t>Chetna Parmar</w:t>
            </w:r>
          </w:p>
        </w:tc>
        <w:tc>
          <w:tcPr>
            <w:tcW w:w="6912" w:type="dxa"/>
          </w:tcPr>
          <w:p w:rsidRPr="002416AD" w:rsidR="00AE42D7" w:rsidP="00E80132" w:rsidRDefault="00AE42D7" w14:paraId="4FD8CBD4" w14:textId="17136BDD">
            <w:pPr>
              <w:pStyle w:val="Tabletext"/>
              <w:rPr>
                <w:rFonts w:eastAsia="Calibri"/>
                <w:lang w:val="en-GB"/>
              </w:rPr>
            </w:pPr>
            <w:r w:rsidRPr="00D10926">
              <w:t xml:space="preserve">Pharmacist adviser Umbrella </w:t>
            </w:r>
          </w:p>
        </w:tc>
      </w:tr>
      <w:tr w:rsidRPr="00DF77C7" w:rsidR="00AE42D7" w:rsidTr="00305C5A" w14:paraId="69FDDB9F" w14:textId="77777777">
        <w:trPr>
          <w:trHeight w:val="275"/>
        </w:trPr>
        <w:tc>
          <w:tcPr>
            <w:tcW w:w="2297" w:type="dxa"/>
          </w:tcPr>
          <w:p w:rsidRPr="00DF59C5" w:rsidR="00AE42D7" w:rsidP="00E80132" w:rsidRDefault="00AE42D7" w14:paraId="7F553184" w14:textId="13ED19AA">
            <w:pPr>
              <w:pStyle w:val="Tabletext"/>
              <w:rPr>
                <w:rFonts w:eastAsia="Calibri"/>
                <w:lang w:val="en-GB"/>
              </w:rPr>
            </w:pPr>
            <w:r w:rsidRPr="00D10926">
              <w:t>Helen Donovan</w:t>
            </w:r>
          </w:p>
        </w:tc>
        <w:tc>
          <w:tcPr>
            <w:tcW w:w="6912" w:type="dxa"/>
          </w:tcPr>
          <w:p w:rsidRPr="00DF77C7" w:rsidR="00AE42D7" w:rsidP="00E80132" w:rsidRDefault="00AE42D7" w14:paraId="02599635" w14:textId="7E4A9AE8">
            <w:pPr>
              <w:pStyle w:val="Tabletext"/>
              <w:rPr>
                <w:rFonts w:eastAsia="Calibri"/>
                <w:lang w:val="en-GB"/>
              </w:rPr>
            </w:pPr>
            <w:r w:rsidRPr="00D10926">
              <w:t>Royal College of Nursing (RCN)</w:t>
            </w:r>
          </w:p>
        </w:tc>
      </w:tr>
      <w:tr w:rsidRPr="00094B2C" w:rsidR="00AE42D7" w:rsidTr="00305C5A" w14:paraId="34B78991" w14:textId="77777777">
        <w:trPr>
          <w:trHeight w:val="411"/>
        </w:trPr>
        <w:tc>
          <w:tcPr>
            <w:tcW w:w="2297" w:type="dxa"/>
          </w:tcPr>
          <w:p w:rsidRPr="00094B2C" w:rsidR="00AE42D7" w:rsidP="00E80132" w:rsidRDefault="00AE42D7" w14:paraId="7A3F63BB" w14:textId="36A82FD8">
            <w:pPr>
              <w:pStyle w:val="Tabletext"/>
              <w:rPr>
                <w:kern w:val="2"/>
              </w:rPr>
            </w:pPr>
            <w:r w:rsidRPr="00D10926">
              <w:t>Carmel Lloyd</w:t>
            </w:r>
          </w:p>
        </w:tc>
        <w:tc>
          <w:tcPr>
            <w:tcW w:w="6912" w:type="dxa"/>
          </w:tcPr>
          <w:p w:rsidRPr="00094B2C" w:rsidR="00AE42D7" w:rsidP="00E80132" w:rsidRDefault="00AE42D7" w14:paraId="6CE1FD19" w14:textId="553FD6C3">
            <w:pPr>
              <w:pStyle w:val="Tabletext"/>
              <w:rPr>
                <w:kern w:val="2"/>
              </w:rPr>
            </w:pPr>
            <w:r w:rsidRPr="00D10926">
              <w:rPr>
                <w:rFonts w:cs="Arial"/>
              </w:rPr>
              <w:t>Royal College of Midwives (RCM)</w:t>
            </w:r>
          </w:p>
        </w:tc>
      </w:tr>
      <w:tr w:rsidRPr="00DF77C7" w:rsidR="00AE42D7" w:rsidTr="00305C5A" w14:paraId="059ABF45" w14:textId="77777777">
        <w:trPr>
          <w:trHeight w:val="423"/>
        </w:trPr>
        <w:tc>
          <w:tcPr>
            <w:tcW w:w="2297" w:type="dxa"/>
          </w:tcPr>
          <w:p w:rsidRPr="00DF59C5" w:rsidR="00AE42D7" w:rsidP="00E80132" w:rsidRDefault="00AE42D7" w14:paraId="23E9CCF4" w14:textId="70EB03E2">
            <w:pPr>
              <w:pStyle w:val="Tabletext"/>
              <w:rPr>
                <w:rFonts w:eastAsia="Calibri"/>
                <w:lang w:val="en-GB"/>
              </w:rPr>
            </w:pPr>
            <w:r w:rsidRPr="00D10926">
              <w:t>Clare Livingstone</w:t>
            </w:r>
          </w:p>
        </w:tc>
        <w:tc>
          <w:tcPr>
            <w:tcW w:w="6912" w:type="dxa"/>
          </w:tcPr>
          <w:p w:rsidRPr="002416AD" w:rsidR="00AE42D7" w:rsidP="00E80132" w:rsidRDefault="00AE42D7" w14:paraId="502D7A32" w14:textId="53A4E78D">
            <w:pPr>
              <w:pStyle w:val="Tabletext"/>
              <w:rPr>
                <w:rFonts w:eastAsia="Calibri"/>
                <w:color w:val="000000"/>
                <w:lang w:val="en-GB"/>
              </w:rPr>
            </w:pPr>
            <w:r w:rsidRPr="00D10926">
              <w:rPr>
                <w:rFonts w:cs="Arial"/>
              </w:rPr>
              <w:t>Royal College of Midwives (RCM)</w:t>
            </w:r>
          </w:p>
        </w:tc>
      </w:tr>
      <w:tr w:rsidRPr="00DF77C7" w:rsidR="00AE42D7" w:rsidTr="00305C5A" w14:paraId="3652FCC6" w14:textId="77777777">
        <w:trPr>
          <w:trHeight w:val="416"/>
        </w:trPr>
        <w:tc>
          <w:tcPr>
            <w:tcW w:w="2297" w:type="dxa"/>
          </w:tcPr>
          <w:p w:rsidRPr="00DF59C5" w:rsidR="00AE42D7" w:rsidP="00E80132" w:rsidRDefault="00AE42D7" w14:paraId="1CA8641B" w14:textId="48571DD6">
            <w:pPr>
              <w:pStyle w:val="Tabletext"/>
              <w:rPr>
                <w:rFonts w:eastAsia="Calibri"/>
                <w:lang w:val="en-GB"/>
              </w:rPr>
            </w:pPr>
            <w:r w:rsidRPr="00027D57">
              <w:rPr>
                <w:rFonts w:cs="Arial"/>
              </w:rPr>
              <w:t xml:space="preserve">Kirsty Armstrong  </w:t>
            </w:r>
          </w:p>
        </w:tc>
        <w:tc>
          <w:tcPr>
            <w:tcW w:w="6912" w:type="dxa"/>
          </w:tcPr>
          <w:p w:rsidRPr="002416AD" w:rsidR="00AE42D7" w:rsidP="00E80132" w:rsidRDefault="00AE42D7" w14:paraId="290D7DC5" w14:textId="66DA3624">
            <w:pPr>
              <w:pStyle w:val="Tabletext"/>
              <w:rPr>
                <w:rFonts w:eastAsia="Calibri"/>
                <w:color w:val="000000"/>
                <w:lang w:val="en-GB"/>
              </w:rPr>
            </w:pPr>
            <w:r w:rsidRPr="00027D57">
              <w:rPr>
                <w:rFonts w:cs="Arial"/>
              </w:rPr>
              <w:t>National Pharmacy Integration Lead, NHS England</w:t>
            </w:r>
          </w:p>
        </w:tc>
      </w:tr>
      <w:tr w:rsidRPr="00DF77C7" w:rsidR="00AE42D7" w:rsidTr="00305C5A" w14:paraId="414A0873" w14:textId="77777777">
        <w:trPr>
          <w:trHeight w:val="428"/>
        </w:trPr>
        <w:tc>
          <w:tcPr>
            <w:tcW w:w="2297" w:type="dxa"/>
          </w:tcPr>
          <w:p w:rsidRPr="00DF59C5" w:rsidR="00AE42D7" w:rsidP="00E80132" w:rsidRDefault="00AE42D7" w14:paraId="69B681AE" w14:textId="4F028955">
            <w:pPr>
              <w:pStyle w:val="Tabletext"/>
              <w:rPr>
                <w:rFonts w:eastAsia="Calibri"/>
                <w:lang w:val="en-GB"/>
              </w:rPr>
            </w:pPr>
            <w:r w:rsidRPr="00D10926">
              <w:t>Dipti Patel</w:t>
            </w:r>
          </w:p>
        </w:tc>
        <w:tc>
          <w:tcPr>
            <w:tcW w:w="6912" w:type="dxa"/>
          </w:tcPr>
          <w:p w:rsidRPr="002416AD" w:rsidR="00AE42D7" w:rsidP="00E80132" w:rsidRDefault="00AE42D7" w14:paraId="1999EDF1" w14:textId="5D0308B9">
            <w:pPr>
              <w:pStyle w:val="Tabletext"/>
              <w:rPr>
                <w:rFonts w:eastAsia="Calibri"/>
                <w:color w:val="000000"/>
                <w:lang w:val="en-GB"/>
              </w:rPr>
            </w:pPr>
            <w:r w:rsidRPr="00D10926">
              <w:t xml:space="preserve">Local authority pharmacist </w:t>
            </w:r>
          </w:p>
        </w:tc>
      </w:tr>
      <w:tr w:rsidRPr="00DF77C7" w:rsidR="00AE42D7" w:rsidTr="00FB3672" w14:paraId="5E900ADD" w14:textId="77777777">
        <w:trPr>
          <w:trHeight w:val="314"/>
        </w:trPr>
        <w:tc>
          <w:tcPr>
            <w:tcW w:w="2297" w:type="dxa"/>
          </w:tcPr>
          <w:p w:rsidRPr="00900916" w:rsidR="00AE42D7" w:rsidP="00E80132" w:rsidRDefault="00AE42D7" w14:paraId="59BBE64E" w14:textId="58729246">
            <w:pPr>
              <w:pStyle w:val="Tabletext"/>
            </w:pPr>
            <w:r w:rsidRPr="00D10926">
              <w:t>Emma Anderson</w:t>
            </w:r>
          </w:p>
        </w:tc>
        <w:tc>
          <w:tcPr>
            <w:tcW w:w="6912" w:type="dxa"/>
          </w:tcPr>
          <w:p w:rsidRPr="00900916" w:rsidR="00AE42D7" w:rsidP="00E80132" w:rsidRDefault="00AE42D7" w14:paraId="187F1687" w14:textId="5FC73F66">
            <w:pPr>
              <w:pStyle w:val="Tabletext"/>
            </w:pPr>
            <w:r w:rsidRPr="00D10926">
              <w:t>Centre for Postgraduate Pharmacy Education (CPPE)</w:t>
            </w:r>
          </w:p>
        </w:tc>
      </w:tr>
      <w:tr w:rsidRPr="00DF77C7" w:rsidR="00AE42D7" w:rsidTr="00FB3672" w14:paraId="4326BD98" w14:textId="77777777">
        <w:trPr>
          <w:trHeight w:val="440"/>
        </w:trPr>
        <w:tc>
          <w:tcPr>
            <w:tcW w:w="2297" w:type="dxa"/>
            <w:vAlign w:val="center"/>
          </w:tcPr>
          <w:p w:rsidRPr="00900916" w:rsidR="00AE42D7" w:rsidP="00FB3672" w:rsidRDefault="00AE42D7" w14:paraId="67B8E010" w14:textId="53194664">
            <w:pPr>
              <w:pStyle w:val="Tabletext"/>
            </w:pPr>
            <w:r w:rsidRPr="00D10926">
              <w:t>Dr Sarah Pillai</w:t>
            </w:r>
          </w:p>
        </w:tc>
        <w:tc>
          <w:tcPr>
            <w:tcW w:w="6912" w:type="dxa"/>
            <w:vAlign w:val="center"/>
          </w:tcPr>
          <w:p w:rsidRPr="00900916" w:rsidR="00AE42D7" w:rsidP="00FB3672" w:rsidRDefault="00AE42D7" w14:paraId="3A78B0E3" w14:textId="38B908F0">
            <w:pPr>
              <w:pStyle w:val="Tabletext"/>
            </w:pPr>
            <w:r w:rsidRPr="00E82E1E">
              <w:rPr>
                <w:rFonts w:cs="Arial"/>
              </w:rPr>
              <w:t>Associate Specialist</w:t>
            </w:r>
          </w:p>
        </w:tc>
      </w:tr>
      <w:tr w:rsidRPr="00DF77C7" w:rsidR="00AE42D7" w:rsidTr="00FB3672" w14:paraId="7930DA4A" w14:textId="77777777">
        <w:trPr>
          <w:trHeight w:val="411"/>
        </w:trPr>
        <w:tc>
          <w:tcPr>
            <w:tcW w:w="2297" w:type="dxa"/>
          </w:tcPr>
          <w:p w:rsidRPr="00900916" w:rsidR="00AE42D7" w:rsidP="00E80132" w:rsidRDefault="00AE42D7" w14:paraId="0AA396E4" w14:textId="575DEEF2">
            <w:pPr>
              <w:pStyle w:val="Tabletext"/>
            </w:pPr>
            <w:r w:rsidRPr="00D10926">
              <w:t>Alison Crompton</w:t>
            </w:r>
          </w:p>
        </w:tc>
        <w:tc>
          <w:tcPr>
            <w:tcW w:w="6912" w:type="dxa"/>
            <w:vAlign w:val="center"/>
          </w:tcPr>
          <w:p w:rsidRPr="00900916" w:rsidR="00AE42D7" w:rsidP="00E80132" w:rsidRDefault="00AE42D7" w14:paraId="40E05530" w14:textId="4C51A76D">
            <w:pPr>
              <w:pStyle w:val="Tabletext"/>
            </w:pPr>
            <w:r w:rsidRPr="00D10926">
              <w:rPr>
                <w:rFonts w:cs="Arial"/>
              </w:rPr>
              <w:t>Community pharmacist</w:t>
            </w:r>
          </w:p>
        </w:tc>
      </w:tr>
      <w:tr w:rsidRPr="00DF77C7" w:rsidR="00AE42D7" w:rsidTr="00FB3672" w14:paraId="49B5EFB4" w14:textId="77777777">
        <w:trPr>
          <w:trHeight w:val="411"/>
        </w:trPr>
        <w:tc>
          <w:tcPr>
            <w:tcW w:w="2297" w:type="dxa"/>
          </w:tcPr>
          <w:p w:rsidRPr="00900916" w:rsidR="00AE42D7" w:rsidP="00E80132" w:rsidRDefault="00AE42D7" w14:paraId="4B1C6E55" w14:textId="1A910466">
            <w:pPr>
              <w:pStyle w:val="Tabletext"/>
            </w:pPr>
            <w:r w:rsidRPr="00D10926">
              <w:t>Andrea Smith</w:t>
            </w:r>
          </w:p>
        </w:tc>
        <w:tc>
          <w:tcPr>
            <w:tcW w:w="6912" w:type="dxa"/>
          </w:tcPr>
          <w:p w:rsidRPr="00900916" w:rsidR="00AE42D7" w:rsidP="00E80132" w:rsidRDefault="00AE42D7" w14:paraId="1CC19676" w14:textId="0818AE51">
            <w:pPr>
              <w:pStyle w:val="Tabletext"/>
            </w:pPr>
            <w:r w:rsidRPr="00D10926">
              <w:t>Community pharmacist</w:t>
            </w:r>
          </w:p>
        </w:tc>
      </w:tr>
      <w:tr w:rsidRPr="00DF77C7" w:rsidR="00AE42D7" w:rsidTr="00FB3672" w14:paraId="4BBC8418" w14:textId="77777777">
        <w:trPr>
          <w:trHeight w:val="417"/>
        </w:trPr>
        <w:tc>
          <w:tcPr>
            <w:tcW w:w="2297" w:type="dxa"/>
          </w:tcPr>
          <w:p w:rsidRPr="00900916" w:rsidR="00AE42D7" w:rsidP="00E80132" w:rsidRDefault="00AE42D7" w14:paraId="4890CA3D" w14:textId="09BB80FD">
            <w:pPr>
              <w:pStyle w:val="Tabletext"/>
            </w:pPr>
            <w:r w:rsidRPr="00D10926">
              <w:t>Lisa Knight</w:t>
            </w:r>
          </w:p>
        </w:tc>
        <w:tc>
          <w:tcPr>
            <w:tcW w:w="6912" w:type="dxa"/>
          </w:tcPr>
          <w:p w:rsidRPr="00900916" w:rsidR="00AE42D7" w:rsidP="00E80132" w:rsidRDefault="00AE42D7" w14:paraId="75AB67DD" w14:textId="128CA4BE">
            <w:pPr>
              <w:pStyle w:val="Tabletext"/>
            </w:pPr>
            <w:r w:rsidRPr="00D10926">
              <w:t xml:space="preserve">Community Health Services pharmacist </w:t>
            </w:r>
          </w:p>
        </w:tc>
      </w:tr>
      <w:tr w:rsidRPr="00DF77C7" w:rsidR="00AE42D7" w:rsidTr="00FB3672" w14:paraId="27791A30" w14:textId="77777777">
        <w:trPr>
          <w:trHeight w:val="408"/>
        </w:trPr>
        <w:tc>
          <w:tcPr>
            <w:tcW w:w="2297" w:type="dxa"/>
          </w:tcPr>
          <w:p w:rsidRPr="00900916" w:rsidR="00AE42D7" w:rsidP="00E80132" w:rsidRDefault="00AE42D7" w14:paraId="049E1089" w14:textId="22418D25">
            <w:pPr>
              <w:pStyle w:val="Tabletext"/>
            </w:pPr>
            <w:r w:rsidRPr="00D10926">
              <w:t>Bola Sotubo</w:t>
            </w:r>
          </w:p>
        </w:tc>
        <w:tc>
          <w:tcPr>
            <w:tcW w:w="6912" w:type="dxa"/>
          </w:tcPr>
          <w:p w:rsidRPr="00900916" w:rsidR="00AE42D7" w:rsidP="00E80132" w:rsidRDefault="00AE42D7" w14:paraId="3EED0F84" w14:textId="25FC685E">
            <w:pPr>
              <w:pStyle w:val="Tabletext"/>
            </w:pPr>
            <w:r w:rsidRPr="00D04FDD">
              <w:rPr>
                <w:rFonts w:cs="Arial"/>
              </w:rPr>
              <w:t xml:space="preserve">NHS </w:t>
            </w:r>
            <w:proofErr w:type="gramStart"/>
            <w:r w:rsidRPr="00D04FDD">
              <w:rPr>
                <w:rFonts w:cs="Arial"/>
              </w:rPr>
              <w:t>North East</w:t>
            </w:r>
            <w:proofErr w:type="gramEnd"/>
            <w:r w:rsidRPr="00D04FDD">
              <w:rPr>
                <w:rFonts w:cs="Arial"/>
              </w:rPr>
              <w:t xml:space="preserve"> London ICB pharmacist</w:t>
            </w:r>
          </w:p>
        </w:tc>
      </w:tr>
      <w:tr w:rsidRPr="00DF77C7" w:rsidR="00AE42D7" w:rsidTr="00E80132" w14:paraId="08E1DF69" w14:textId="77777777">
        <w:trPr>
          <w:trHeight w:val="429"/>
        </w:trPr>
        <w:tc>
          <w:tcPr>
            <w:tcW w:w="2297" w:type="dxa"/>
          </w:tcPr>
          <w:p w:rsidRPr="00FB4AF2" w:rsidR="00AE42D7" w:rsidP="00E80132" w:rsidRDefault="00AE42D7" w14:paraId="17DB28D7" w14:textId="376B3695">
            <w:pPr>
              <w:pStyle w:val="Tabletext"/>
            </w:pPr>
            <w:r w:rsidRPr="00D10926">
              <w:t>Tracy Rogers</w:t>
            </w:r>
          </w:p>
        </w:tc>
        <w:tc>
          <w:tcPr>
            <w:tcW w:w="6912" w:type="dxa"/>
          </w:tcPr>
          <w:p w:rsidRPr="00FB4AF2" w:rsidR="00AE42D7" w:rsidP="00E80132" w:rsidRDefault="00AE42D7" w14:paraId="4DBA8DE1" w14:textId="23A17B8B">
            <w:pPr>
              <w:pStyle w:val="Tabletext"/>
            </w:pPr>
            <w:r>
              <w:t>D</w:t>
            </w:r>
            <w:r w:rsidRPr="00D10926">
              <w:t>irector</w:t>
            </w:r>
            <w:r>
              <w:t xml:space="preserve">, Medicines Use and Safety, </w:t>
            </w:r>
            <w:r w:rsidRPr="00D10926">
              <w:t xml:space="preserve">Specialist Pharmacy Service </w:t>
            </w:r>
          </w:p>
        </w:tc>
      </w:tr>
      <w:tr w:rsidRPr="00DF77C7" w:rsidR="00E80132" w:rsidTr="00FB3672" w14:paraId="34A3EFCA" w14:textId="77777777">
        <w:trPr>
          <w:trHeight w:val="406"/>
        </w:trPr>
        <w:tc>
          <w:tcPr>
            <w:tcW w:w="2297" w:type="dxa"/>
          </w:tcPr>
          <w:p w:rsidRPr="00D10926" w:rsidR="00E80132" w:rsidP="00E80132" w:rsidRDefault="00E80132" w14:paraId="5E4EF26E" w14:textId="0E1722B3">
            <w:pPr>
              <w:pStyle w:val="Tabletext"/>
            </w:pPr>
            <w:r w:rsidRPr="00D10926">
              <w:t xml:space="preserve">Sandra Wolper </w:t>
            </w:r>
          </w:p>
        </w:tc>
        <w:tc>
          <w:tcPr>
            <w:tcW w:w="6912" w:type="dxa"/>
          </w:tcPr>
          <w:p w:rsidR="00E80132" w:rsidP="00E80132" w:rsidRDefault="00E80132" w14:paraId="15B750D0" w14:textId="289ADB69">
            <w:pPr>
              <w:pStyle w:val="Tabletext"/>
            </w:pPr>
            <w:r w:rsidRPr="00D10926">
              <w:t>Associate Director Specialist Pharmacy Service</w:t>
            </w:r>
          </w:p>
        </w:tc>
      </w:tr>
      <w:tr w:rsidRPr="00DF77C7" w:rsidR="00E80132" w:rsidTr="00FB3672" w14:paraId="13D506C9" w14:textId="77777777">
        <w:trPr>
          <w:trHeight w:val="554"/>
        </w:trPr>
        <w:tc>
          <w:tcPr>
            <w:tcW w:w="2297" w:type="dxa"/>
          </w:tcPr>
          <w:p w:rsidRPr="00D10926" w:rsidR="00E80132" w:rsidP="00E80132" w:rsidRDefault="00E80132" w14:paraId="02F32273" w14:textId="1321CCAB">
            <w:pPr>
              <w:pStyle w:val="Tabletext"/>
            </w:pPr>
            <w:r w:rsidRPr="00D10926">
              <w:t xml:space="preserve">Jo Jenkins </w:t>
            </w:r>
          </w:p>
        </w:tc>
        <w:tc>
          <w:tcPr>
            <w:tcW w:w="6912" w:type="dxa"/>
          </w:tcPr>
          <w:p w:rsidR="00E80132" w:rsidP="00E80132" w:rsidRDefault="00E80132" w14:paraId="447D3E8A" w14:textId="49B8EE98">
            <w:pPr>
              <w:pStyle w:val="Tabletext"/>
            </w:pPr>
            <w:r>
              <w:t xml:space="preserve">Lead </w:t>
            </w:r>
            <w:r w:rsidRPr="00D10926">
              <w:t xml:space="preserve">Pharmacist PGDs </w:t>
            </w:r>
            <w:r>
              <w:t xml:space="preserve">and Medicine Mechanisms </w:t>
            </w:r>
            <w:r w:rsidRPr="00D10926">
              <w:t>Specialist Pharmacy Service</w:t>
            </w:r>
          </w:p>
        </w:tc>
      </w:tr>
      <w:tr w:rsidRPr="00DF77C7" w:rsidR="00E80132" w:rsidTr="00AC262A" w14:paraId="184C4283" w14:textId="77777777">
        <w:trPr>
          <w:trHeight w:val="665"/>
        </w:trPr>
        <w:tc>
          <w:tcPr>
            <w:tcW w:w="2297" w:type="dxa"/>
          </w:tcPr>
          <w:p w:rsidRPr="00D10926" w:rsidR="00E80132" w:rsidP="00E80132" w:rsidRDefault="00E80132" w14:paraId="054E40B6" w14:textId="474085FA">
            <w:pPr>
              <w:pStyle w:val="Tabletext"/>
            </w:pPr>
            <w:r>
              <w:t>Rosie Furner (Working Group Co-Ordinator)</w:t>
            </w:r>
          </w:p>
        </w:tc>
        <w:tc>
          <w:tcPr>
            <w:tcW w:w="6912" w:type="dxa"/>
          </w:tcPr>
          <w:p w:rsidR="00E80132" w:rsidP="00E80132" w:rsidRDefault="00E80132" w14:paraId="26154030" w14:textId="7DBED044">
            <w:pPr>
              <w:pStyle w:val="Tabletext"/>
            </w:pPr>
            <w:r w:rsidRPr="00E80132">
              <w:rPr>
                <w:lang w:val="en-GB"/>
              </w:rPr>
              <w:t>Advanced Specialist Pharmacist PGDs and Medicine Mechanisms, Specialist Pharmacy Service</w:t>
            </w:r>
          </w:p>
        </w:tc>
      </w:tr>
    </w:tbl>
    <w:p w:rsidRPr="00ED232C" w:rsidR="0059738E" w:rsidP="00ED232C" w:rsidRDefault="00FC4AA5" w14:paraId="5D513D47" w14:textId="77777777">
      <w:pPr>
        <w:pStyle w:val="PGDNormal"/>
        <w:rPr>
          <w:highlight w:val="yellow"/>
        </w:rPr>
      </w:pPr>
      <w:r w:rsidRPr="00ED232C">
        <w:rPr>
          <w:highlight w:val="yellow"/>
        </w:rPr>
        <w:br w:type="page"/>
      </w:r>
    </w:p>
    <w:p w:rsidRPr="00DF77C7" w:rsidR="00813399" w:rsidP="008762B8" w:rsidRDefault="005E6491" w14:paraId="10A8B552" w14:textId="08D1D5D2">
      <w:pPr>
        <w:pStyle w:val="PGDNormal"/>
        <w:rPr>
          <w:lang w:val="en-GB"/>
        </w:rPr>
      </w:pPr>
      <w:r>
        <w:rPr>
          <w:highlight w:val="yellow"/>
          <w:lang w:val="en-GB"/>
        </w:rPr>
        <w:t>[[</w:t>
      </w:r>
      <w:r w:rsidRPr="00DF77C7" w:rsidR="00813399">
        <w:rPr>
          <w:highlight w:val="yellow"/>
          <w:lang w:val="en-GB"/>
        </w:rPr>
        <w:t>The PGD template is not legally valid until it has had the relevant organisational approval.  See below.</w:t>
      </w:r>
      <w:r>
        <w:rPr>
          <w:lang w:val="en-GB"/>
        </w:rPr>
        <w:t>]]</w:t>
      </w:r>
    </w:p>
    <w:p w:rsidRPr="00DF77C7" w:rsidR="00813399" w:rsidP="00B65003" w:rsidRDefault="00B65003" w14:paraId="580C0EA3" w14:textId="18313674">
      <w:pPr>
        <w:pStyle w:val="Heading1"/>
        <w:rPr>
          <w:highlight w:val="yellow"/>
        </w:rPr>
      </w:pPr>
      <w:r w:rsidRPr="00DF77C7">
        <w:t xml:space="preserve">Organisational authorisations </w:t>
      </w:r>
      <w:r w:rsidR="005E6491">
        <w:t>[[</w:t>
      </w:r>
      <w:r w:rsidRPr="00DF77C7">
        <w:rPr>
          <w:highlight w:val="yellow"/>
        </w:rPr>
        <w:t>and other legal requirements</w:t>
      </w:r>
      <w:r w:rsidR="005E6491">
        <w:rPr>
          <w:highlight w:val="yellow"/>
        </w:rPr>
        <w:t>]]</w:t>
      </w:r>
    </w:p>
    <w:p w:rsidRPr="00DF77C7" w:rsidR="00813399" w:rsidP="008762B8" w:rsidRDefault="005E6491" w14:paraId="7D746B46" w14:textId="0C6EE685">
      <w:pPr>
        <w:pStyle w:val="PGDNormal"/>
        <w:rPr>
          <w:highlight w:val="yellow"/>
          <w:lang w:val="en-GB"/>
        </w:rPr>
      </w:pPr>
      <w:r>
        <w:rPr>
          <w:highlight w:val="yellow"/>
          <w:lang w:val="en-GB"/>
        </w:rPr>
        <w:t>[[</w:t>
      </w:r>
      <w:r w:rsidRPr="00DF77C7" w:rsidR="00813399">
        <w:rPr>
          <w:highlight w:val="yellow"/>
          <w:lang w:val="en-GB"/>
        </w:rPr>
        <w:t>This page may be deleted if replaced with a format agreed according to local PGD policy with relevant approvals and authorisation.</w:t>
      </w:r>
    </w:p>
    <w:p w:rsidRPr="00DF77C7" w:rsidR="00813399" w:rsidP="008762B8" w:rsidRDefault="00813399" w14:paraId="39BC0C7D" w14:textId="1BB42587">
      <w:pPr>
        <w:pStyle w:val="PGDNormal"/>
        <w:rPr>
          <w:highlight w:val="yellow"/>
          <w:lang w:val="en-GB"/>
        </w:rPr>
      </w:pPr>
      <w:r w:rsidRPr="00DF77C7">
        <w:rPr>
          <w:highlight w:val="yellow"/>
          <w:lang w:val="en-GB"/>
        </w:rPr>
        <w:t>The PGD is not legally valid until it has had the relevant organisational authorisations.</w:t>
      </w:r>
    </w:p>
    <w:p w:rsidRPr="00DF77C7" w:rsidR="00813399" w:rsidP="008762B8" w:rsidRDefault="00813399" w14:paraId="7E37FB70" w14:textId="09849F2A">
      <w:pPr>
        <w:pStyle w:val="PGDNormal"/>
        <w:rPr>
          <w:lang w:val="en-GB"/>
        </w:rPr>
      </w:pPr>
      <w:r w:rsidRPr="00DF77C7">
        <w:rPr>
          <w:highlight w:val="yellow"/>
          <w:lang w:val="en-GB"/>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w:history="1" r:id="rId12">
        <w:r w:rsidRPr="00DF77C7">
          <w:rPr>
            <w:rStyle w:val="Hyperlink"/>
            <w:highlight w:val="yellow"/>
            <w:lang w:val="en-GB"/>
          </w:rPr>
          <w:t>NICE MPG2 PGD 2017</w:t>
        </w:r>
      </w:hyperlink>
      <w:r w:rsidRPr="00DF77C7">
        <w:rPr>
          <w:highlight w:val="yellow"/>
          <w:lang w:val="en-GB"/>
        </w:rPr>
        <w:t>.</w:t>
      </w:r>
      <w:r w:rsidR="005E6491">
        <w:rPr>
          <w:lang w:val="en-GB"/>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Caption w:val="PGD authorisation"/>
        <w:tblDescription w:val="This table allows input of the authorised signatories of the PGD as required by the Human Medicines Regulations 2012.  It includes columns for the name of the person authorising, their job title and organsiation, signature and the date signed. It also contains a link to the NICE PGD guidance which lists the authorising bodies included in the legislation."/>
      </w:tblPr>
      <w:tblGrid>
        <w:gridCol w:w="3133"/>
        <w:gridCol w:w="2753"/>
        <w:gridCol w:w="1535"/>
        <w:gridCol w:w="1074"/>
      </w:tblGrid>
      <w:tr w:rsidRPr="00DF77C7" w:rsidR="00813399" w:rsidTr="00F224C7" w14:paraId="39D55B3E" w14:textId="77777777">
        <w:trPr>
          <w:tblHeader/>
        </w:trPr>
        <w:tc>
          <w:tcPr>
            <w:tcW w:w="3133" w:type="dxa"/>
            <w:tcBorders>
              <w:top w:val="single" w:color="auto" w:sz="4" w:space="0"/>
              <w:left w:val="single" w:color="auto" w:sz="4" w:space="0"/>
              <w:bottom w:val="single" w:color="auto" w:sz="4" w:space="0"/>
              <w:right w:val="single" w:color="auto" w:sz="4" w:space="0"/>
            </w:tcBorders>
          </w:tcPr>
          <w:p w:rsidRPr="00DF77C7" w:rsidR="00813399" w:rsidP="00A32FA7" w:rsidRDefault="00813399" w14:paraId="11057968" w14:textId="77777777">
            <w:pPr>
              <w:pStyle w:val="TableHeaderRow"/>
            </w:pPr>
            <w:r w:rsidRPr="00DF77C7">
              <w:t xml:space="preserve">Name </w:t>
            </w:r>
          </w:p>
        </w:tc>
        <w:tc>
          <w:tcPr>
            <w:tcW w:w="2753" w:type="dxa"/>
            <w:tcBorders>
              <w:top w:val="single" w:color="auto" w:sz="4" w:space="0"/>
              <w:left w:val="single" w:color="auto" w:sz="4" w:space="0"/>
              <w:bottom w:val="single" w:color="auto" w:sz="4" w:space="0"/>
              <w:right w:val="single" w:color="auto" w:sz="4" w:space="0"/>
            </w:tcBorders>
          </w:tcPr>
          <w:p w:rsidRPr="00DF77C7" w:rsidR="00813399" w:rsidP="00A32FA7" w:rsidRDefault="00813399" w14:paraId="1A0F4D2C" w14:textId="77777777">
            <w:pPr>
              <w:pStyle w:val="TableHeaderRow"/>
            </w:pPr>
            <w:r w:rsidRPr="00DF77C7">
              <w:t xml:space="preserve">Job title and organisation </w:t>
            </w:r>
          </w:p>
        </w:tc>
        <w:tc>
          <w:tcPr>
            <w:tcW w:w="1535" w:type="dxa"/>
            <w:tcBorders>
              <w:top w:val="single" w:color="auto" w:sz="4" w:space="0"/>
              <w:left w:val="single" w:color="auto" w:sz="4" w:space="0"/>
              <w:bottom w:val="single" w:color="auto" w:sz="4" w:space="0"/>
              <w:right w:val="single" w:color="auto" w:sz="4" w:space="0"/>
            </w:tcBorders>
          </w:tcPr>
          <w:p w:rsidRPr="00DF77C7" w:rsidR="00813399" w:rsidP="00A32FA7" w:rsidRDefault="00813399" w14:paraId="581041E9" w14:textId="77777777">
            <w:pPr>
              <w:pStyle w:val="TableHeaderRow"/>
            </w:pPr>
            <w:r w:rsidRPr="00DF77C7">
              <w:t>Signature</w:t>
            </w:r>
          </w:p>
        </w:tc>
        <w:tc>
          <w:tcPr>
            <w:tcW w:w="1074" w:type="dxa"/>
            <w:tcBorders>
              <w:top w:val="single" w:color="auto" w:sz="4" w:space="0"/>
              <w:left w:val="single" w:color="auto" w:sz="4" w:space="0"/>
              <w:bottom w:val="single" w:color="auto" w:sz="4" w:space="0"/>
              <w:right w:val="single" w:color="auto" w:sz="4" w:space="0"/>
            </w:tcBorders>
          </w:tcPr>
          <w:p w:rsidRPr="00DF77C7" w:rsidR="00813399" w:rsidP="00A32FA7" w:rsidRDefault="00813399" w14:paraId="02BD78F1" w14:textId="77777777">
            <w:pPr>
              <w:pStyle w:val="TableHeaderRow"/>
            </w:pPr>
            <w:r w:rsidRPr="00DF77C7">
              <w:t>Date</w:t>
            </w:r>
          </w:p>
        </w:tc>
      </w:tr>
      <w:tr w:rsidRPr="00DF77C7" w:rsidR="00813399" w:rsidTr="00A32FA7" w14:paraId="35D56BF3" w14:textId="77777777">
        <w:tc>
          <w:tcPr>
            <w:tcW w:w="3133" w:type="dxa"/>
            <w:tcBorders>
              <w:top w:val="single" w:color="auto" w:sz="4" w:space="0"/>
              <w:left w:val="single" w:color="auto" w:sz="4" w:space="0"/>
              <w:bottom w:val="single" w:color="auto" w:sz="4" w:space="0"/>
              <w:right w:val="single" w:color="auto" w:sz="4" w:space="0"/>
            </w:tcBorders>
          </w:tcPr>
          <w:p w:rsidRPr="00872410" w:rsidR="00813399" w:rsidP="00B65003" w:rsidRDefault="00813399" w14:paraId="491A1B03" w14:textId="77777777">
            <w:pPr>
              <w:rPr>
                <w:rStyle w:val="TableHeaderColumn"/>
              </w:rPr>
            </w:pPr>
            <w:r w:rsidRPr="00872410">
              <w:rPr>
                <w:rStyle w:val="TableHeaderColumn"/>
              </w:rPr>
              <w:t xml:space="preserve">Senior doctor </w:t>
            </w:r>
          </w:p>
        </w:tc>
        <w:tc>
          <w:tcPr>
            <w:tcW w:w="2753"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098B297F" w14:textId="77777777">
            <w:pPr>
              <w:pStyle w:val="Tabletext"/>
              <w:rPr>
                <w:lang w:val="en-GB"/>
              </w:rPr>
            </w:pPr>
          </w:p>
        </w:tc>
        <w:tc>
          <w:tcPr>
            <w:tcW w:w="1535"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3AC393BA" w14:textId="77777777">
            <w:pPr>
              <w:pStyle w:val="Tabletext"/>
              <w:rPr>
                <w:lang w:val="en-GB"/>
              </w:rPr>
            </w:pPr>
          </w:p>
        </w:tc>
        <w:tc>
          <w:tcPr>
            <w:tcW w:w="1074"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7C070EF3" w14:textId="77777777">
            <w:pPr>
              <w:pStyle w:val="Tabletext"/>
              <w:rPr>
                <w:lang w:val="en-GB"/>
              </w:rPr>
            </w:pPr>
          </w:p>
        </w:tc>
      </w:tr>
      <w:tr w:rsidRPr="00DF77C7" w:rsidR="00813399" w:rsidTr="00A32FA7" w14:paraId="162855C1" w14:textId="77777777">
        <w:tc>
          <w:tcPr>
            <w:tcW w:w="3133" w:type="dxa"/>
            <w:tcBorders>
              <w:top w:val="single" w:color="auto" w:sz="4" w:space="0"/>
              <w:left w:val="single" w:color="auto" w:sz="4" w:space="0"/>
              <w:bottom w:val="single" w:color="auto" w:sz="4" w:space="0"/>
              <w:right w:val="single" w:color="auto" w:sz="4" w:space="0"/>
            </w:tcBorders>
          </w:tcPr>
          <w:p w:rsidRPr="00872410" w:rsidR="00813399" w:rsidP="00B65003" w:rsidRDefault="00813399" w14:paraId="579B23DD" w14:textId="77777777">
            <w:pPr>
              <w:rPr>
                <w:rStyle w:val="TableHeaderColumn"/>
              </w:rPr>
            </w:pPr>
            <w:r w:rsidRPr="00872410">
              <w:rPr>
                <w:rStyle w:val="TableHeaderColumn"/>
              </w:rPr>
              <w:t>Senior pharmacist</w:t>
            </w:r>
          </w:p>
        </w:tc>
        <w:tc>
          <w:tcPr>
            <w:tcW w:w="2753"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75BBC646" w14:textId="77777777">
            <w:pPr>
              <w:pStyle w:val="Tabletext"/>
              <w:rPr>
                <w:lang w:val="en-GB"/>
              </w:rPr>
            </w:pPr>
          </w:p>
        </w:tc>
        <w:tc>
          <w:tcPr>
            <w:tcW w:w="1535"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3FB26856" w14:textId="77777777">
            <w:pPr>
              <w:pStyle w:val="Tabletext"/>
              <w:rPr>
                <w:lang w:val="en-GB"/>
              </w:rPr>
            </w:pPr>
          </w:p>
        </w:tc>
        <w:tc>
          <w:tcPr>
            <w:tcW w:w="1074"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3A597D4A" w14:textId="77777777">
            <w:pPr>
              <w:pStyle w:val="Tabletext"/>
              <w:rPr>
                <w:lang w:val="en-GB"/>
              </w:rPr>
            </w:pPr>
          </w:p>
        </w:tc>
      </w:tr>
      <w:tr w:rsidRPr="00DF77C7" w:rsidR="00813399" w:rsidTr="00A32FA7" w14:paraId="7A2D073B" w14:textId="77777777">
        <w:tc>
          <w:tcPr>
            <w:tcW w:w="3133" w:type="dxa"/>
            <w:tcBorders>
              <w:top w:val="single" w:color="auto" w:sz="4" w:space="0"/>
              <w:left w:val="single" w:color="auto" w:sz="4" w:space="0"/>
              <w:bottom w:val="single" w:color="auto" w:sz="4" w:space="0"/>
              <w:right w:val="single" w:color="auto" w:sz="4" w:space="0"/>
            </w:tcBorders>
          </w:tcPr>
          <w:p w:rsidRPr="00872410" w:rsidR="00813399" w:rsidP="00B65003" w:rsidRDefault="00813399" w14:paraId="246E86BC" w14:textId="77777777">
            <w:pPr>
              <w:rPr>
                <w:rStyle w:val="TableHeaderColumn"/>
              </w:rPr>
            </w:pPr>
            <w:r w:rsidRPr="00872410">
              <w:rPr>
                <w:rStyle w:val="TableHeaderColumn"/>
              </w:rPr>
              <w:t xml:space="preserve">Senior representative of professional group using the PGD </w:t>
            </w:r>
          </w:p>
        </w:tc>
        <w:tc>
          <w:tcPr>
            <w:tcW w:w="2753"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3F33A7EC" w14:textId="77777777">
            <w:pPr>
              <w:pStyle w:val="Tabletext"/>
              <w:rPr>
                <w:lang w:val="en-GB"/>
              </w:rPr>
            </w:pPr>
          </w:p>
        </w:tc>
        <w:tc>
          <w:tcPr>
            <w:tcW w:w="1535"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3BBDE978" w14:textId="77777777">
            <w:pPr>
              <w:pStyle w:val="Tabletext"/>
              <w:rPr>
                <w:lang w:val="en-GB"/>
              </w:rPr>
            </w:pPr>
          </w:p>
        </w:tc>
        <w:tc>
          <w:tcPr>
            <w:tcW w:w="1074"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7FB2672C" w14:textId="77777777">
            <w:pPr>
              <w:pStyle w:val="Tabletext"/>
              <w:rPr>
                <w:lang w:val="en-GB"/>
              </w:rPr>
            </w:pPr>
          </w:p>
        </w:tc>
      </w:tr>
      <w:tr w:rsidRPr="00DF77C7" w:rsidR="00813399" w:rsidTr="00A32FA7" w14:paraId="317E6CF7" w14:textId="77777777">
        <w:tc>
          <w:tcPr>
            <w:tcW w:w="3133" w:type="dxa"/>
            <w:tcBorders>
              <w:top w:val="single" w:color="auto" w:sz="4" w:space="0"/>
              <w:left w:val="single" w:color="auto" w:sz="4" w:space="0"/>
              <w:bottom w:val="single" w:color="auto" w:sz="4" w:space="0"/>
              <w:right w:val="single" w:color="auto" w:sz="4" w:space="0"/>
            </w:tcBorders>
          </w:tcPr>
          <w:p w:rsidRPr="00872410" w:rsidR="00813399" w:rsidP="00B65003" w:rsidRDefault="00813399" w14:paraId="2C7B5334" w14:textId="2D01FB95">
            <w:pPr>
              <w:rPr>
                <w:rStyle w:val="TableHeaderColumn"/>
              </w:rPr>
            </w:pPr>
            <w:r w:rsidRPr="00872410">
              <w:rPr>
                <w:rStyle w:val="TableHeaderColumn"/>
              </w:rPr>
              <w:t xml:space="preserve">Person signing on behalf of </w:t>
            </w:r>
            <w:r w:rsidR="009E38CA">
              <w:rPr>
                <w:rStyle w:val="TableHeaderColumn"/>
              </w:rPr>
              <w:t xml:space="preserve">the </w:t>
            </w:r>
            <w:hyperlink w:history="1" w:anchor="terms-used-in-the-guideline" r:id="rId13">
              <w:r w:rsidRPr="000D13FD" w:rsidR="00D0044C">
                <w:rPr>
                  <w:rStyle w:val="Hyperlink"/>
                  <w:sz w:val="22"/>
                  <w:szCs w:val="22"/>
                </w:rPr>
                <w:t>authorising body</w:t>
              </w:r>
              <w:r w:rsidRPr="000D13FD" w:rsidR="009E38CA">
                <w:rPr>
                  <w:rStyle w:val="Hyperlink"/>
                  <w:sz w:val="22"/>
                  <w:szCs w:val="22"/>
                </w:rPr>
                <w:t xml:space="preserve"> as defined by NICE</w:t>
              </w:r>
            </w:hyperlink>
            <w:r w:rsidRPr="000D13FD" w:rsidR="009E38CA">
              <w:rPr>
                <w:rStyle w:val="Hyperlink"/>
                <w:sz w:val="22"/>
                <w:szCs w:val="22"/>
              </w:rPr>
              <w:t xml:space="preserve"> </w:t>
            </w:r>
          </w:p>
        </w:tc>
        <w:tc>
          <w:tcPr>
            <w:tcW w:w="2753"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1233B39B" w14:textId="77777777">
            <w:pPr>
              <w:pStyle w:val="Tabletext"/>
              <w:rPr>
                <w:lang w:val="en-GB"/>
              </w:rPr>
            </w:pPr>
          </w:p>
        </w:tc>
        <w:tc>
          <w:tcPr>
            <w:tcW w:w="1535"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647E003F" w14:textId="77777777">
            <w:pPr>
              <w:pStyle w:val="Tabletext"/>
              <w:rPr>
                <w:lang w:val="en-GB"/>
              </w:rPr>
            </w:pPr>
          </w:p>
        </w:tc>
        <w:tc>
          <w:tcPr>
            <w:tcW w:w="1074"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50DC60E7" w14:textId="77777777">
            <w:pPr>
              <w:pStyle w:val="Tabletext"/>
              <w:rPr>
                <w:lang w:val="en-GB"/>
              </w:rPr>
            </w:pPr>
          </w:p>
        </w:tc>
      </w:tr>
    </w:tbl>
    <w:p w:rsidRPr="00DF77C7" w:rsidR="00B65003" w:rsidP="00B65003" w:rsidRDefault="00B65003" w14:paraId="358A5AE0" w14:textId="77777777">
      <w:pPr>
        <w:pStyle w:val="PGDNormal"/>
        <w:rPr>
          <w:highlight w:val="yellow"/>
          <w:lang w:val="en-GB"/>
        </w:rPr>
      </w:pPr>
    </w:p>
    <w:p w:rsidRPr="00DF77C7" w:rsidR="00813399" w:rsidP="00B65003" w:rsidRDefault="00E46E97" w14:paraId="5A26FA8C" w14:textId="0BDE5500">
      <w:pPr>
        <w:pStyle w:val="PGDNormal"/>
        <w:rPr>
          <w:rFonts w:eastAsia="Calibri"/>
          <w:highlight w:val="yellow"/>
          <w:lang w:val="en-GB"/>
        </w:rPr>
      </w:pPr>
      <w:r w:rsidRPr="00AC0BE9">
        <w:rPr>
          <w:lang w:val="en-GB"/>
        </w:rPr>
        <w:t>[[</w:t>
      </w:r>
      <w:r w:rsidRPr="00DF77C7" w:rsidR="00813399">
        <w:rPr>
          <w:highlight w:val="yellow"/>
          <w:lang w:val="en-GB"/>
        </w:rPr>
        <w:t>It is the responsibility of the provider organisation to ensure that all legal and governance requirements for using the PGD are met.</w:t>
      </w:r>
    </w:p>
    <w:p w:rsidRPr="00DF77C7" w:rsidR="00813399" w:rsidP="00B65003" w:rsidRDefault="00813399" w14:paraId="2466BD41" w14:textId="77777777">
      <w:pPr>
        <w:pStyle w:val="PGDNormal"/>
        <w:rPr>
          <w:highlight w:val="yellow"/>
          <w:lang w:val="en-GB"/>
        </w:rPr>
      </w:pPr>
      <w:r w:rsidRPr="00DF77C7">
        <w:rPr>
          <w:highlight w:val="yellow"/>
          <w:lang w:val="en-GB"/>
        </w:rPr>
        <w:t xml:space="preserve">To meet legal requirements, authorising organisations must add an Individual Practitioner Authorisation sheet or List of Authorised Practitioners. This varies according to local policy and how the service is managed but this should be a signature list or an individual agreement. </w:t>
      </w:r>
    </w:p>
    <w:p w:rsidRPr="00DF77C7" w:rsidR="00813399" w:rsidP="00B65003" w:rsidRDefault="00813399" w14:paraId="3AD71782" w14:textId="17D110E3">
      <w:pPr>
        <w:pStyle w:val="PGDNormal"/>
        <w:rPr>
          <w:highlight w:val="yellow"/>
          <w:lang w:val="en-GB"/>
        </w:rPr>
      </w:pPr>
      <w:r w:rsidRPr="00DF77C7">
        <w:rPr>
          <w:highlight w:val="yellow"/>
          <w:lang w:val="en-GB"/>
        </w:rPr>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w:t>
      </w:r>
      <w:r w:rsidR="009531BB">
        <w:rPr>
          <w:highlight w:val="yellow"/>
          <w:lang w:val="en-GB"/>
        </w:rPr>
        <w:t>medicine</w:t>
      </w:r>
      <w:r w:rsidRPr="00DF77C7">
        <w:rPr>
          <w:highlight w:val="yellow"/>
          <w:lang w:val="en-GB"/>
        </w:rPr>
        <w:t xml:space="preserve"> listed only in accordance with the PGD. </w:t>
      </w:r>
    </w:p>
    <w:p w:rsidRPr="00DF77C7" w:rsidR="00813399" w:rsidP="008762B8" w:rsidRDefault="00813399" w14:paraId="6831A5E6" w14:textId="24B273E0">
      <w:pPr>
        <w:pStyle w:val="PGDNormal"/>
        <w:rPr>
          <w:highlight w:val="yellow"/>
          <w:lang w:val="en-GB"/>
        </w:rPr>
      </w:pPr>
      <w:r w:rsidRPr="00DF77C7">
        <w:rPr>
          <w:highlight w:val="yellow"/>
          <w:lang w:val="en-GB"/>
        </w:rPr>
        <w:t>O</w:t>
      </w:r>
      <w:r w:rsidRPr="00DF77C7" w:rsidR="008762B8">
        <w:rPr>
          <w:highlight w:val="yellow"/>
          <w:lang w:val="en-GB"/>
        </w:rPr>
        <w:t>rganisations may also add</w:t>
      </w:r>
      <w:r w:rsidRPr="00DF77C7">
        <w:rPr>
          <w:highlight w:val="yellow"/>
          <w:lang w:val="en-GB"/>
        </w:rPr>
        <w:t>:</w:t>
      </w:r>
    </w:p>
    <w:p w:rsidRPr="008C6AC3" w:rsidR="00813399" w:rsidP="008C6AC3" w:rsidRDefault="00813399" w14:paraId="53B6678F" w14:textId="61FBF7EF">
      <w:pPr>
        <w:pStyle w:val="Bulletindent1"/>
        <w:rPr>
          <w:highlight w:val="yellow"/>
        </w:rPr>
      </w:pPr>
      <w:r w:rsidRPr="008C6AC3">
        <w:rPr>
          <w:highlight w:val="yellow"/>
        </w:rPr>
        <w:t xml:space="preserve">Local training and competency assessment documentation </w:t>
      </w:r>
    </w:p>
    <w:p w:rsidRPr="008C6AC3" w:rsidR="00813399" w:rsidP="008C6AC3" w:rsidRDefault="00813399" w14:paraId="17AFAE38" w14:textId="5FC656C0">
      <w:pPr>
        <w:pStyle w:val="Bulletindent1"/>
        <w:rPr>
          <w:highlight w:val="yellow"/>
        </w:rPr>
      </w:pPr>
      <w:r w:rsidRPr="008C6AC3">
        <w:rPr>
          <w:highlight w:val="yellow"/>
        </w:rPr>
        <w:t>Other supporting local guidance or information</w:t>
      </w:r>
    </w:p>
    <w:p w:rsidRPr="00160B58" w:rsidR="00762BFE" w:rsidP="00160B58" w:rsidRDefault="00813399" w14:paraId="0FF3FC45" w14:textId="5E617158">
      <w:pPr>
        <w:pStyle w:val="Bulletindent1"/>
        <w:rPr>
          <w:highlight w:val="yellow"/>
        </w:rPr>
      </w:pPr>
      <w:r w:rsidRPr="00160B58">
        <w:rPr>
          <w:highlight w:val="yellow"/>
        </w:rPr>
        <w:t>Links to local PGD Policy and other supporting guidance</w:t>
      </w:r>
      <w:r w:rsidRPr="00160B58" w:rsidR="00762BFE">
        <w:rPr>
          <w:highlight w:val="yellow"/>
        </w:rPr>
        <w:t xml:space="preserve"> </w:t>
      </w:r>
    </w:p>
    <w:p w:rsidRPr="00293756" w:rsidR="00813399" w:rsidP="00160B58" w:rsidRDefault="00813399" w14:paraId="35B5D425" w14:textId="580BF799">
      <w:pPr>
        <w:pStyle w:val="Bulletindent1"/>
        <w:rPr>
          <w:highlight w:val="yellow"/>
        </w:rPr>
      </w:pPr>
      <w:r w:rsidRPr="00293756">
        <w:rPr>
          <w:highlight w:val="yellow"/>
        </w:rPr>
        <w:t xml:space="preserve">Audit requirements </w:t>
      </w:r>
    </w:p>
    <w:p w:rsidRPr="00DF77C7" w:rsidR="00813399" w:rsidP="008762B8" w:rsidRDefault="00813399" w14:paraId="1B986D2E" w14:textId="7E6280B1">
      <w:pPr>
        <w:pStyle w:val="PGDNormal"/>
        <w:rPr>
          <w:lang w:val="en-GB"/>
        </w:rPr>
      </w:pPr>
      <w:r w:rsidRPr="00DF77C7">
        <w:rPr>
          <w:highlight w:val="yellow"/>
          <w:lang w:val="en-GB"/>
        </w:rPr>
        <w:t xml:space="preserve">Any reference to a Trust protocol (either clinical to be followed as part of the administration of </w:t>
      </w:r>
      <w:r w:rsidR="009531BB">
        <w:rPr>
          <w:highlight w:val="yellow"/>
          <w:lang w:val="en-GB"/>
        </w:rPr>
        <w:t xml:space="preserve">the medicine named </w:t>
      </w:r>
      <w:r w:rsidRPr="00DF77C7">
        <w:rPr>
          <w:highlight w:val="yellow"/>
          <w:lang w:val="en-GB"/>
        </w:rPr>
        <w:t>with the PGD or for any other purpose) must be referenced and hyperlinked to ensure the practitioner acting under the PGD has direct access to the protocol for reference.</w:t>
      </w:r>
      <w:r w:rsidRPr="00AC0BE9" w:rsidR="00E46E97">
        <w:rPr>
          <w:lang w:val="en-GB"/>
        </w:rPr>
        <w:t>]]</w:t>
      </w:r>
    </w:p>
    <w:p w:rsidRPr="00DF77C7" w:rsidR="007A1448" w:rsidP="008762B8" w:rsidRDefault="007A1448" w14:paraId="41A13A1A" w14:textId="2FC4B1AE">
      <w:pPr>
        <w:pStyle w:val="Heading1"/>
      </w:pPr>
      <w:r w:rsidRPr="00DF77C7">
        <w:br w:type="page"/>
      </w:r>
      <w:bookmarkStart w:name="Table2" w:id="3"/>
      <w:r w:rsidR="004C39C3">
        <w:t>Characteristics of staff</w:t>
      </w:r>
    </w:p>
    <w:p w:rsidRPr="00DF77C7" w:rsidR="00BB2C75" w:rsidP="00BB2C75" w:rsidRDefault="00BB2C75" w14:paraId="24B546B6" w14:textId="16A38270">
      <w:pPr>
        <w:pStyle w:val="PGDNormal"/>
        <w:rPr>
          <w:lang w:val="en-GB"/>
        </w:rPr>
      </w:pPr>
      <w:r w:rsidRPr="00DF77C7">
        <w:rPr>
          <w:lang w:val="en-GB"/>
        </w:rPr>
        <w:t>The decision to administer any</w:t>
      </w:r>
      <w:r w:rsidR="009531BB">
        <w:rPr>
          <w:lang w:val="en-GB"/>
        </w:rPr>
        <w:t xml:space="preserve"> medicine</w:t>
      </w:r>
      <w:r w:rsidRPr="00DF77C7">
        <w:rPr>
          <w:lang w:val="en-GB"/>
        </w:rPr>
        <w:t xml:space="preserve"> rests with the individual registered practitioner who must abide by the PGD and any associated organisation policies</w:t>
      </w:r>
      <w:r w:rsidR="00F825C4">
        <w:rPr>
          <w:lang w:val="en-GB"/>
        </w:rPr>
        <w: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Caption w:val="Table of training and competency requirements."/>
        <w:tblDescription w:val="This table details the training and competency required by registered healthcare professionals to work under this PGD. It includes rows for qualifications and professional registration, initial training, competency assessment and ongoing training and competency."/>
      </w:tblPr>
      <w:tblGrid>
        <w:gridCol w:w="2591"/>
        <w:gridCol w:w="5904"/>
      </w:tblGrid>
      <w:tr w:rsidRPr="00DF77C7" w:rsidR="00B81529" w:rsidTr="6812ED04" w14:paraId="26A06832" w14:textId="77777777">
        <w:tc>
          <w:tcPr>
            <w:tcW w:w="1525" w:type="pct"/>
            <w:tcBorders>
              <w:top w:val="single" w:color="auto" w:sz="4" w:space="0"/>
              <w:left w:val="single" w:color="auto" w:sz="4" w:space="0"/>
              <w:bottom w:val="single" w:color="auto" w:sz="4" w:space="0"/>
              <w:right w:val="single" w:color="auto" w:sz="4" w:space="0"/>
            </w:tcBorders>
          </w:tcPr>
          <w:p w:rsidRPr="00DF77C7" w:rsidR="00B81529" w:rsidP="00B81529" w:rsidRDefault="00B81529" w14:paraId="627BE3CB" w14:textId="77777777">
            <w:pPr>
              <w:pStyle w:val="Tabletext"/>
              <w:rPr>
                <w:rStyle w:val="TableHeaderColumn"/>
                <w:lang w:val="en-GB"/>
              </w:rPr>
            </w:pPr>
            <w:r w:rsidRPr="00DF77C7">
              <w:rPr>
                <w:rStyle w:val="TableHeaderColumn"/>
                <w:lang w:val="en-GB"/>
              </w:rPr>
              <w:t>Qualifications and professional registration</w:t>
            </w:r>
          </w:p>
        </w:tc>
        <w:tc>
          <w:tcPr>
            <w:tcW w:w="3475" w:type="pct"/>
            <w:tcBorders>
              <w:top w:val="single" w:color="auto" w:sz="4" w:space="0"/>
              <w:left w:val="single" w:color="auto" w:sz="4" w:space="0"/>
              <w:bottom w:val="single" w:color="auto" w:sz="4" w:space="0"/>
              <w:right w:val="single" w:color="auto" w:sz="4" w:space="0"/>
            </w:tcBorders>
          </w:tcPr>
          <w:p w:rsidRPr="0013012A" w:rsidR="00311DC1" w:rsidP="00311DC1" w:rsidRDefault="00311DC1" w14:paraId="0DA88DBE" w14:textId="77777777">
            <w:pPr>
              <w:pStyle w:val="Tabletext"/>
              <w:rPr>
                <w:lang w:val="en-GB"/>
              </w:rPr>
            </w:pPr>
            <w:r w:rsidRPr="0013012A">
              <w:rPr>
                <w:lang w:val="en-GB"/>
              </w:rPr>
              <w:t>Current contract of employment within a Local Authority or NHS commissioned service or an NHS Trust/organisation.</w:t>
            </w:r>
          </w:p>
          <w:p w:rsidRPr="00AF5E60" w:rsidR="00B81529" w:rsidP="00311DC1" w:rsidRDefault="00311DC1" w14:paraId="111D2851" w14:textId="16525FBC">
            <w:pPr>
              <w:pStyle w:val="Tabletext"/>
              <w:rPr>
                <w:highlight w:val="green"/>
                <w:lang w:val="en-GB"/>
              </w:rPr>
            </w:pPr>
            <w:r w:rsidRPr="0013012A">
              <w:rPr>
                <w:lang w:val="en-GB"/>
              </w:rPr>
              <w:t xml:space="preserve">Registered healthcare professional listed in the legislation as able to practice under Patient Group Directions.  </w:t>
            </w:r>
          </w:p>
        </w:tc>
      </w:tr>
      <w:tr w:rsidRPr="00DF77C7" w:rsidR="00B81529" w:rsidTr="6812ED04" w14:paraId="06CF6755" w14:textId="77777777">
        <w:tc>
          <w:tcPr>
            <w:tcW w:w="1525" w:type="pct"/>
            <w:tcBorders>
              <w:top w:val="single" w:color="auto" w:sz="4" w:space="0"/>
              <w:left w:val="single" w:color="auto" w:sz="4" w:space="0"/>
              <w:bottom w:val="single" w:color="auto" w:sz="4" w:space="0"/>
              <w:right w:val="single" w:color="auto" w:sz="4" w:space="0"/>
            </w:tcBorders>
          </w:tcPr>
          <w:p w:rsidRPr="00DF77C7" w:rsidR="00B81529" w:rsidP="00B81529" w:rsidRDefault="00B81529" w14:paraId="72CA058D" w14:textId="77777777">
            <w:pPr>
              <w:pStyle w:val="Tabletext"/>
              <w:rPr>
                <w:rStyle w:val="TableHeaderColumn"/>
                <w:lang w:val="en-GB"/>
              </w:rPr>
            </w:pPr>
            <w:r w:rsidRPr="00DF77C7">
              <w:rPr>
                <w:rStyle w:val="TableHeaderColumn"/>
                <w:lang w:val="en-GB"/>
              </w:rPr>
              <w:t>Initial training</w:t>
            </w:r>
          </w:p>
        </w:tc>
        <w:tc>
          <w:tcPr>
            <w:tcW w:w="3475" w:type="pct"/>
            <w:tcBorders>
              <w:top w:val="single" w:color="auto" w:sz="4" w:space="0"/>
              <w:left w:val="single" w:color="auto" w:sz="4" w:space="0"/>
              <w:bottom w:val="single" w:color="auto" w:sz="4" w:space="0"/>
              <w:right w:val="single" w:color="auto" w:sz="4" w:space="0"/>
            </w:tcBorders>
          </w:tcPr>
          <w:p w:rsidR="00446FC4" w:rsidP="00FE6E1E" w:rsidRDefault="00446FC4" w14:paraId="763C4D3A" w14:textId="77777777">
            <w:pPr>
              <w:pStyle w:val="Tabletext"/>
            </w:pPr>
            <w:r w:rsidRPr="00446FC4">
              <w:t xml:space="preserve">The registered healthcare professional authorised to operate under this PGD must have undertaken appropriate education and training and successfully completed the competencies to undertake clinical </w:t>
            </w:r>
            <w:proofErr w:type="gramStart"/>
            <w:r w:rsidRPr="00446FC4">
              <w:t>assessment</w:t>
            </w:r>
            <w:proofErr w:type="gramEnd"/>
            <w:r w:rsidRPr="00446FC4">
              <w:t xml:space="preserve"> of patients ensuring safe provision of the medicines listed in accordance with local policy. </w:t>
            </w:r>
          </w:p>
          <w:p w:rsidR="00446FC4" w:rsidP="00FE6E1E" w:rsidRDefault="00446FC4" w14:paraId="174A6EB8" w14:textId="77777777">
            <w:pPr>
              <w:pStyle w:val="Tabletext"/>
            </w:pPr>
          </w:p>
          <w:p w:rsidR="00446FC4" w:rsidP="00FE6E1E" w:rsidRDefault="00446FC4" w14:paraId="4542DF3E" w14:textId="7C9BF6BB">
            <w:pPr>
              <w:pStyle w:val="Tabletext"/>
            </w:pPr>
            <w:r w:rsidRPr="00446FC4">
              <w:t xml:space="preserve">Suggested requirement for training would be successful completion of a relevant contraception module/course accredited or endorsed by the CoSRH, CPPE or a university or as advised in the RCN training directory.  </w:t>
            </w:r>
          </w:p>
          <w:p w:rsidR="00446FC4" w:rsidP="00FE6E1E" w:rsidRDefault="00446FC4" w14:paraId="5A37E843" w14:textId="77777777">
            <w:pPr>
              <w:pStyle w:val="Tabletext"/>
            </w:pPr>
          </w:p>
          <w:p w:rsidRPr="00FE6E1E" w:rsidR="00A61B14" w:rsidP="00FE6E1E" w:rsidRDefault="00FE6E1E" w14:paraId="287A58BA" w14:textId="317B1741">
            <w:pPr>
              <w:pStyle w:val="Tabletext"/>
              <w:rPr>
                <w:rStyle w:val="Hyperlink"/>
                <w:highlight w:val="cyan"/>
              </w:rPr>
            </w:pPr>
            <w:proofErr w:type="gramStart"/>
            <w:r>
              <w:t>Individual has</w:t>
            </w:r>
            <w:proofErr w:type="gramEnd"/>
            <w:r>
              <w:t xml:space="preserve"> undertaken appropriate training for working under PGDs for the supply and administration of medicines.  Recommended training - </w:t>
            </w:r>
            <w:hyperlink w:history="1" r:id="rId14">
              <w:r w:rsidRPr="00FE6E1E">
                <w:rPr>
                  <w:rStyle w:val="Hyperlink"/>
                </w:rPr>
                <w:t>eLfH PGD elearning programme</w:t>
              </w:r>
            </w:hyperlink>
            <w:r w:rsidRPr="00FE6E1E">
              <w:rPr>
                <w:rStyle w:val="Hyperlink"/>
              </w:rPr>
              <w:t xml:space="preserve"> </w:t>
            </w:r>
          </w:p>
          <w:p w:rsidRPr="00DF77C7" w:rsidR="00B81529" w:rsidP="00A61B14" w:rsidRDefault="00446FC4" w14:paraId="4B43E5B0" w14:textId="1CEDAABE">
            <w:pPr>
              <w:pStyle w:val="Tabletext"/>
              <w:rPr>
                <w:lang w:val="en-GB"/>
              </w:rPr>
            </w:pPr>
            <w:r w:rsidRPr="00446FC4">
              <w:t xml:space="preserve">The healthcare professional has completed training and is up to date with </w:t>
            </w:r>
            <w:r>
              <w:t>[</w:t>
            </w:r>
            <w:r w:rsidRPr="00446FC4">
              <w:rPr>
                <w:highlight w:val="cyan"/>
              </w:rPr>
              <w:t>service requirements/specification</w:t>
            </w:r>
            <w:r>
              <w:t>]</w:t>
            </w:r>
            <w:r w:rsidRPr="00446FC4">
              <w:t xml:space="preserve"> for safeguarding children and vulnerable adults. </w:t>
            </w:r>
            <w:r>
              <w:t>[</w:t>
            </w:r>
            <w:r w:rsidRPr="00446FC4">
              <w:rPr>
                <w:highlight w:val="cyan"/>
              </w:rPr>
              <w:t>amend as per local policy</w:t>
            </w:r>
            <w:r>
              <w:t>]</w:t>
            </w:r>
          </w:p>
        </w:tc>
      </w:tr>
      <w:tr w:rsidRPr="00DF77C7" w:rsidR="00B81529" w:rsidTr="6812ED04" w14:paraId="15ADED8B" w14:textId="77777777">
        <w:tc>
          <w:tcPr>
            <w:tcW w:w="1525" w:type="pct"/>
            <w:tcBorders>
              <w:top w:val="single" w:color="auto" w:sz="4" w:space="0"/>
              <w:left w:val="single" w:color="auto" w:sz="4" w:space="0"/>
              <w:bottom w:val="single" w:color="auto" w:sz="4" w:space="0"/>
              <w:right w:val="single" w:color="auto" w:sz="4" w:space="0"/>
            </w:tcBorders>
          </w:tcPr>
          <w:p w:rsidRPr="00DF77C7" w:rsidR="00B81529" w:rsidP="00B81529" w:rsidRDefault="00B81529" w14:paraId="5DBBEBEA" w14:textId="77777777">
            <w:pPr>
              <w:pStyle w:val="Tabletext"/>
              <w:rPr>
                <w:rStyle w:val="TableHeaderColumn"/>
                <w:lang w:val="en-GB"/>
              </w:rPr>
            </w:pPr>
            <w:r w:rsidRPr="00DF77C7">
              <w:rPr>
                <w:rStyle w:val="TableHeaderColumn"/>
                <w:lang w:val="en-GB"/>
              </w:rPr>
              <w:t>Competency assessment</w:t>
            </w:r>
          </w:p>
        </w:tc>
        <w:tc>
          <w:tcPr>
            <w:tcW w:w="3475" w:type="pct"/>
            <w:tcBorders>
              <w:top w:val="single" w:color="auto" w:sz="4" w:space="0"/>
              <w:left w:val="single" w:color="auto" w:sz="4" w:space="0"/>
              <w:bottom w:val="single" w:color="auto" w:sz="4" w:space="0"/>
              <w:right w:val="single" w:color="auto" w:sz="4" w:space="0"/>
            </w:tcBorders>
          </w:tcPr>
          <w:p w:rsidR="003E69CD" w:rsidP="008762B8" w:rsidRDefault="00C373F2" w14:paraId="30C7E4AB" w14:textId="25368A66">
            <w:pPr>
              <w:pStyle w:val="Tabletext"/>
            </w:pPr>
            <w:r>
              <w:t xml:space="preserve">Registered healthcare professionals (HCPs) </w:t>
            </w:r>
            <w:r w:rsidR="003E69CD">
              <w:t>operating under this PGD must be assessed as competent (see Appendix A) or complete an appropriate self-declaration of competence</w:t>
            </w:r>
            <w:r w:rsidR="00FE6E1E">
              <w:t xml:space="preserve"> </w:t>
            </w:r>
            <w:r w:rsidR="00446FC4">
              <w:t>for</w:t>
            </w:r>
            <w:r w:rsidR="5C302482">
              <w:t xml:space="preserve"> </w:t>
            </w:r>
            <w:bookmarkStart w:name="_Int_a2tLNwLH" w:id="4"/>
            <w:r w:rsidR="00446FC4">
              <w:t>contraception</w:t>
            </w:r>
            <w:bookmarkEnd w:id="4"/>
            <w:r w:rsidR="137467FE">
              <w:t xml:space="preserve"> supply</w:t>
            </w:r>
            <w:r w:rsidR="00FE6E1E">
              <w:t>.</w:t>
            </w:r>
          </w:p>
          <w:p w:rsidR="00655155" w:rsidP="008762B8" w:rsidRDefault="00655155" w14:paraId="594FC6AB" w14:textId="77777777">
            <w:pPr>
              <w:pStyle w:val="Tabletext"/>
              <w:rPr>
                <w:lang w:val="en-GB"/>
              </w:rPr>
            </w:pPr>
          </w:p>
          <w:p w:rsidRPr="00DF77C7" w:rsidR="00B81529" w:rsidP="00655155" w:rsidRDefault="00C373F2" w14:paraId="5719D930" w14:textId="64858628">
            <w:pPr>
              <w:pStyle w:val="Tabletext"/>
              <w:rPr>
                <w:lang w:val="en-GB"/>
              </w:rPr>
            </w:pPr>
            <w:r>
              <w:t>Registered HCPs</w:t>
            </w:r>
            <w:r w:rsidRPr="00DF77C7" w:rsidR="008B2A57">
              <w:rPr>
                <w:lang w:val="en-GB"/>
              </w:rPr>
              <w:t xml:space="preserve"> </w:t>
            </w:r>
            <w:r w:rsidRPr="00DF77C7" w:rsidR="00B81529">
              <w:rPr>
                <w:lang w:val="en-GB"/>
              </w:rPr>
              <w:t>operating under this PGD are encouraged to review their competency using the</w:t>
            </w:r>
            <w:hyperlink w:history="1" r:id="rId15">
              <w:r w:rsidRPr="00F6120B" w:rsidR="00B81529">
                <w:rPr>
                  <w:rStyle w:val="Hyperlink"/>
                </w:rPr>
                <w:t xml:space="preserve"> NICE Competency Framework for health professionals using patient group directions</w:t>
              </w:r>
            </w:hyperlink>
            <w:r w:rsidRPr="00F6120B" w:rsidR="000F52B4">
              <w:rPr>
                <w:rStyle w:val="Hyperlink"/>
              </w:rPr>
              <w:t xml:space="preserve"> </w:t>
            </w:r>
          </w:p>
        </w:tc>
      </w:tr>
      <w:tr w:rsidRPr="00DF77C7" w:rsidR="00B81529" w:rsidTr="6812ED04" w14:paraId="25FEFD2D" w14:textId="77777777">
        <w:tc>
          <w:tcPr>
            <w:tcW w:w="1525" w:type="pct"/>
            <w:tcBorders>
              <w:top w:val="single" w:color="auto" w:sz="4" w:space="0"/>
              <w:left w:val="single" w:color="auto" w:sz="4" w:space="0"/>
              <w:bottom w:val="single" w:color="auto" w:sz="4" w:space="0"/>
              <w:right w:val="single" w:color="auto" w:sz="4" w:space="0"/>
            </w:tcBorders>
          </w:tcPr>
          <w:p w:rsidRPr="00DF77C7" w:rsidR="00B81529" w:rsidP="00B81529" w:rsidRDefault="00B81529" w14:paraId="4C7E9E93" w14:textId="77777777">
            <w:pPr>
              <w:pStyle w:val="Tabletext"/>
              <w:rPr>
                <w:rStyle w:val="TableHeaderColumn"/>
                <w:lang w:val="en-GB"/>
              </w:rPr>
            </w:pPr>
            <w:r w:rsidRPr="00DF77C7">
              <w:rPr>
                <w:rStyle w:val="TableHeaderColumn"/>
                <w:lang w:val="en-GB"/>
              </w:rPr>
              <w:t>Ongoing training and competency</w:t>
            </w:r>
          </w:p>
        </w:tc>
        <w:tc>
          <w:tcPr>
            <w:tcW w:w="3475" w:type="pct"/>
            <w:tcBorders>
              <w:top w:val="single" w:color="auto" w:sz="4" w:space="0"/>
              <w:left w:val="single" w:color="auto" w:sz="4" w:space="0"/>
              <w:bottom w:val="single" w:color="auto" w:sz="4" w:space="0"/>
              <w:right w:val="single" w:color="auto" w:sz="4" w:space="0"/>
            </w:tcBorders>
          </w:tcPr>
          <w:p w:rsidR="003E69CD" w:rsidP="008762B8" w:rsidRDefault="00C373F2" w14:paraId="5599DF98" w14:textId="2757D0F4">
            <w:pPr>
              <w:pStyle w:val="Tabletext"/>
              <w:rPr>
                <w:lang w:val="en-GB"/>
              </w:rPr>
            </w:pPr>
            <w:r>
              <w:t>Registered HCPs</w:t>
            </w:r>
            <w:r w:rsidRPr="00DF77C7" w:rsidR="003E69CD">
              <w:rPr>
                <w:lang w:val="en-GB"/>
              </w:rPr>
              <w:t xml:space="preserve"> operating under this PGD are personally responsible for ensuring they remain up to date with the use of </w:t>
            </w:r>
            <w:r w:rsidR="009531BB">
              <w:rPr>
                <w:lang w:val="en-GB"/>
              </w:rPr>
              <w:t>the medicine</w:t>
            </w:r>
            <w:r w:rsidRPr="00DF77C7" w:rsidR="003E69CD">
              <w:rPr>
                <w:lang w:val="en-GB"/>
              </w:rPr>
              <w:t xml:space="preserve"> included in the PGD - if any training needs are identified these should be discussed with the senior individual responsible for authorising </w:t>
            </w:r>
            <w:r>
              <w:rPr>
                <w:lang w:val="en-GB"/>
              </w:rPr>
              <w:t>staff</w:t>
            </w:r>
            <w:r w:rsidRPr="00DF77C7">
              <w:rPr>
                <w:lang w:val="en-GB"/>
              </w:rPr>
              <w:t xml:space="preserve"> </w:t>
            </w:r>
            <w:r w:rsidRPr="00DF77C7" w:rsidR="003E69CD">
              <w:rPr>
                <w:lang w:val="en-GB"/>
              </w:rPr>
              <w:t>to act under the PGD and further training provided as required.</w:t>
            </w:r>
          </w:p>
          <w:p w:rsidR="00655155" w:rsidP="008762B8" w:rsidRDefault="00655155" w14:paraId="37B67CF6" w14:textId="77777777">
            <w:pPr>
              <w:pStyle w:val="Tabletext"/>
              <w:rPr>
                <w:highlight w:val="cyan"/>
                <w:lang w:val="en-GB"/>
              </w:rPr>
            </w:pPr>
          </w:p>
          <w:p w:rsidRPr="00DF77C7" w:rsidR="00B81529" w:rsidP="00FE6E1E" w:rsidRDefault="00B154E7" w14:paraId="3219E1FA" w14:textId="4C16D747">
            <w:pPr>
              <w:pStyle w:val="Tabletext"/>
              <w:rPr>
                <w:lang w:val="en-GB"/>
              </w:rPr>
            </w:pPr>
            <w:r w:rsidRPr="00AC0BE9">
              <w:rPr>
                <w:lang w:val="en-GB"/>
              </w:rPr>
              <w:t>[</w:t>
            </w:r>
            <w:r w:rsidR="008B2A57">
              <w:rPr>
                <w:highlight w:val="cyan"/>
                <w:lang w:val="en-GB"/>
              </w:rPr>
              <w:t>Organisational</w:t>
            </w:r>
            <w:r w:rsidRPr="00DF77C7" w:rsidR="00B81529">
              <w:rPr>
                <w:highlight w:val="cyan"/>
                <w:lang w:val="en-GB"/>
              </w:rPr>
              <w:t xml:space="preserve"> </w:t>
            </w:r>
            <w:r w:rsidR="00FE6E1E">
              <w:rPr>
                <w:highlight w:val="cyan"/>
                <w:lang w:val="en-GB"/>
              </w:rPr>
              <w:t>PGD and</w:t>
            </w:r>
            <w:r w:rsidR="008B2A57">
              <w:rPr>
                <w:highlight w:val="cyan"/>
                <w:lang w:val="en-GB"/>
              </w:rPr>
              <w:t>/or</w:t>
            </w:r>
            <w:r w:rsidRPr="00DF77C7" w:rsidR="00B81529">
              <w:rPr>
                <w:highlight w:val="cyan"/>
                <w:lang w:val="en-GB"/>
              </w:rPr>
              <w:t xml:space="preserve"> medication training</w:t>
            </w:r>
            <w:r w:rsidR="008B2A57">
              <w:rPr>
                <w:highlight w:val="cyan"/>
                <w:lang w:val="en-GB"/>
              </w:rPr>
              <w:t xml:space="preserve"> </w:t>
            </w:r>
            <w:r w:rsidR="00B36F46">
              <w:rPr>
                <w:highlight w:val="cyan"/>
                <w:lang w:val="en-GB"/>
              </w:rPr>
              <w:t xml:space="preserve">as </w:t>
            </w:r>
            <w:r w:rsidRPr="00DF77C7" w:rsidR="00B36F46">
              <w:rPr>
                <w:highlight w:val="cyan"/>
                <w:lang w:val="en-GB"/>
              </w:rPr>
              <w:t>required</w:t>
            </w:r>
            <w:r w:rsidRPr="00DF77C7" w:rsidR="00B81529">
              <w:rPr>
                <w:highlight w:val="cyan"/>
                <w:lang w:val="en-GB"/>
              </w:rPr>
              <w:t xml:space="preserve"> by</w:t>
            </w:r>
            <w:r w:rsidR="008B2A57">
              <w:rPr>
                <w:highlight w:val="cyan"/>
                <w:lang w:val="en-GB"/>
              </w:rPr>
              <w:t xml:space="preserve"> employing Trust/</w:t>
            </w:r>
            <w:r w:rsidRPr="00DF77C7" w:rsidR="00B81529">
              <w:rPr>
                <w:highlight w:val="cyan"/>
                <w:lang w:val="en-GB"/>
              </w:rPr>
              <w:t xml:space="preserve"> organisation</w:t>
            </w:r>
            <w:r w:rsidR="00FE6E1E">
              <w:rPr>
                <w:lang w:val="en-GB"/>
              </w:rPr>
              <w:t>]</w:t>
            </w:r>
          </w:p>
        </w:tc>
      </w:tr>
    </w:tbl>
    <w:p w:rsidR="007A1448" w:rsidP="00BB2C75" w:rsidRDefault="007A1448" w14:paraId="2F8A9B4B" w14:textId="72BCB8C7">
      <w:pPr>
        <w:pStyle w:val="Heading1"/>
      </w:pPr>
      <w:r w:rsidRPr="00DF77C7">
        <w:br w:type="page"/>
      </w:r>
      <w:r w:rsidRPr="00DF77C7">
        <w:t>Clinical condition</w:t>
      </w:r>
      <w:r w:rsidR="003E69CD">
        <w:t xml:space="preserve"> or situation to which this PGD applies</w:t>
      </w:r>
    </w:p>
    <w:tbl>
      <w:tblPr>
        <w:tblStyle w:val="TableGrid"/>
        <w:tblW w:w="8642" w:type="dxa"/>
        <w:tblLook w:val="04A0" w:firstRow="1" w:lastRow="0" w:firstColumn="1" w:lastColumn="0" w:noHBand="0" w:noVBand="1"/>
        <w:tblCaption w:val="Table of clinical condition relating to this PGD template"/>
        <w:tblDescription w:val="This table details the clinical condition or situation to which this PGD applies.  It consists of five rows which include the clinical conditon or situation applicable, inclusion criteria, exclusion criteria, cautions and arrangements for referral or action if an individual is excluded or declines treatment."/>
      </w:tblPr>
      <w:tblGrid>
        <w:gridCol w:w="2689"/>
        <w:gridCol w:w="5953"/>
      </w:tblGrid>
      <w:tr w:rsidR="00D36D23" w:rsidTr="00C640C0" w14:paraId="06FC28D1" w14:textId="77777777">
        <w:tc>
          <w:tcPr>
            <w:tcW w:w="2689" w:type="dxa"/>
          </w:tcPr>
          <w:p w:rsidRPr="005A6168" w:rsidR="00D36D23" w:rsidP="005A6168" w:rsidRDefault="00D36D23" w14:paraId="7ABDE5EA" w14:textId="3B5A4183">
            <w:pPr>
              <w:rPr>
                <w:rStyle w:val="TableHeaderColumn"/>
              </w:rPr>
            </w:pPr>
            <w:r w:rsidRPr="005A6168">
              <w:rPr>
                <w:rStyle w:val="TableHeaderColumn"/>
              </w:rPr>
              <w:t>Clinical condition or situation to which this PGD applies</w:t>
            </w:r>
          </w:p>
        </w:tc>
        <w:tc>
          <w:tcPr>
            <w:tcW w:w="5953" w:type="dxa"/>
          </w:tcPr>
          <w:p w:rsidRPr="00D51690" w:rsidR="00D51690" w:rsidP="00D51690" w:rsidRDefault="00D51690" w14:paraId="60961AF7" w14:textId="77777777">
            <w:pPr>
              <w:pStyle w:val="Bulletindent1"/>
            </w:pPr>
            <w:r w:rsidRPr="00D51690">
              <w:t xml:space="preserve">Contraception </w:t>
            </w:r>
          </w:p>
          <w:p w:rsidR="00D36D23" w:rsidP="00D51690" w:rsidRDefault="00D51690" w14:paraId="622A2C8E" w14:textId="79956392">
            <w:pPr>
              <w:pStyle w:val="Bulletindent1"/>
            </w:pPr>
            <w:r w:rsidRPr="00D51690">
              <w:t xml:space="preserve">Individuals requiring control of problematic bleeding caused by the subdermal implant, IUS or medroxyprogesterone injection for up to three months.  </w:t>
            </w:r>
          </w:p>
        </w:tc>
      </w:tr>
      <w:tr w:rsidR="00AE4F4B" w:rsidTr="00C640C0" w14:paraId="423D958D" w14:textId="77777777">
        <w:tc>
          <w:tcPr>
            <w:tcW w:w="2689" w:type="dxa"/>
          </w:tcPr>
          <w:p w:rsidRPr="005A6168" w:rsidR="00AE4F4B" w:rsidP="00FE6E1E" w:rsidRDefault="003E69CD" w14:paraId="12B69C9D" w14:textId="0A77D3DB">
            <w:pPr>
              <w:rPr>
                <w:rStyle w:val="TableHeaderColumn"/>
              </w:rPr>
            </w:pPr>
            <w:r>
              <w:rPr>
                <w:rStyle w:val="TableHeaderColumn"/>
              </w:rPr>
              <w:t>Criteria for i</w:t>
            </w:r>
            <w:r w:rsidRPr="005A6168" w:rsidR="00CA3998">
              <w:rPr>
                <w:rStyle w:val="TableHeaderColumn"/>
              </w:rPr>
              <w:t xml:space="preserve">nclusion </w:t>
            </w:r>
          </w:p>
        </w:tc>
        <w:tc>
          <w:tcPr>
            <w:tcW w:w="5953" w:type="dxa"/>
          </w:tcPr>
          <w:p w:rsidRPr="00E269B0" w:rsidR="00D51690" w:rsidP="00D51690" w:rsidRDefault="00D51690" w14:paraId="6BF4A4B2" w14:textId="77777777">
            <w:pPr>
              <w:pStyle w:val="Bulletindent1"/>
            </w:pPr>
            <w:r w:rsidRPr="00E269B0">
              <w:t>Individual (age from menarche to up to 50 years) presenting for contraception.</w:t>
            </w:r>
          </w:p>
          <w:p w:rsidRPr="00E269B0" w:rsidR="00D51690" w:rsidP="00D51690" w:rsidRDefault="00D51690" w14:paraId="235F2598" w14:textId="143BDE24">
            <w:pPr>
              <w:pStyle w:val="Bulletindent1"/>
            </w:pPr>
            <w:r w:rsidRPr="00E269B0">
              <w:t>Individuals requiring control of problematic bleeding caused by the subdermal implant, IUS or medroxyprogesterone injection for up to three months</w:t>
            </w:r>
            <w:r w:rsidR="00A659A5">
              <w:t>.</w:t>
            </w:r>
            <w:r w:rsidRPr="00E269B0">
              <w:t xml:space="preserve">  </w:t>
            </w:r>
          </w:p>
          <w:p w:rsidRPr="001071E6" w:rsidR="00D51690" w:rsidP="00D51690" w:rsidRDefault="00D51690" w14:paraId="14320579" w14:textId="18050F12">
            <w:pPr>
              <w:pStyle w:val="Bulletindent1"/>
              <w:rPr>
                <w:rFonts w:ascii="Calibri" w:hAnsi="Calibri" w:cs="Calibri"/>
              </w:rPr>
            </w:pPr>
            <w:r w:rsidRPr="001071E6">
              <w:t xml:space="preserve">Consent given  </w:t>
            </w:r>
          </w:p>
          <w:p w:rsidR="00AE4F4B" w:rsidP="00D51690" w:rsidRDefault="00D51690" w14:paraId="02A2FFD7" w14:textId="5FF2D469">
            <w:pPr>
              <w:pStyle w:val="Bulletindent1"/>
            </w:pPr>
            <w:r w:rsidRPr="001071E6">
              <w:rPr>
                <w:rFonts w:eastAsia="Calibri"/>
              </w:rPr>
              <w:t>A recent, accurate blood pressure recording and BMI should be documented for all individuals prior to first C</w:t>
            </w:r>
            <w:r w:rsidR="00F825C4">
              <w:rPr>
                <w:rFonts w:eastAsia="Calibri"/>
              </w:rPr>
              <w:t>O</w:t>
            </w:r>
            <w:r w:rsidRPr="001071E6">
              <w:rPr>
                <w:rFonts w:eastAsia="Calibri"/>
              </w:rPr>
              <w:t xml:space="preserve">C supply and repeated for each subsequent supply.  In exceptional circumstances, such as a pandemic, where a remote consultation has to take place and it is not possible to obtain a </w:t>
            </w:r>
            <w:r>
              <w:rPr>
                <w:rFonts w:eastAsia="Calibri"/>
              </w:rPr>
              <w:t xml:space="preserve">blood pressure </w:t>
            </w:r>
            <w:r w:rsidRPr="001071E6">
              <w:rPr>
                <w:rFonts w:eastAsia="Calibri"/>
              </w:rPr>
              <w:t>or BMI then then please refer to advice</w:t>
            </w:r>
            <w:r w:rsidR="00617AA0">
              <w:rPr>
                <w:rFonts w:eastAsia="Calibri"/>
              </w:rPr>
              <w:t xml:space="preserve"> in</w:t>
            </w:r>
            <w:r w:rsidRPr="001071E6">
              <w:rPr>
                <w:rFonts w:eastAsia="Calibri"/>
              </w:rPr>
              <w:t xml:space="preserve"> the </w:t>
            </w:r>
            <w:hyperlink w:history="1" r:id="rId16">
              <w:r w:rsidRPr="00617AA0">
                <w:rPr>
                  <w:rStyle w:val="Hyperlink"/>
                  <w:rFonts w:eastAsia="Calibri"/>
                </w:rPr>
                <w:t>FSRH Guideline Combined Hormonal Contraception Section 12.1.1</w:t>
              </w:r>
            </w:hyperlink>
          </w:p>
        </w:tc>
      </w:tr>
      <w:tr w:rsidR="00AE4F4B" w:rsidTr="00C640C0" w14:paraId="6FC007A9" w14:textId="77777777">
        <w:tc>
          <w:tcPr>
            <w:tcW w:w="2689" w:type="dxa"/>
          </w:tcPr>
          <w:p w:rsidRPr="005A6168" w:rsidR="00AE4F4B" w:rsidP="005A6168" w:rsidRDefault="003E69CD" w14:paraId="4F9F0FC6" w14:textId="72CE5320">
            <w:pPr>
              <w:rPr>
                <w:rStyle w:val="TableHeaderColumn"/>
              </w:rPr>
            </w:pPr>
            <w:r>
              <w:rPr>
                <w:rStyle w:val="TableHeaderColumn"/>
              </w:rPr>
              <w:t>Criteria for exclusion</w:t>
            </w:r>
          </w:p>
        </w:tc>
        <w:tc>
          <w:tcPr>
            <w:tcW w:w="5953" w:type="dxa"/>
          </w:tcPr>
          <w:p w:rsidRPr="00AF42D9" w:rsidR="00617AA0" w:rsidP="00617AA0" w:rsidRDefault="00617AA0" w14:paraId="6139F631" w14:textId="1667E026">
            <w:pPr>
              <w:pStyle w:val="Bulletindent1"/>
            </w:pPr>
            <w:r w:rsidRPr="00AF42D9">
              <w:t xml:space="preserve">Consent not given  </w:t>
            </w:r>
          </w:p>
          <w:p w:rsidRPr="00AF42D9" w:rsidR="00617AA0" w:rsidP="00617AA0" w:rsidRDefault="00617AA0" w14:paraId="07A69171" w14:textId="77777777">
            <w:pPr>
              <w:pStyle w:val="Bulletindent1"/>
            </w:pPr>
            <w:r w:rsidRPr="00AF42D9">
              <w:t>Individuals under 16 years of age and assessed as not competent using Fraser Guidelines.</w:t>
            </w:r>
          </w:p>
          <w:p w:rsidRPr="00AF42D9" w:rsidR="00617AA0" w:rsidP="00617AA0" w:rsidRDefault="00617AA0" w14:paraId="1C265526" w14:textId="77777777">
            <w:pPr>
              <w:pStyle w:val="Bulletindent1"/>
            </w:pPr>
            <w:r w:rsidRPr="00AF42D9">
              <w:t>Individuals 16 years of age and over and assessed as lacking capacity to consent.</w:t>
            </w:r>
          </w:p>
          <w:p w:rsidRPr="00583C3F" w:rsidR="00617AA0" w:rsidP="00617AA0" w:rsidRDefault="00617AA0" w14:paraId="059D5605" w14:textId="1A158829">
            <w:pPr>
              <w:pStyle w:val="Bulletindent1"/>
            </w:pPr>
            <w:r w:rsidRPr="00583C3F">
              <w:t>Established pregnancy. Note - risk of pregnancy with a negative pregnancy test is not an exclusion</w:t>
            </w:r>
            <w:r w:rsidR="00F825C4">
              <w:t>.</w:t>
            </w:r>
          </w:p>
          <w:p w:rsidRPr="001643D3" w:rsidR="00617AA0" w:rsidP="00617AA0" w:rsidRDefault="00617AA0" w14:paraId="7FF9AEAB" w14:textId="6933554C">
            <w:pPr>
              <w:pStyle w:val="Bulletindent1"/>
              <w:rPr>
                <w:rFonts w:eastAsia="Arial"/>
              </w:rPr>
            </w:pPr>
            <w:r w:rsidRPr="00AF42D9">
              <w:rPr>
                <w:rFonts w:eastAsia="Arial"/>
              </w:rPr>
              <w:t xml:space="preserve">Known hypersensitivity to </w:t>
            </w:r>
            <w:r>
              <w:rPr>
                <w:rFonts w:eastAsia="Arial"/>
              </w:rPr>
              <w:t>an</w:t>
            </w:r>
            <w:r w:rsidRPr="00AF42D9">
              <w:rPr>
                <w:rFonts w:eastAsia="Arial"/>
              </w:rPr>
              <w:t xml:space="preserve"> active ingredient or to any constituent of the product </w:t>
            </w:r>
            <w:r>
              <w:t>–</w:t>
            </w:r>
            <w:r w:rsidRPr="00AF42D9">
              <w:t xml:space="preserve"> see</w:t>
            </w:r>
            <w:r>
              <w:t xml:space="preserve"> the </w:t>
            </w:r>
            <w:r w:rsidRPr="00AF42D9">
              <w:t xml:space="preserve"> </w:t>
            </w:r>
            <w:hyperlink w:history="1" r:id="rId17">
              <w:r>
                <w:rPr>
                  <w:color w:val="0000FF"/>
                  <w:u w:val="single"/>
                </w:rPr>
                <w:t>Summary of Product Characteristics which can be accessed on the EMC website</w:t>
              </w:r>
            </w:hyperlink>
          </w:p>
          <w:p w:rsidRPr="00545341" w:rsidR="00617AA0" w:rsidP="00617AA0" w:rsidRDefault="00617AA0" w14:paraId="28AEC072" w14:textId="77777777">
            <w:pPr>
              <w:pStyle w:val="Bulletindent1"/>
              <w:rPr>
                <w:rFonts w:eastAsia="Arial"/>
              </w:rPr>
            </w:pPr>
            <w:r w:rsidRPr="00545341">
              <w:t xml:space="preserve">Some COC products contain lactose/sucrose – individuals with rare hereditary problems of galactose intolerance, total lactase deficiency, fructose intolerance or glucose-galactose malabsorption or sucrase-isomaltase </w:t>
            </w:r>
            <w:r>
              <w:t xml:space="preserve">deficiency </w:t>
            </w:r>
            <w:r w:rsidRPr="00545341">
              <w:t>should not take these medicines.  Where applicable, check product excipients before supplying.</w:t>
            </w:r>
          </w:p>
          <w:p w:rsidR="00617AA0" w:rsidP="00617AA0" w:rsidRDefault="00617AA0" w14:paraId="5319A5A9" w14:textId="2A88225A">
            <w:pPr>
              <w:pStyle w:val="Bulletindent1"/>
            </w:pPr>
            <w:r w:rsidRPr="00C9363A">
              <w:t xml:space="preserve">Less </w:t>
            </w:r>
            <w:r>
              <w:t xml:space="preserve">than </w:t>
            </w:r>
            <w:r w:rsidRPr="00C9363A">
              <w:t>21 days after childbirth (for deliveries over 24 weeks gestation)</w:t>
            </w:r>
            <w:r w:rsidR="00F825C4">
              <w:t>.</w:t>
            </w:r>
          </w:p>
          <w:p w:rsidRPr="00BF62D2" w:rsidR="00617AA0" w:rsidP="00617AA0" w:rsidRDefault="00617AA0" w14:paraId="19F532D7" w14:textId="77777777">
            <w:pPr>
              <w:pStyle w:val="Bulletindent1"/>
            </w:pPr>
            <w:r w:rsidRPr="00AF42D9">
              <w:t xml:space="preserve">Breastfeeding and less than six weeks </w:t>
            </w:r>
            <w:r w:rsidRPr="00BF62D2">
              <w:t xml:space="preserve">postpartum.  </w:t>
            </w:r>
          </w:p>
          <w:p w:rsidRPr="00BF62D2" w:rsidR="00617AA0" w:rsidP="00617AA0" w:rsidRDefault="00617AA0" w14:paraId="6EAC31E7" w14:textId="77777777">
            <w:pPr>
              <w:pStyle w:val="Bulletindent1"/>
            </w:pPr>
            <w:r w:rsidRPr="00BF62D2">
              <w:t xml:space="preserve">Not breastfeeding and less than 6 weeks post-partum with other risk factors for venous thromboembolism (VTE). </w:t>
            </w:r>
          </w:p>
          <w:p w:rsidR="00617AA0" w:rsidP="00617AA0" w:rsidRDefault="00617AA0" w14:paraId="5F0355EA" w14:textId="77777777">
            <w:pPr>
              <w:pStyle w:val="Bulletindent1"/>
            </w:pPr>
            <w:r w:rsidRPr="00AF42D9">
              <w:t>Individuals aged 50 years and over.</w:t>
            </w:r>
          </w:p>
          <w:p w:rsidRPr="00942C0F" w:rsidR="00617AA0" w:rsidP="00617AA0" w:rsidRDefault="00617AA0" w14:paraId="1E03DA89" w14:textId="77777777">
            <w:pPr>
              <w:pStyle w:val="Bulletindent1"/>
            </w:pPr>
            <w:r w:rsidRPr="00942C0F">
              <w:t>Significant or prolonged immobility.</w:t>
            </w:r>
          </w:p>
          <w:p w:rsidR="00CB4A2B" w:rsidP="00617AA0" w:rsidRDefault="00617AA0" w14:paraId="53F71D12" w14:textId="77777777">
            <w:pPr>
              <w:pStyle w:val="Tabletext"/>
              <w:rPr>
                <w:b/>
                <w:bCs/>
              </w:rPr>
            </w:pPr>
            <w:r w:rsidRPr="00617AA0">
              <w:rPr>
                <w:b/>
                <w:bCs/>
              </w:rPr>
              <w:t>Cardiovascular disease</w:t>
            </w:r>
          </w:p>
          <w:p w:rsidRPr="0038247A" w:rsidR="00617AA0" w:rsidP="00617AA0" w:rsidRDefault="00617AA0" w14:paraId="4ACF673E" w14:textId="77777777">
            <w:pPr>
              <w:pStyle w:val="Bulletindent1"/>
            </w:pPr>
            <w:r w:rsidRPr="0038247A">
              <w:t xml:space="preserve">Individuals aged 35 years or more </w:t>
            </w:r>
            <w:r>
              <w:t>who currently smoke</w:t>
            </w:r>
            <w:r w:rsidRPr="0038247A">
              <w:t xml:space="preserve"> or stopped smoking less than one year ago (this includes vaping and the use of e-cigarettes)</w:t>
            </w:r>
          </w:p>
          <w:p w:rsidRPr="0038247A" w:rsidR="00617AA0" w:rsidP="00617AA0" w:rsidRDefault="00617AA0" w14:paraId="11B898A8" w14:textId="77777777">
            <w:pPr>
              <w:pStyle w:val="Bulletindent1"/>
            </w:pPr>
            <w:r w:rsidRPr="0038247A">
              <w:t>Body Mass Index (BMI) equal to or greater than 35kg/m</w:t>
            </w:r>
            <w:r w:rsidRPr="0038247A">
              <w:rPr>
                <w:vertAlign w:val="superscript"/>
              </w:rPr>
              <w:t>2</w:t>
            </w:r>
          </w:p>
          <w:p w:rsidRPr="0038247A" w:rsidR="00617AA0" w:rsidP="00617AA0" w:rsidRDefault="00617AA0" w14:paraId="71C5246B" w14:textId="77777777">
            <w:pPr>
              <w:pStyle w:val="Bulletindent1"/>
            </w:pPr>
            <w:r w:rsidRPr="0038247A">
              <w:t xml:space="preserve">Blood pressure greater than 140/90mmHg or controlled hypertension                                                                                    </w:t>
            </w:r>
          </w:p>
          <w:p w:rsidRPr="0038247A" w:rsidR="00617AA0" w:rsidP="00617AA0" w:rsidRDefault="000F3210" w14:paraId="33131056" w14:textId="6544C058">
            <w:pPr>
              <w:pStyle w:val="Bulletindent1"/>
            </w:pPr>
            <w:r w:rsidRPr="15CC22C3">
              <w:rPr>
                <w:lang w:val="en-US"/>
              </w:rPr>
              <w:t xml:space="preserve">Individuals with </w:t>
            </w:r>
            <w:r w:rsidRPr="57C7922A">
              <w:rPr>
                <w:rFonts w:eastAsia="Arial" w:cs="Arial"/>
                <w:szCs w:val="22"/>
              </w:rPr>
              <w:t xml:space="preserve">multiple </w:t>
            </w:r>
            <w:r w:rsidRPr="57C7922A" w:rsidR="00B77C15">
              <w:rPr>
                <w:rFonts w:eastAsia="Arial" w:cs="Arial"/>
                <w:szCs w:val="22"/>
              </w:rPr>
              <w:t xml:space="preserve">risk factors (defined as more than one risk factor) </w:t>
            </w:r>
            <w:r w:rsidRPr="0038247A" w:rsidR="00617AA0">
              <w:t>for cardiovascular disease (CVD) (such as smoking (includes vaping/use of e-cigarettes), diabetes, hypertension, obesity and dyslipidaemias)</w:t>
            </w:r>
          </w:p>
          <w:p w:rsidRPr="00AF42D9" w:rsidR="00617AA0" w:rsidP="00617AA0" w:rsidRDefault="00617AA0" w14:paraId="7D6689A2" w14:textId="77777777">
            <w:pPr>
              <w:pStyle w:val="Bulletindent1"/>
            </w:pPr>
            <w:r w:rsidRPr="0038247A">
              <w:t>Current or past history of ischaemic heart disease</w:t>
            </w:r>
            <w:r w:rsidRPr="00AF42D9">
              <w:t>, vascular disease, stroke or transient ischaemic attack</w:t>
            </w:r>
          </w:p>
          <w:p w:rsidRPr="00AF42D9" w:rsidR="00617AA0" w:rsidP="00617AA0" w:rsidRDefault="00617AA0" w14:paraId="61BAF63F" w14:textId="77777777">
            <w:pPr>
              <w:pStyle w:val="Bulletindent1"/>
            </w:pPr>
            <w:r w:rsidRPr="00AF42D9">
              <w:t>Current or past history of venous thromboembolism</w:t>
            </w:r>
          </w:p>
          <w:p w:rsidRPr="00AF42D9" w:rsidR="00617AA0" w:rsidP="00617AA0" w:rsidRDefault="00617AA0" w14:paraId="5C85CC64" w14:textId="77777777">
            <w:pPr>
              <w:pStyle w:val="Bulletindent1"/>
            </w:pPr>
            <w:r w:rsidRPr="00AF42D9">
              <w:t xml:space="preserve">Complicated valvular or congenital heart disease e.g. pulmonary hypertension, history of subacute bacterial endocarditis </w:t>
            </w:r>
          </w:p>
          <w:p w:rsidRPr="00AF42D9" w:rsidR="00617AA0" w:rsidP="00617AA0" w:rsidRDefault="00617AA0" w14:paraId="13FEFBB0" w14:textId="5D88BBE2">
            <w:pPr>
              <w:pStyle w:val="Bulletindent1"/>
            </w:pPr>
            <w:r w:rsidRPr="00AF42D9">
              <w:t>First degree relative with venous thromboembolism</w:t>
            </w:r>
            <w:r>
              <w:t xml:space="preserve"> </w:t>
            </w:r>
            <w:r w:rsidRPr="00942C0F">
              <w:t>which first occurred when they were</w:t>
            </w:r>
            <w:r w:rsidRPr="00AF42D9">
              <w:t xml:space="preserve"> under 45 years of age</w:t>
            </w:r>
          </w:p>
          <w:p w:rsidRPr="00AF42D9" w:rsidR="00617AA0" w:rsidP="00617AA0" w:rsidRDefault="00617AA0" w14:paraId="5AECDE95" w14:textId="77777777">
            <w:pPr>
              <w:pStyle w:val="Bulletindent1"/>
            </w:pPr>
            <w:r w:rsidRPr="00AF42D9">
              <w:t xml:space="preserve">Known thrombogenic mutations e.g. factor V Leiden, prothrombin mutation, protein S, protein C and antithrombin deficiencies </w:t>
            </w:r>
          </w:p>
          <w:p w:rsidRPr="00AF42D9" w:rsidR="00617AA0" w:rsidP="00617AA0" w:rsidRDefault="00617AA0" w14:paraId="4C23F2D7" w14:textId="77777777">
            <w:pPr>
              <w:pStyle w:val="Bulletindent1"/>
            </w:pPr>
            <w:r w:rsidRPr="00AF42D9">
              <w:t>Cardiomyopathy with impaired cardiac function</w:t>
            </w:r>
          </w:p>
          <w:p w:rsidR="00617AA0" w:rsidP="00617AA0" w:rsidRDefault="00617AA0" w14:paraId="1A27ED7C" w14:textId="77777777">
            <w:pPr>
              <w:pStyle w:val="Bulletindent1"/>
            </w:pPr>
            <w:r w:rsidRPr="00AF42D9">
              <w:t>Atrial fibrillation</w:t>
            </w:r>
          </w:p>
          <w:p w:rsidRPr="00AF42D9" w:rsidR="00617AA0" w:rsidP="00617AA0" w:rsidRDefault="00617AA0" w14:paraId="6B3F7768" w14:textId="77777777">
            <w:pPr>
              <w:widowControl w:val="0"/>
              <w:overflowPunct w:val="0"/>
              <w:autoSpaceDE w:val="0"/>
              <w:autoSpaceDN w:val="0"/>
              <w:adjustRightInd w:val="0"/>
              <w:textAlignment w:val="baseline"/>
              <w:rPr>
                <w:rFonts w:ascii="Arial" w:hAnsi="Arial" w:cs="Arial"/>
              </w:rPr>
            </w:pPr>
          </w:p>
          <w:p w:rsidRPr="00617AA0" w:rsidR="00617AA0" w:rsidP="00617AA0" w:rsidRDefault="00617AA0" w14:paraId="7CD4B22F" w14:textId="77777777">
            <w:pPr>
              <w:pStyle w:val="Tabletext"/>
              <w:rPr>
                <w:b/>
                <w:bCs/>
              </w:rPr>
            </w:pPr>
            <w:r w:rsidRPr="00617AA0">
              <w:rPr>
                <w:b/>
                <w:bCs/>
              </w:rPr>
              <w:t>Neurological Conditions</w:t>
            </w:r>
          </w:p>
          <w:p w:rsidRPr="00AF42D9" w:rsidR="00617AA0" w:rsidP="00617AA0" w:rsidRDefault="00617AA0" w14:paraId="06C4BA60" w14:textId="77777777">
            <w:pPr>
              <w:pStyle w:val="Bulletindent1"/>
            </w:pPr>
            <w:r w:rsidRPr="00AF42D9">
              <w:t xml:space="preserve">Current or past history of migraine with neurological symptoms including aura at any age </w:t>
            </w:r>
          </w:p>
          <w:p w:rsidRPr="00C22C1B" w:rsidR="00617AA0" w:rsidP="00617AA0" w:rsidRDefault="00617AA0" w14:paraId="442EADBF" w14:textId="0BF183DE">
            <w:pPr>
              <w:pStyle w:val="Bulletindent1"/>
              <w:rPr>
                <w:sz w:val="20"/>
              </w:rPr>
            </w:pPr>
            <w:r w:rsidRPr="00C9363A">
              <w:t xml:space="preserve">Migraine without </w:t>
            </w:r>
            <w:proofErr w:type="gramStart"/>
            <w:r w:rsidRPr="00C9363A">
              <w:t>aura</w:t>
            </w:r>
            <w:r>
              <w:t>;</w:t>
            </w:r>
            <w:proofErr w:type="gramEnd"/>
            <w:r>
              <w:t xml:space="preserve"> when </w:t>
            </w:r>
            <w:r w:rsidRPr="00C9363A">
              <w:t xml:space="preserve">first attack </w:t>
            </w:r>
            <w:r>
              <w:t>occurred</w:t>
            </w:r>
            <w:r w:rsidRPr="00C9363A">
              <w:t xml:space="preserve"> on </w:t>
            </w:r>
            <w:r>
              <w:t xml:space="preserve">a </w:t>
            </w:r>
            <w:r w:rsidRPr="00C9363A">
              <w:t>method of contraception containing an estrogen</w:t>
            </w:r>
          </w:p>
          <w:p w:rsidRPr="00C22C1B" w:rsidR="00617AA0" w:rsidP="00617AA0" w:rsidRDefault="00617AA0" w14:paraId="4DCC4D0E" w14:textId="77777777">
            <w:pPr>
              <w:pStyle w:val="Bulletindent1"/>
            </w:pPr>
            <w:r w:rsidRPr="00B120D6">
              <w:rPr>
                <w:b/>
                <w:bCs/>
              </w:rPr>
              <w:t>Zoely</w:t>
            </w:r>
            <w:r w:rsidRPr="00E004B5">
              <w:rPr>
                <w:b/>
                <w:bCs/>
              </w:rPr>
              <w:t>® and desogestrel containing products</w:t>
            </w:r>
            <w:r w:rsidRPr="00E004B5">
              <w:t xml:space="preserve"> – individuals with a meningioma or a history of </w:t>
            </w:r>
            <w:r w:rsidRPr="00B120D6">
              <w:t>meningioma</w:t>
            </w:r>
          </w:p>
          <w:p w:rsidRPr="00617AA0" w:rsidR="00617AA0" w:rsidP="00617AA0" w:rsidRDefault="00617AA0" w14:paraId="576D3FFF" w14:textId="77777777">
            <w:pPr>
              <w:pStyle w:val="Tabletext"/>
              <w:rPr>
                <w:b/>
                <w:bCs/>
              </w:rPr>
            </w:pPr>
            <w:r w:rsidRPr="00617AA0">
              <w:rPr>
                <w:b/>
                <w:bCs/>
              </w:rPr>
              <w:t>Cancers</w:t>
            </w:r>
          </w:p>
          <w:p w:rsidRPr="00AF42D9" w:rsidR="00617AA0" w:rsidP="00617AA0" w:rsidRDefault="00617AA0" w14:paraId="153D046A" w14:textId="77777777">
            <w:pPr>
              <w:pStyle w:val="Bulletindent1"/>
            </w:pPr>
            <w:r w:rsidRPr="00AF42D9">
              <w:t>Past or current history of breast cancer</w:t>
            </w:r>
          </w:p>
          <w:p w:rsidRPr="00AF42D9" w:rsidR="00617AA0" w:rsidP="00617AA0" w:rsidRDefault="00617AA0" w14:paraId="60DF03C3" w14:textId="77777777">
            <w:pPr>
              <w:pStyle w:val="Bulletindent1"/>
            </w:pPr>
            <w:r w:rsidRPr="00AF42D9">
              <w:t>Undiagnosed breast mass (for initiation of method only)</w:t>
            </w:r>
          </w:p>
          <w:p w:rsidRPr="00AF42D9" w:rsidR="00617AA0" w:rsidP="00617AA0" w:rsidRDefault="00617AA0" w14:paraId="66A044F3" w14:textId="77777777">
            <w:pPr>
              <w:pStyle w:val="Bulletindent1"/>
            </w:pPr>
            <w:r w:rsidRPr="00AF42D9">
              <w:t>Carrier of known gene mutations associated with breast cancer e.g. BRCA1or 2</w:t>
            </w:r>
          </w:p>
          <w:p w:rsidR="00617AA0" w:rsidP="00617AA0" w:rsidRDefault="00617AA0" w14:paraId="2D821ACF" w14:textId="77777777">
            <w:pPr>
              <w:pStyle w:val="Bulletindent1"/>
            </w:pPr>
            <w:r w:rsidRPr="00AF42D9">
              <w:t>Malignant liver tumour (hepatocellular carcinoma)</w:t>
            </w:r>
          </w:p>
          <w:p w:rsidRPr="00617AA0" w:rsidR="00617AA0" w:rsidP="00617AA0" w:rsidRDefault="00617AA0" w14:paraId="2ACA05CF" w14:textId="77777777">
            <w:pPr>
              <w:pStyle w:val="Tabletext"/>
              <w:rPr>
                <w:b/>
                <w:bCs/>
              </w:rPr>
            </w:pPr>
            <w:r w:rsidRPr="00617AA0">
              <w:rPr>
                <w:b/>
                <w:bCs/>
              </w:rPr>
              <w:t>Gastro-intestinal Conditions</w:t>
            </w:r>
          </w:p>
          <w:p w:rsidRPr="00617AA0" w:rsidR="00617AA0" w:rsidP="00617AA0" w:rsidRDefault="00617AA0" w14:paraId="234D9212" w14:textId="23B9D6F2">
            <w:pPr>
              <w:pStyle w:val="Bulletindent1"/>
            </w:pPr>
            <w:r w:rsidRPr="00617AA0">
              <w:t>Viral hepatitis, acute or flare (for initiation only)</w:t>
            </w:r>
          </w:p>
          <w:p w:rsidRPr="00617AA0" w:rsidR="00617AA0" w:rsidP="00617AA0" w:rsidRDefault="00617AA0" w14:paraId="71E97508" w14:textId="487AA3A1">
            <w:pPr>
              <w:pStyle w:val="Bulletindent1"/>
            </w:pPr>
            <w:r w:rsidRPr="00617AA0">
              <w:t>Benign liver tumour (hepatocellular adenoma)</w:t>
            </w:r>
          </w:p>
          <w:p w:rsidRPr="00617AA0" w:rsidR="00617AA0" w:rsidP="00617AA0" w:rsidRDefault="00617AA0" w14:paraId="243BB276" w14:textId="60499AF3">
            <w:pPr>
              <w:pStyle w:val="Bulletindent1"/>
            </w:pPr>
            <w:r w:rsidRPr="00617AA0">
              <w:t>Severe decompensated cirrhosis</w:t>
            </w:r>
          </w:p>
          <w:p w:rsidRPr="00617AA0" w:rsidR="00617AA0" w:rsidP="00617AA0" w:rsidRDefault="00617AA0" w14:paraId="213A2AC4" w14:textId="77777777">
            <w:pPr>
              <w:pStyle w:val="Bulletindent1"/>
            </w:pPr>
            <w:r w:rsidRPr="00617AA0">
              <w:t xml:space="preserve">Gallbladder disease; currently symptomatic or medically managed. </w:t>
            </w:r>
          </w:p>
          <w:p w:rsidRPr="00617AA0" w:rsidR="00617AA0" w:rsidP="00617AA0" w:rsidRDefault="00617AA0" w14:paraId="4F876922" w14:textId="77777777">
            <w:pPr>
              <w:pStyle w:val="Bulletindent1"/>
            </w:pPr>
            <w:r w:rsidRPr="00617AA0">
              <w:t>Any bariatric or other surgery resulting in malabsorption.</w:t>
            </w:r>
          </w:p>
          <w:p w:rsidRPr="00617AA0" w:rsidR="00617AA0" w:rsidP="00617AA0" w:rsidRDefault="00617AA0" w14:paraId="18D92594" w14:textId="4A216706">
            <w:pPr>
              <w:pStyle w:val="Bulletindent1"/>
            </w:pPr>
            <w:r w:rsidRPr="00617AA0">
              <w:t>Cholestasis (related to past combined hormonal contraceptive use)</w:t>
            </w:r>
          </w:p>
          <w:p w:rsidRPr="00617AA0" w:rsidR="00617AA0" w:rsidP="00617AA0" w:rsidRDefault="00617AA0" w14:paraId="5D836BA4" w14:textId="77777777">
            <w:pPr>
              <w:widowControl w:val="0"/>
              <w:rPr>
                <w:rFonts w:ascii="Arial" w:hAnsi="Arial" w:eastAsia="Times New Roman"/>
                <w:b/>
                <w:bCs/>
                <w:kern w:val="0"/>
                <w:sz w:val="22"/>
                <w:lang w:val="en-US"/>
                <w14:ligatures w14:val="none"/>
              </w:rPr>
            </w:pPr>
          </w:p>
          <w:p w:rsidRPr="00617AA0" w:rsidR="00617AA0" w:rsidP="00617AA0" w:rsidRDefault="00617AA0" w14:paraId="15C55A5B" w14:textId="77777777">
            <w:pPr>
              <w:widowControl w:val="0"/>
              <w:rPr>
                <w:rFonts w:ascii="Arial" w:hAnsi="Arial" w:eastAsia="Times New Roman"/>
                <w:b/>
                <w:bCs/>
                <w:kern w:val="0"/>
                <w:sz w:val="22"/>
                <w:lang w:val="en-US"/>
                <w14:ligatures w14:val="none"/>
              </w:rPr>
            </w:pPr>
            <w:r w:rsidRPr="00617AA0">
              <w:rPr>
                <w:rFonts w:ascii="Arial" w:hAnsi="Arial" w:eastAsia="Times New Roman"/>
                <w:b/>
                <w:bCs/>
                <w:kern w:val="0"/>
                <w:sz w:val="22"/>
                <w:lang w:val="en-US"/>
                <w14:ligatures w14:val="none"/>
              </w:rPr>
              <w:t>Other conditions</w:t>
            </w:r>
          </w:p>
          <w:p w:rsidRPr="00617AA0" w:rsidR="00617AA0" w:rsidP="00617AA0" w:rsidRDefault="00617AA0" w14:paraId="4F281E7D" w14:textId="77777777">
            <w:pPr>
              <w:pStyle w:val="Bulletindent1"/>
            </w:pPr>
            <w:r w:rsidRPr="00617AA0">
              <w:t>Imminent planned major surgery (COC should be stopped at least 4 weeks prior to planned major surgery or expected period of limited mobility).</w:t>
            </w:r>
          </w:p>
          <w:p w:rsidRPr="00617AA0" w:rsidR="00617AA0" w:rsidP="00617AA0" w:rsidRDefault="00617AA0" w14:paraId="51267B8C" w14:textId="77777777">
            <w:pPr>
              <w:pStyle w:val="Bulletindent1"/>
            </w:pPr>
            <w:r w:rsidRPr="00617AA0">
              <w:t>Diabetes with end organ disease (retinopathy, nephropathy, neuropathy)</w:t>
            </w:r>
          </w:p>
          <w:p w:rsidRPr="00617AA0" w:rsidR="00617AA0" w:rsidP="00617AA0" w:rsidRDefault="00617AA0" w14:paraId="4C5E9767" w14:textId="77777777">
            <w:pPr>
              <w:pStyle w:val="Bulletindent1"/>
            </w:pPr>
            <w:r w:rsidRPr="00617AA0">
              <w:t>Positive anti-phospholipid antibodies (with or without systemic lupus erythematosus)</w:t>
            </w:r>
          </w:p>
          <w:p w:rsidRPr="00617AA0" w:rsidR="00617AA0" w:rsidP="00617AA0" w:rsidRDefault="00617AA0" w14:paraId="63E339AF" w14:textId="77777777">
            <w:pPr>
              <w:pStyle w:val="Bulletindent1"/>
            </w:pPr>
            <w:r w:rsidRPr="00617AA0">
              <w:t>Organ transplant, with complications</w:t>
            </w:r>
          </w:p>
          <w:p w:rsidRPr="00617AA0" w:rsidR="00617AA0" w:rsidP="00617AA0" w:rsidRDefault="00617AA0" w14:paraId="1F28E4AA" w14:textId="77777777">
            <w:pPr>
              <w:pStyle w:val="Bulletindent1"/>
            </w:pPr>
            <w:r w:rsidRPr="00617AA0">
              <w:t>Known severe renal impairment or acute renal failure</w:t>
            </w:r>
          </w:p>
          <w:p w:rsidRPr="00617AA0" w:rsidR="00617AA0" w:rsidP="00617AA0" w:rsidRDefault="00617AA0" w14:paraId="7ED90B6C" w14:textId="77777777">
            <w:pPr>
              <w:pStyle w:val="Bulletindent1"/>
            </w:pPr>
            <w:r w:rsidRPr="00617AA0">
              <w:t xml:space="preserve">Acute porphyria </w:t>
            </w:r>
          </w:p>
          <w:p w:rsidRPr="00617AA0" w:rsidR="00617AA0" w:rsidP="00617AA0" w:rsidRDefault="00617AA0" w14:paraId="67981AE1" w14:textId="77777777">
            <w:pPr>
              <w:pStyle w:val="Bulletindent1"/>
            </w:pPr>
            <w:r w:rsidRPr="00617AA0">
              <w:t xml:space="preserve">Individuals requiring control of problematic bleeding caused by the subdermal implant, IUS or </w:t>
            </w:r>
            <w:r w:rsidRPr="00617AA0">
              <w:t xml:space="preserve">medroxyprogesterone injection for longer than 3 months (maximum period of supply under this PGD for this condition)   </w:t>
            </w:r>
          </w:p>
          <w:p w:rsidRPr="00AE7DC7" w:rsidR="00617AA0" w:rsidP="00617AA0" w:rsidRDefault="00617AA0" w14:paraId="6E657D16" w14:textId="77777777">
            <w:pPr>
              <w:widowControl w:val="0"/>
              <w:rPr>
                <w:rFonts w:ascii="Arial" w:hAnsi="Arial" w:cs="Arial"/>
                <w:b/>
                <w:bCs/>
                <w:lang w:val="en-US"/>
              </w:rPr>
            </w:pPr>
            <w:r w:rsidRPr="00AE7DC7">
              <w:rPr>
                <w:rFonts w:ascii="Arial" w:hAnsi="Arial" w:cs="Arial"/>
                <w:b/>
                <w:bCs/>
                <w:lang w:val="en-US"/>
              </w:rPr>
              <w:t>M</w:t>
            </w:r>
            <w:r w:rsidRPr="00617AA0">
              <w:rPr>
                <w:rFonts w:ascii="Arial" w:hAnsi="Arial" w:eastAsia="Times New Roman"/>
                <w:b/>
                <w:bCs/>
                <w:kern w:val="0"/>
                <w:sz w:val="22"/>
                <w:lang w:val="en-US"/>
                <w14:ligatures w14:val="none"/>
              </w:rPr>
              <w:t>edicines</w:t>
            </w:r>
          </w:p>
          <w:p w:rsidRPr="00617AA0" w:rsidR="00617AA0" w:rsidP="007043FB" w:rsidRDefault="00617AA0" w14:paraId="467CB2A6" w14:textId="77777777">
            <w:pPr>
              <w:pStyle w:val="Bulletindent1"/>
            </w:pPr>
            <w:r w:rsidRPr="00AF42D9">
              <w:rPr>
                <w:lang w:val="en-US"/>
              </w:rPr>
              <w:t>Individuals using enzyme-inducing drugs/</w:t>
            </w:r>
            <w:r w:rsidRPr="00C9363A">
              <w:rPr>
                <w:lang w:val="en-US"/>
              </w:rPr>
              <w:t xml:space="preserve">herbal </w:t>
            </w:r>
            <w:r w:rsidRPr="00617AA0">
              <w:t>products or within 4 weeks of stopping them.</w:t>
            </w:r>
          </w:p>
          <w:p w:rsidRPr="00617AA0" w:rsidR="00617AA0" w:rsidP="00EE1A3A" w:rsidRDefault="00617AA0" w14:paraId="38DE554F" w14:textId="6FC49619">
            <w:pPr>
              <w:widowControl w:val="0"/>
              <w:numPr>
                <w:ilvl w:val="0"/>
                <w:numId w:val="18"/>
              </w:numPr>
              <w:overflowPunct w:val="0"/>
              <w:autoSpaceDE w:val="0"/>
              <w:autoSpaceDN w:val="0"/>
              <w:adjustRightInd w:val="0"/>
              <w:textAlignment w:val="baseline"/>
              <w:rPr>
                <w:rFonts w:ascii="Arial" w:hAnsi="Arial" w:eastAsia="Times New Roman"/>
                <w:kern w:val="0"/>
                <w:sz w:val="22"/>
                <w14:ligatures w14:val="none"/>
              </w:rPr>
            </w:pPr>
            <w:r w:rsidRPr="00617AA0">
              <w:rPr>
                <w:rFonts w:ascii="Arial" w:hAnsi="Arial" w:eastAsia="Times New Roman"/>
                <w:kern w:val="0"/>
                <w:sz w:val="22"/>
                <w14:ligatures w14:val="none"/>
              </w:rPr>
              <w:t xml:space="preserve">Interacting medicines (other than enzyme inducers), including any medicines purchased– </w:t>
            </w:r>
            <w:hyperlink w:history="1" w:anchor="Interactions">
              <w:r w:rsidRPr="00617AA0">
                <w:rPr>
                  <w:rStyle w:val="Hyperlink"/>
                  <w:rFonts w:ascii="Arial" w:hAnsi="Arial" w:eastAsia="Times New Roman"/>
                  <w:kern w:val="0"/>
                  <w:sz w:val="22"/>
                  <w14:ligatures w14:val="none"/>
                </w:rPr>
                <w:t>see Drug Interactions section</w:t>
              </w:r>
            </w:hyperlink>
            <w:r w:rsidRPr="00617AA0">
              <w:rPr>
                <w:rFonts w:ascii="Arial" w:hAnsi="Arial" w:eastAsia="Times New Roman"/>
                <w:kern w:val="0"/>
                <w:sz w:val="22"/>
                <w14:ligatures w14:val="none"/>
              </w:rPr>
              <w:t xml:space="preserve"> </w:t>
            </w:r>
          </w:p>
          <w:p w:rsidRPr="00617AA0" w:rsidR="00617AA0" w:rsidP="00617AA0" w:rsidRDefault="00617AA0" w14:paraId="242D0FB3" w14:textId="132304E5">
            <w:pPr>
              <w:pStyle w:val="Bulletindent1"/>
            </w:pPr>
            <w:r w:rsidRPr="00617AA0">
              <w:t>Contraindicated in concomitant use with the medicinal products containing glecaprevir/pibrentasvir or sofosbuvir/velpatasvir/voxilaprevir</w:t>
            </w:r>
            <w:r w:rsidRPr="001857CB">
              <w:rPr>
                <w:rFonts w:cs="Arial"/>
              </w:rPr>
              <w:t>.</w:t>
            </w:r>
          </w:p>
        </w:tc>
      </w:tr>
      <w:tr w:rsidR="007043FB" w:rsidTr="00C640C0" w14:paraId="2086F951" w14:textId="77777777">
        <w:tc>
          <w:tcPr>
            <w:tcW w:w="2689" w:type="dxa"/>
          </w:tcPr>
          <w:p w:rsidRPr="005A6168" w:rsidR="007043FB" w:rsidP="007043FB" w:rsidRDefault="007043FB" w14:paraId="34F2E318" w14:textId="7E1AEDD6">
            <w:pPr>
              <w:rPr>
                <w:rStyle w:val="TableHeaderColumn"/>
              </w:rPr>
            </w:pPr>
            <w:r w:rsidRPr="005A6168">
              <w:rPr>
                <w:rStyle w:val="TableHeaderColumn"/>
              </w:rPr>
              <w:t xml:space="preserve">Cautions </w:t>
            </w:r>
            <w:r>
              <w:rPr>
                <w:rStyle w:val="TableHeaderColumn"/>
              </w:rPr>
              <w:t>including any relevant action to be taken</w:t>
            </w:r>
          </w:p>
        </w:tc>
        <w:tc>
          <w:tcPr>
            <w:tcW w:w="5953" w:type="dxa"/>
          </w:tcPr>
          <w:p w:rsidRPr="00E269B0" w:rsidR="007043FB" w:rsidP="007043FB" w:rsidRDefault="007043FB" w14:paraId="5A4AEB15" w14:textId="77777777">
            <w:pPr>
              <w:pStyle w:val="Bulletindent1"/>
            </w:pPr>
            <w:r w:rsidRPr="00E269B0">
              <w:t xml:space="preserve">If the individual is less than 16 years of age an assessment based on Fraser guidelines must be made and documented. </w:t>
            </w:r>
          </w:p>
          <w:p w:rsidRPr="00E269B0" w:rsidR="007043FB" w:rsidP="007043FB" w:rsidRDefault="007043FB" w14:paraId="07296B6F" w14:textId="77777777">
            <w:pPr>
              <w:pStyle w:val="Bulletindent1"/>
            </w:pPr>
            <w:r w:rsidRPr="00E269B0">
              <w:t>If the individual is less than 13 years of age the healthcare professional should speak to local safeguarding lead and follow the local safeguarding policy.</w:t>
            </w:r>
          </w:p>
          <w:p w:rsidRPr="00E269B0" w:rsidR="007043FB" w:rsidP="007043FB" w:rsidRDefault="007043FB" w14:paraId="5B0B3CE4" w14:textId="77777777">
            <w:pPr>
              <w:pStyle w:val="Bulletindent1"/>
            </w:pPr>
            <w:r w:rsidRPr="00E269B0">
              <w:t>Discuss with appropriate medical/independent non-medical prescriber any medical condition or medication of which the healthcare professional is uncertain.</w:t>
            </w:r>
          </w:p>
          <w:p w:rsidRPr="00E269B0" w:rsidR="007043FB" w:rsidP="007043FB" w:rsidRDefault="007043FB" w14:paraId="592BE02D" w14:textId="77777777">
            <w:pPr>
              <w:pStyle w:val="Bulletindent1"/>
            </w:pPr>
            <w:r w:rsidRPr="00E269B0">
              <w:t>Individuals taking lamotrigine should be advised that COC may interact with lamotrigine; this could result in reduced seizure control or lamotrigine toxicity.</w:t>
            </w:r>
          </w:p>
          <w:p w:rsidRPr="00E269B0" w:rsidR="007043FB" w:rsidP="007043FB" w:rsidRDefault="007043FB" w14:paraId="03440707" w14:textId="77777777">
            <w:pPr>
              <w:pStyle w:val="Bulletindent1"/>
            </w:pPr>
            <w:r w:rsidRPr="00E269B0">
              <w:t xml:space="preserve">Consideration should be given to the current disease status of those with severe malabsorption syndromes, such as acute/active inflammatory bowel disease or Crohn’s disease. Although the use of oral contraception is not contra-indicated it may be less effective and so these individuals should be advised to consider </w:t>
            </w:r>
            <w:proofErr w:type="gramStart"/>
            <w:r w:rsidRPr="00E269B0">
              <w:t>Long Acting</w:t>
            </w:r>
            <w:proofErr w:type="gramEnd"/>
            <w:r w:rsidRPr="00E269B0">
              <w:t xml:space="preserve"> Reversible Contraception (LARC).</w:t>
            </w:r>
          </w:p>
          <w:p w:rsidRPr="00B315F8" w:rsidR="007043FB" w:rsidP="007043FB" w:rsidRDefault="007043FB" w14:paraId="63CE4180" w14:textId="77777777">
            <w:pPr>
              <w:pStyle w:val="Bulletindent1"/>
            </w:pPr>
            <w:r w:rsidRPr="00E269B0">
              <w:t xml:space="preserve">Individuals should be advised that it is possible that </w:t>
            </w:r>
            <w:r w:rsidRPr="00B315F8">
              <w:t>medications that induce diarrhoea and/or vomiting (e.g. orlistat, laxatives, GLP-1 agonists) could reduce the effectiveness of COC.</w:t>
            </w:r>
          </w:p>
          <w:p w:rsidR="009E32F3" w:rsidP="009E32F3" w:rsidRDefault="007043FB" w14:paraId="5DA072E5" w14:textId="77777777">
            <w:pPr>
              <w:pStyle w:val="Bulletindent1"/>
            </w:pPr>
            <w:r w:rsidRPr="00B315F8">
              <w:t>Individuals receiving GLP-1 agonists must use effective contraception.</w:t>
            </w:r>
          </w:p>
          <w:p w:rsidRPr="00B315F8" w:rsidR="007043FB" w:rsidP="009E32F3" w:rsidRDefault="007043FB" w14:paraId="5CFCB3B0" w14:textId="2663CC46">
            <w:pPr>
              <w:pStyle w:val="Bulletindent1"/>
              <w:numPr>
                <w:ilvl w:val="0"/>
                <w:numId w:val="0"/>
              </w:numPr>
              <w:ind w:left="720"/>
            </w:pPr>
            <w:r w:rsidRPr="00B315F8">
              <w:t xml:space="preserve">Note some GLP-1 agonists may reduce the effectiveness of oral contraception and additional barrier methods are recommended - refer to </w:t>
            </w:r>
            <w:r>
              <w:t xml:space="preserve">the specific product </w:t>
            </w:r>
            <w:r w:rsidRPr="00B315F8">
              <w:t xml:space="preserve">SmPC </w:t>
            </w:r>
            <w:r>
              <w:t xml:space="preserve">which can be accessed on the </w:t>
            </w:r>
            <w:hyperlink w:history="1" r:id="rId18">
              <w:r w:rsidRPr="007043FB">
                <w:rPr>
                  <w:rStyle w:val="Hyperlink"/>
                </w:rPr>
                <w:t>EMC</w:t>
              </w:r>
            </w:hyperlink>
            <w:r>
              <w:t xml:space="preserve"> </w:t>
            </w:r>
            <w:r w:rsidRPr="00B315F8">
              <w:t xml:space="preserve">and </w:t>
            </w:r>
            <w:hyperlink w:history="1" r:id="rId19">
              <w:r w:rsidRPr="007043FB">
                <w:rPr>
                  <w:rStyle w:val="Hyperlink"/>
                </w:rPr>
                <w:t>CoSRH advice regarding GLP 1 agonists and contraception.</w:t>
              </w:r>
            </w:hyperlink>
            <w:r w:rsidRPr="00B315F8">
              <w:t xml:space="preserve"> Provide </w:t>
            </w:r>
            <w:r>
              <w:t>Co</w:t>
            </w:r>
            <w:r w:rsidRPr="00B315F8">
              <w:t>SRH patient information leaflet (PIL).</w:t>
            </w:r>
          </w:p>
          <w:p w:rsidRPr="00E269B0" w:rsidR="007043FB" w:rsidP="007043FB" w:rsidRDefault="007043FB" w14:paraId="65864951" w14:textId="5809FEE0">
            <w:pPr>
              <w:pStyle w:val="Bulletindent1"/>
              <w:rPr>
                <w:b/>
              </w:rPr>
            </w:pPr>
            <w:r w:rsidRPr="00E269B0">
              <w:rPr>
                <w:b/>
              </w:rPr>
              <w:t>Offer</w:t>
            </w:r>
            <w:r>
              <w:rPr>
                <w:b/>
              </w:rPr>
              <w:t xml:space="preserve"> </w:t>
            </w:r>
            <w:r w:rsidRPr="00E269B0">
              <w:rPr>
                <w:b/>
              </w:rPr>
              <w:t>LARC to all individuals, in particular those with medical conditions for whom pregnancy presents an unacceptable risk and those on a pregnancy prevention plan.</w:t>
            </w:r>
          </w:p>
          <w:p w:rsidR="007043FB" w:rsidP="007043FB" w:rsidRDefault="007043FB" w14:paraId="64FEDD91" w14:textId="1091D68B">
            <w:pPr>
              <w:pStyle w:val="Bulletindent1"/>
            </w:pPr>
            <w:r w:rsidRPr="00E269B0">
              <w:rPr>
                <w:b/>
              </w:rPr>
              <w:t xml:space="preserve">If an individual is known to be taking a medication which is known to be harmful to pregnancy, a highly effective form of contraception is recommended.  Highly effective methods include the LARC methods: </w:t>
            </w:r>
            <w:r w:rsidRPr="00583C3F">
              <w:rPr>
                <w:b/>
              </w:rPr>
              <w:t>copper IUD, LNG-IUD and implant</w:t>
            </w:r>
            <w:r w:rsidRPr="00E269B0">
              <w:rPr>
                <w:b/>
              </w:rPr>
              <w:t xml:space="preserve">.  If a LARC method is unacceptable/unsuitable and a COC is </w:t>
            </w:r>
            <w:proofErr w:type="gramStart"/>
            <w:r w:rsidRPr="00E269B0">
              <w:rPr>
                <w:b/>
              </w:rPr>
              <w:t>chosen</w:t>
            </w:r>
            <w:proofErr w:type="gramEnd"/>
            <w:r w:rsidRPr="00E269B0">
              <w:rPr>
                <w:b/>
              </w:rPr>
              <w:t xml:space="preserve"> then an additional barrier method of contraception is advised. See</w:t>
            </w:r>
            <w:r>
              <w:rPr>
                <w:b/>
              </w:rPr>
              <w:t xml:space="preserve"> </w:t>
            </w:r>
            <w:hyperlink w:history="1" r:id="rId20">
              <w:r w:rsidR="000D13FD">
                <w:rPr>
                  <w:rStyle w:val="Hyperlink"/>
                  <w:rFonts w:cs="Arial"/>
                  <w:b/>
                  <w:color w:val="3333FF"/>
                </w:rPr>
                <w:t>FSRH statement: Contraception for women using known teratogenic drugs (Feb 2018) FSRH</w:t>
              </w:r>
            </w:hyperlink>
            <w:r w:rsidRPr="00E269B0">
              <w:rPr>
                <w:b/>
              </w:rPr>
              <w:t>.</w:t>
            </w:r>
          </w:p>
        </w:tc>
      </w:tr>
      <w:tr w:rsidR="007043FB" w:rsidTr="00C640C0" w14:paraId="6142EA67" w14:textId="77777777">
        <w:tc>
          <w:tcPr>
            <w:tcW w:w="2689" w:type="dxa"/>
          </w:tcPr>
          <w:p w:rsidRPr="005A6168" w:rsidR="007043FB" w:rsidP="007043FB" w:rsidRDefault="007043FB" w14:paraId="751752A4" w14:textId="3BF2F402">
            <w:pPr>
              <w:rPr>
                <w:rStyle w:val="TableHeaderColumn"/>
              </w:rPr>
            </w:pPr>
            <w:r>
              <w:rPr>
                <w:rStyle w:val="TableHeaderColumn"/>
              </w:rPr>
              <w:t>Actions to be taken if the individual is excluded or declines treatment</w:t>
            </w:r>
          </w:p>
        </w:tc>
        <w:tc>
          <w:tcPr>
            <w:tcW w:w="5953" w:type="dxa"/>
          </w:tcPr>
          <w:p w:rsidR="007043FB" w:rsidP="007043FB" w:rsidRDefault="007043FB" w14:paraId="7B0FFC20" w14:textId="411E1AEB">
            <w:pPr>
              <w:pStyle w:val="Bulletindent1"/>
            </w:pPr>
            <w:r>
              <w:t>Explain the reasons for exclusion to the individual and document in the consultation record.</w:t>
            </w:r>
          </w:p>
          <w:p w:rsidR="007043FB" w:rsidP="007043FB" w:rsidRDefault="007043FB" w14:paraId="2F4854C2" w14:textId="01A43390">
            <w:pPr>
              <w:pStyle w:val="Bulletindent1"/>
            </w:pPr>
            <w:r>
              <w:t>Record reason for decl</w:t>
            </w:r>
            <w:r w:rsidR="009E32F3">
              <w:t>ining treatment</w:t>
            </w:r>
            <w:r>
              <w:t xml:space="preserve"> in the consultation record.</w:t>
            </w:r>
          </w:p>
          <w:p w:rsidR="007043FB" w:rsidP="007043FB" w:rsidRDefault="00332380" w14:paraId="1ACA62F4" w14:textId="09209E25">
            <w:pPr>
              <w:pStyle w:val="Bulletindent1"/>
            </w:pPr>
            <w:r w:rsidRPr="00332380">
              <w:t>Where required refer the individual to a suitable health service provider if appropriate and/or provide them with information about further options.</w:t>
            </w:r>
          </w:p>
        </w:tc>
      </w:tr>
    </w:tbl>
    <w:p w:rsidR="00BB2599" w:rsidP="005A6168" w:rsidRDefault="00BB2599" w14:paraId="33A25EBD" w14:textId="75A4AEE9">
      <w:pPr>
        <w:pStyle w:val="PGDNormal"/>
      </w:pPr>
    </w:p>
    <w:p w:rsidR="007A1448" w:rsidP="000E466F" w:rsidRDefault="00C25DE0" w14:paraId="035E86F2" w14:textId="61E18D71">
      <w:pPr>
        <w:pStyle w:val="Heading1"/>
      </w:pPr>
      <w:r w:rsidRPr="00DF77C7">
        <w:t>D</w:t>
      </w:r>
      <w:r w:rsidRPr="00DF77C7" w:rsidR="007A1448">
        <w:t>e</w:t>
      </w:r>
      <w:r w:rsidR="003E69CD">
        <w:t>scription of treatment</w:t>
      </w:r>
    </w:p>
    <w:tbl>
      <w:tblPr>
        <w:tblStyle w:val="TableGrid"/>
        <w:tblW w:w="8642" w:type="dxa"/>
        <w:tblLook w:val="04A0" w:firstRow="1" w:lastRow="0" w:firstColumn="1" w:lastColumn="0" w:noHBand="0" w:noVBand="1"/>
        <w:tblCaption w:val="Table including details of the treatment"/>
        <w:tblDescription w:val="This table provides details of the treatment included in the PGD template.  It consists of fifteen rows which include the name form and strength of the medicine, legal category, route or method of adminstration, off-label use, dose and quantity to be adminstered or supplied, duration of treatment, storage, drug interactions, identification and management of adverse effects, management and reporting of  adverse reactions, additional resources required,  written information for the individual or carer, follow-up treatment and records to be kept."/>
      </w:tblPr>
      <w:tblGrid>
        <w:gridCol w:w="3397"/>
        <w:gridCol w:w="5245"/>
      </w:tblGrid>
      <w:tr w:rsidR="00165DD9" w:rsidTr="009E32F3" w14:paraId="2B351AEC" w14:textId="77777777">
        <w:tc>
          <w:tcPr>
            <w:tcW w:w="3397" w:type="dxa"/>
          </w:tcPr>
          <w:p w:rsidRPr="005A6168" w:rsidR="00165DD9" w:rsidP="005A6168" w:rsidRDefault="00165DD9" w14:paraId="6EB1838B" w14:textId="461B0EDD">
            <w:pPr>
              <w:rPr>
                <w:rStyle w:val="TableHeaderColumn"/>
              </w:rPr>
            </w:pPr>
            <w:r w:rsidRPr="005A6168">
              <w:rPr>
                <w:rStyle w:val="TableHeaderColumn"/>
              </w:rPr>
              <w:t xml:space="preserve">Name, form and strength of </w:t>
            </w:r>
            <w:r w:rsidR="004A295D">
              <w:rPr>
                <w:rStyle w:val="TableHeaderColumn"/>
              </w:rPr>
              <w:t>medicine</w:t>
            </w:r>
          </w:p>
        </w:tc>
        <w:tc>
          <w:tcPr>
            <w:tcW w:w="5245" w:type="dxa"/>
          </w:tcPr>
          <w:p w:rsidRPr="00AF42D9" w:rsidR="00332380" w:rsidP="00332380" w:rsidRDefault="00332380" w14:paraId="400313EF" w14:textId="77777777">
            <w:pPr>
              <w:pStyle w:val="Bulletindent1"/>
            </w:pPr>
            <w:r w:rsidRPr="00AF42D9">
              <w:t>This is a list of generic combined oral contraceptive pills.</w:t>
            </w:r>
          </w:p>
          <w:p w:rsidRPr="00AF42D9" w:rsidR="00332380" w:rsidP="00332380" w:rsidRDefault="00332380" w14:paraId="512082D4" w14:textId="77777777">
            <w:pPr>
              <w:pStyle w:val="Bulletindent1"/>
            </w:pPr>
            <w:r w:rsidRPr="00AF42D9">
              <w:t xml:space="preserve">This PGD does not restrict which brands can be supplied – local formularies/restrictions should be referred to. </w:t>
            </w:r>
          </w:p>
          <w:p w:rsidRPr="00AF42D9" w:rsidR="00332380" w:rsidP="00332380" w:rsidRDefault="00332380" w14:paraId="6747D209" w14:textId="63EFABB2">
            <w:pPr>
              <w:pStyle w:val="Bulletindent1"/>
            </w:pPr>
            <w:r>
              <w:t>F</w:t>
            </w:r>
            <w:r w:rsidRPr="00AF42D9">
              <w:t>or further information and further brand information including full details of adverse effects and interactions</w:t>
            </w:r>
            <w:r w:rsidR="009E32F3">
              <w:t>, s</w:t>
            </w:r>
            <w:r w:rsidRPr="00AF42D9">
              <w:t xml:space="preserve">ee </w:t>
            </w:r>
            <w:hyperlink w:history="1" r:id="rId21">
              <w:r w:rsidRPr="00332380">
                <w:rPr>
                  <w:rStyle w:val="Hyperlink"/>
                </w:rPr>
                <w:t>MHRA products search</w:t>
              </w:r>
            </w:hyperlink>
            <w:r>
              <w:t xml:space="preserve"> </w:t>
            </w:r>
            <w:r w:rsidRPr="00AF42D9">
              <w:t xml:space="preserve">or </w:t>
            </w:r>
            <w:hyperlink w:history="1" r:id="rId22">
              <w:r>
                <w:rPr>
                  <w:color w:val="0000FF"/>
                  <w:u w:val="single"/>
                </w:rPr>
                <w:t>the EMC website</w:t>
              </w:r>
            </w:hyperlink>
          </w:p>
          <w:p w:rsidRPr="007A474D" w:rsidR="00332380" w:rsidP="00332380" w:rsidRDefault="00332380" w14:paraId="49518700" w14:textId="1ED47F10">
            <w:pPr>
              <w:pStyle w:val="Bulletindent1"/>
              <w:rPr>
                <w:b/>
                <w:u w:val="single"/>
              </w:rPr>
            </w:pPr>
            <w:r w:rsidRPr="00AF42D9">
              <w:t xml:space="preserve">COC containing ≤30micrograms ethinylestradiol in combination with </w:t>
            </w:r>
            <w:r w:rsidRPr="00AF42D9">
              <w:t>levonorgestrel or norethisterone is a reasonable first-line choice of C</w:t>
            </w:r>
            <w:r w:rsidR="009E32F3">
              <w:t>O</w:t>
            </w:r>
            <w:r w:rsidRPr="00AF42D9">
              <w:t>C to minimise cardiovascular risk.</w:t>
            </w:r>
          </w:p>
          <w:p w:rsidRPr="00332380" w:rsidR="00332380" w:rsidP="00332380" w:rsidRDefault="00332380" w14:paraId="5C0CFD06" w14:textId="77777777">
            <w:pPr>
              <w:pStyle w:val="Tabletext"/>
              <w:rPr>
                <w:b/>
                <w:bCs/>
                <w:u w:val="single"/>
              </w:rPr>
            </w:pPr>
            <w:r w:rsidRPr="00332380">
              <w:rPr>
                <w:b/>
                <w:bCs/>
              </w:rPr>
              <w:t>Monophasic</w:t>
            </w:r>
          </w:p>
          <w:p w:rsidRPr="00AF42D9" w:rsidR="00332380" w:rsidP="00332380" w:rsidRDefault="00332380" w14:paraId="7953BCB9" w14:textId="77777777">
            <w:pPr>
              <w:pStyle w:val="Bulletindent1"/>
            </w:pPr>
            <w:r w:rsidRPr="00AF42D9">
              <w:t>Ethinylestradiol 20micrograms and desogestrel 150micrograms</w:t>
            </w:r>
          </w:p>
          <w:p w:rsidRPr="00AF42D9" w:rsidR="00332380" w:rsidP="00332380" w:rsidRDefault="00332380" w14:paraId="1C7BF47A" w14:textId="77777777">
            <w:pPr>
              <w:pStyle w:val="Bulletindent1"/>
            </w:pPr>
            <w:r w:rsidRPr="00AF42D9">
              <w:t>Ethinylestradiol 20micrograms and drospirenone 3mg</w:t>
            </w:r>
          </w:p>
          <w:p w:rsidR="00332380" w:rsidP="00332380" w:rsidRDefault="00332380" w14:paraId="5A5EBC1E" w14:textId="77777777">
            <w:pPr>
              <w:pStyle w:val="Bulletindent1"/>
            </w:pPr>
            <w:r w:rsidRPr="00AF42D9">
              <w:t>Ethinylestradiol 20micrograms and gestodene 75micrograms</w:t>
            </w:r>
          </w:p>
          <w:p w:rsidRPr="00AF42D9" w:rsidR="00332380" w:rsidP="00332380" w:rsidRDefault="00332380" w14:paraId="2B369B41" w14:textId="77777777">
            <w:pPr>
              <w:pStyle w:val="Bulletindent1"/>
            </w:pPr>
            <w:r w:rsidRPr="00AF42D9">
              <w:t>Ethinylestradiol 30micrograms and desogestrel 150micrograms</w:t>
            </w:r>
          </w:p>
          <w:p w:rsidRPr="00AF42D9" w:rsidR="00332380" w:rsidP="00332380" w:rsidRDefault="00332380" w14:paraId="68EEDB5C" w14:textId="77777777">
            <w:pPr>
              <w:pStyle w:val="Bulletindent1"/>
            </w:pPr>
            <w:r w:rsidRPr="00AF42D9">
              <w:t>Ethinylestradiol 30micrograms and drospirenone 3mg</w:t>
            </w:r>
          </w:p>
          <w:p w:rsidRPr="00AF42D9" w:rsidR="00332380" w:rsidP="00332380" w:rsidRDefault="00332380" w14:paraId="2E6254F4" w14:textId="77777777">
            <w:pPr>
              <w:pStyle w:val="Bulletindent1"/>
            </w:pPr>
            <w:r w:rsidRPr="00AF42D9">
              <w:t xml:space="preserve">Ethinylestradiol 30micrograms and gestodene 75micrograms </w:t>
            </w:r>
          </w:p>
          <w:p w:rsidRPr="00AF42D9" w:rsidR="00332380" w:rsidP="00332380" w:rsidRDefault="00332380" w14:paraId="0D61EA23" w14:textId="77777777">
            <w:pPr>
              <w:pStyle w:val="Bulletindent1"/>
            </w:pPr>
            <w:r w:rsidRPr="00AF42D9">
              <w:t xml:space="preserve">Ethinylestradiol 30micrograms and levonorgestrel 150micrograms </w:t>
            </w:r>
          </w:p>
          <w:p w:rsidRPr="00AF42D9" w:rsidR="00332380" w:rsidP="00332380" w:rsidRDefault="00332380" w14:paraId="005FFDDC" w14:textId="77777777">
            <w:pPr>
              <w:pStyle w:val="Bulletindent1"/>
            </w:pPr>
            <w:r w:rsidRPr="00AF42D9">
              <w:t xml:space="preserve">Ethinylestradiol 35micrograms and norgestimate 250micrograms </w:t>
            </w:r>
          </w:p>
          <w:p w:rsidRPr="00AF42D9" w:rsidR="00332380" w:rsidP="00332380" w:rsidRDefault="00332380" w14:paraId="7D9A9CC9" w14:textId="591B5144">
            <w:pPr>
              <w:pStyle w:val="Bulletindent1"/>
            </w:pPr>
            <w:r w:rsidRPr="00AF42D9">
              <w:t xml:space="preserve">Ethinylestradiol 35micrograms and norethisterone 500micrograms </w:t>
            </w:r>
          </w:p>
          <w:p w:rsidR="00332380" w:rsidP="00332380" w:rsidRDefault="00332380" w14:paraId="2F7DD03F" w14:textId="77777777">
            <w:pPr>
              <w:pStyle w:val="Bulletindent1"/>
            </w:pPr>
            <w:r w:rsidRPr="00AF42D9">
              <w:t>Ethinylestradiol 35micrograms and norethisterone 1mg</w:t>
            </w:r>
          </w:p>
          <w:p w:rsidRPr="00AF42D9" w:rsidR="00332380" w:rsidP="00332380" w:rsidRDefault="00332380" w14:paraId="08AAC11B" w14:textId="77777777">
            <w:pPr>
              <w:pStyle w:val="Bulletindent1"/>
            </w:pPr>
            <w:r w:rsidRPr="008C223A">
              <w:t>Mestranol 50microgram</w:t>
            </w:r>
            <w:r>
              <w:t xml:space="preserve"> and n</w:t>
            </w:r>
            <w:r w:rsidRPr="008C223A">
              <w:t>orethisterone 1mg tablets</w:t>
            </w:r>
          </w:p>
          <w:p w:rsidRPr="00332380" w:rsidR="00332380" w:rsidP="00332380" w:rsidRDefault="00332380" w14:paraId="10152731" w14:textId="77777777">
            <w:pPr>
              <w:pStyle w:val="Tabletext"/>
              <w:rPr>
                <w:b/>
                <w:bCs/>
              </w:rPr>
            </w:pPr>
            <w:r w:rsidRPr="00332380">
              <w:rPr>
                <w:b/>
                <w:bCs/>
              </w:rPr>
              <w:t xml:space="preserve">Monophasic every day </w:t>
            </w:r>
          </w:p>
          <w:p w:rsidRPr="00332380" w:rsidR="00332380" w:rsidP="00332380" w:rsidRDefault="00332380" w14:paraId="168D4E7B" w14:textId="77777777">
            <w:pPr>
              <w:pStyle w:val="Bulletindent1"/>
            </w:pPr>
            <w:r w:rsidRPr="00332380">
              <w:t>Ethinylestradiol 20micrograms and drospirenone 3mg + 7 inactive</w:t>
            </w:r>
          </w:p>
          <w:p w:rsidRPr="00332380" w:rsidR="00332380" w:rsidP="00332380" w:rsidRDefault="00332380" w14:paraId="460889B1" w14:textId="08099059">
            <w:pPr>
              <w:pStyle w:val="Bulletindent1"/>
            </w:pPr>
            <w:r w:rsidRPr="00332380">
              <w:t>Ethinylestradiol 30micrograms and gestodene 75</w:t>
            </w:r>
            <w:proofErr w:type="gramStart"/>
            <w:r w:rsidRPr="00332380">
              <w:t>micrograms  +</w:t>
            </w:r>
            <w:proofErr w:type="gramEnd"/>
            <w:r w:rsidRPr="00332380">
              <w:t xml:space="preserve"> 7 inactive</w:t>
            </w:r>
          </w:p>
          <w:p w:rsidRPr="00332380" w:rsidR="00332380" w:rsidP="00332380" w:rsidRDefault="00332380" w14:paraId="5097304E" w14:textId="77777777">
            <w:pPr>
              <w:pStyle w:val="Bulletindent1"/>
            </w:pPr>
            <w:r w:rsidRPr="00332380">
              <w:t>Ethinylestradiol 30micrograms and levonorgestrel 150micrograms + 7 inactive</w:t>
            </w:r>
          </w:p>
          <w:p w:rsidRPr="00332380" w:rsidR="00332380" w:rsidP="00332380" w:rsidRDefault="00332380" w14:paraId="5324F47B" w14:textId="77777777">
            <w:pPr>
              <w:pStyle w:val="Bulletindent1"/>
            </w:pPr>
            <w:r w:rsidRPr="00332380">
              <w:t xml:space="preserve">Estradiol (as hemihydrate) 1.5mg and nomegestrol acetate 2.5mg + 4 inactive </w:t>
            </w:r>
          </w:p>
          <w:p w:rsidRPr="00332380" w:rsidR="00332380" w:rsidP="00332380" w:rsidRDefault="00332380" w14:paraId="4BC3EBD9" w14:textId="77777777">
            <w:pPr>
              <w:pStyle w:val="Tabletext"/>
              <w:rPr>
                <w:b/>
                <w:bCs/>
              </w:rPr>
            </w:pPr>
            <w:r w:rsidRPr="00332380">
              <w:rPr>
                <w:b/>
                <w:bCs/>
              </w:rPr>
              <w:t>Phasic</w:t>
            </w:r>
          </w:p>
          <w:p w:rsidRPr="00332380" w:rsidR="00332380" w:rsidP="00332380" w:rsidRDefault="00332380" w14:paraId="363BC384" w14:textId="77777777">
            <w:pPr>
              <w:pStyle w:val="Bulletindent1"/>
            </w:pPr>
            <w:r w:rsidRPr="00332380">
              <w:t>Ethinylestradiol 30/40/30micrograms and levonorgestrel 50/75/125micrograms</w:t>
            </w:r>
          </w:p>
          <w:p w:rsidRPr="00332380" w:rsidR="00332380" w:rsidP="00332380" w:rsidRDefault="00332380" w14:paraId="2DC87712" w14:textId="77777777">
            <w:pPr>
              <w:pStyle w:val="Bulletindent1"/>
            </w:pPr>
            <w:r w:rsidRPr="00332380">
              <w:t>Ethinylestradiol 35micrograms and norethisterone 0.5/1mg</w:t>
            </w:r>
          </w:p>
          <w:p w:rsidRPr="00332380" w:rsidR="00332380" w:rsidP="00332380" w:rsidRDefault="00332380" w14:paraId="7E8CB864" w14:textId="77777777">
            <w:pPr>
              <w:pStyle w:val="Tabletext"/>
              <w:rPr>
                <w:b/>
                <w:bCs/>
              </w:rPr>
            </w:pPr>
            <w:r w:rsidRPr="00332380">
              <w:rPr>
                <w:b/>
                <w:bCs/>
              </w:rPr>
              <w:t>Phasic every day</w:t>
            </w:r>
          </w:p>
          <w:p w:rsidRPr="00332380" w:rsidR="00332380" w:rsidP="00332380" w:rsidRDefault="00332380" w14:paraId="778ABFC6" w14:textId="77777777">
            <w:pPr>
              <w:pStyle w:val="Bulletindent1"/>
            </w:pPr>
            <w:r w:rsidRPr="00332380">
              <w:t>Estradiol valerate 3/2/2/1mg + dienogest 0/2/3/0mg + 2 inactive</w:t>
            </w:r>
          </w:p>
          <w:p w:rsidRPr="0012506B" w:rsidR="00165DD9" w:rsidP="00590856" w:rsidRDefault="00332380" w14:paraId="2B104BB5" w14:textId="446B8CD1">
            <w:pPr>
              <w:pStyle w:val="Bulletindent1"/>
            </w:pPr>
            <w:r w:rsidRPr="00332380">
              <w:t>Ethinylestradiol 30/40/30 micrograms and levonorgestrel 50/75/125micrograms + 7 inactive</w:t>
            </w:r>
          </w:p>
        </w:tc>
      </w:tr>
      <w:tr w:rsidR="00165DD9" w:rsidTr="00EE1A3A" w14:paraId="6DAA0645" w14:textId="77777777">
        <w:tc>
          <w:tcPr>
            <w:tcW w:w="3397" w:type="dxa"/>
          </w:tcPr>
          <w:p w:rsidRPr="005A6168" w:rsidR="00165DD9" w:rsidP="005A6168" w:rsidRDefault="00165DD9" w14:paraId="2F56A41B" w14:textId="05091A78">
            <w:pPr>
              <w:rPr>
                <w:rStyle w:val="TableHeaderColumn"/>
              </w:rPr>
            </w:pPr>
            <w:r w:rsidRPr="005A6168">
              <w:rPr>
                <w:rStyle w:val="TableHeaderColumn"/>
              </w:rPr>
              <w:t>Legal category</w:t>
            </w:r>
          </w:p>
        </w:tc>
        <w:tc>
          <w:tcPr>
            <w:tcW w:w="5245" w:type="dxa"/>
          </w:tcPr>
          <w:p w:rsidR="00165DD9" w:rsidP="009B62D2" w:rsidRDefault="00165DD9" w14:paraId="29E26784" w14:textId="38A505D5">
            <w:pPr>
              <w:pStyle w:val="Tabletext"/>
            </w:pPr>
            <w:r w:rsidRPr="008676A6">
              <w:t>P</w:t>
            </w:r>
            <w:r w:rsidR="00332380">
              <w:t>OM</w:t>
            </w:r>
          </w:p>
        </w:tc>
      </w:tr>
      <w:tr w:rsidR="00165DD9" w:rsidTr="00EE1A3A" w14:paraId="44E2B1CC" w14:textId="77777777">
        <w:tc>
          <w:tcPr>
            <w:tcW w:w="3397" w:type="dxa"/>
          </w:tcPr>
          <w:p w:rsidRPr="004A295D" w:rsidR="004A295D" w:rsidP="005A6168" w:rsidRDefault="00165DD9" w14:paraId="2EBF84AC" w14:textId="71F3565C">
            <w:pPr>
              <w:rPr>
                <w:rStyle w:val="TableHeaderColumn"/>
              </w:rPr>
            </w:pPr>
            <w:r w:rsidRPr="005A6168">
              <w:rPr>
                <w:rStyle w:val="TableHeaderColumn"/>
              </w:rPr>
              <w:t>Route</w:t>
            </w:r>
            <w:r w:rsidRPr="005A6168" w:rsidR="009604EE">
              <w:rPr>
                <w:rStyle w:val="TableHeaderColumn"/>
              </w:rPr>
              <w:t xml:space="preserve"> or </w:t>
            </w:r>
            <w:r w:rsidRPr="005A6168">
              <w:rPr>
                <w:rStyle w:val="TableHeaderColumn"/>
              </w:rPr>
              <w:t>method of administration</w:t>
            </w:r>
          </w:p>
        </w:tc>
        <w:tc>
          <w:tcPr>
            <w:tcW w:w="5245" w:type="dxa"/>
          </w:tcPr>
          <w:p w:rsidR="004A295D" w:rsidP="0012506B" w:rsidRDefault="00476781" w14:paraId="04517ADA" w14:textId="47BED888">
            <w:pPr>
              <w:pStyle w:val="Tabletext"/>
            </w:pPr>
            <w:r>
              <w:t>Oral</w:t>
            </w:r>
          </w:p>
        </w:tc>
      </w:tr>
      <w:tr w:rsidR="003E69CD" w:rsidTr="00EE1A3A" w14:paraId="264CA183" w14:textId="77777777">
        <w:tc>
          <w:tcPr>
            <w:tcW w:w="3397" w:type="dxa"/>
          </w:tcPr>
          <w:p w:rsidRPr="005A6168" w:rsidR="003E69CD" w:rsidP="005A6168" w:rsidRDefault="003E69CD" w14:paraId="011DED45" w14:textId="0D334062">
            <w:pPr>
              <w:rPr>
                <w:rStyle w:val="TableHeaderColumn"/>
              </w:rPr>
            </w:pPr>
            <w:r>
              <w:rPr>
                <w:rStyle w:val="TableHeaderColumn"/>
              </w:rPr>
              <w:t>Off label use</w:t>
            </w:r>
          </w:p>
        </w:tc>
        <w:tc>
          <w:tcPr>
            <w:tcW w:w="5245" w:type="dxa"/>
          </w:tcPr>
          <w:p w:rsidR="0012506B" w:rsidP="0012506B" w:rsidRDefault="00770955" w14:paraId="48165889" w14:textId="4878DF6A">
            <w:pPr>
              <w:pStyle w:val="Tabletext"/>
            </w:pPr>
            <w:r w:rsidRPr="00770955">
              <w:t xml:space="preserve">Best practice advice given by College of Sexual and Reproductive Healthcare (CoSRH) is used for guidance in this PGD and may vary from the </w:t>
            </w:r>
            <w:hyperlink w:history="1" r:id="rId23">
              <w:r w:rsidRPr="00082163" w:rsidR="00082163">
                <w:rPr>
                  <w:rStyle w:val="Hyperlink"/>
                  <w:lang w:val="en-GB"/>
                </w:rPr>
                <w:t>Summary of Product Characteristics (SmPC) which can be accessed on the EMC website</w:t>
              </w:r>
            </w:hyperlink>
          </w:p>
          <w:p w:rsidR="00770955" w:rsidP="00770955" w:rsidRDefault="00770955" w14:paraId="41EF1189" w14:textId="77777777">
            <w:pPr>
              <w:pStyle w:val="Tabletext"/>
            </w:pPr>
          </w:p>
          <w:p w:rsidR="00332380" w:rsidP="00332380" w:rsidRDefault="00332380" w14:paraId="4B16137B" w14:textId="77777777">
            <w:pPr>
              <w:pStyle w:val="Tabletext"/>
            </w:pPr>
            <w:r w:rsidRPr="00AF42D9">
              <w:t xml:space="preserve">This PGD includes inclusion criteria, exclusion criteria and dosage regimen which are outside the market authorisation for many of the available </w:t>
            </w:r>
            <w:proofErr w:type="gramStart"/>
            <w:r w:rsidRPr="00AF42D9">
              <w:t>products</w:t>
            </w:r>
            <w:proofErr w:type="gramEnd"/>
            <w:r w:rsidRPr="00AF42D9">
              <w:t xml:space="preserve"> but which are included within </w:t>
            </w:r>
            <w:r>
              <w:t>Co</w:t>
            </w:r>
            <w:r w:rsidRPr="00AF42D9">
              <w:t>SRH guidance.  Specifically</w:t>
            </w:r>
            <w:r>
              <w:t>:</w:t>
            </w:r>
          </w:p>
          <w:p w:rsidRPr="00E269B0" w:rsidR="00332380" w:rsidP="00332380" w:rsidRDefault="00332380" w14:paraId="28F62A6E" w14:textId="77777777">
            <w:pPr>
              <w:pStyle w:val="Bulletindent1"/>
            </w:pPr>
            <w:r w:rsidRPr="00AF42D9">
              <w:t xml:space="preserve">the use of tailored COC </w:t>
            </w:r>
            <w:r w:rsidRPr="00E269B0">
              <w:t xml:space="preserve">regimen is outside the manufacturer’s licence but is supported by the </w:t>
            </w:r>
            <w:r>
              <w:t>College</w:t>
            </w:r>
            <w:r w:rsidRPr="00E269B0">
              <w:t xml:space="preserve"> of Sexual &amp; Reproductive Healthcare (</w:t>
            </w:r>
            <w:r>
              <w:t>Co</w:t>
            </w:r>
            <w:r w:rsidRPr="00E269B0">
              <w:t xml:space="preserve">SRH). The regimes detailed within this PGD are permitted under this PGD. </w:t>
            </w:r>
          </w:p>
          <w:p w:rsidRPr="00E269B0" w:rsidR="00332380" w:rsidP="00332380" w:rsidRDefault="00332380" w14:paraId="06C68226" w14:textId="77777777">
            <w:pPr>
              <w:pStyle w:val="Bulletindent1"/>
            </w:pPr>
            <w:r w:rsidRPr="00E269B0">
              <w:t xml:space="preserve">Use for the control of problematic bleeding caused by the subdermal implant, IUS or medroxyprogesterone injection. </w:t>
            </w:r>
          </w:p>
          <w:p w:rsidRPr="005A6885" w:rsidR="005F17C5" w:rsidP="005A6885" w:rsidRDefault="005F17C5" w14:paraId="2B5A6675" w14:textId="4CF988BD">
            <w:pPr>
              <w:pStyle w:val="Tabletext"/>
            </w:pPr>
            <w:r w:rsidRPr="005A6885">
              <w:t xml:space="preserve">Medicines should be stored according to the conditions detailed in the </w:t>
            </w:r>
            <w:hyperlink w:history="1" w:anchor="Storage">
              <w:r w:rsidRPr="00B65EE5">
                <w:rPr>
                  <w:rStyle w:val="Hyperlink"/>
                </w:rPr>
                <w:t>Storage section below</w:t>
              </w:r>
            </w:hyperlink>
            <w:r w:rsidRPr="005A6885">
              <w:t>. However, in the event of an inadvertent or unavoidable deviation of these conditions the local pharmacy or Medicines Management team must be consulted.  Where medicines have been assessed by pharmacy/Medicines Management in accordance with national or specific product recommendations as appropriate for continued use this would constitute off-label administration under this PGD. The responsibility for the decision to release the affected drugs for use lies with pharmacy/Medicines Management.</w:t>
            </w:r>
          </w:p>
          <w:p w:rsidRPr="005A6885" w:rsidR="005F17C5" w:rsidP="005A6885" w:rsidRDefault="005F17C5" w14:paraId="46196D32" w14:textId="77777777">
            <w:pPr>
              <w:pStyle w:val="Tabletext"/>
            </w:pPr>
          </w:p>
          <w:p w:rsidRPr="003B61FD" w:rsidR="003E69CD" w:rsidP="005F17C5" w:rsidRDefault="005F17C5" w14:paraId="74240E7C" w14:textId="587EF712">
            <w:pPr>
              <w:pStyle w:val="Tabletext"/>
              <w:rPr>
                <w:szCs w:val="22"/>
              </w:rPr>
            </w:pPr>
            <w:r w:rsidRPr="005A6885">
              <w:t xml:space="preserve">Where a medicine is recommended </w:t>
            </w:r>
            <w:proofErr w:type="gramStart"/>
            <w:r w:rsidRPr="005A6885">
              <w:t>off-label</w:t>
            </w:r>
            <w:proofErr w:type="gramEnd"/>
            <w:r w:rsidRPr="005A6885">
              <w:t xml:space="preserve"> </w:t>
            </w:r>
            <w:proofErr w:type="gramStart"/>
            <w:r w:rsidRPr="005A6885">
              <w:t>consider,</w:t>
            </w:r>
            <w:proofErr w:type="gramEnd"/>
            <w:r w:rsidRPr="005A6885">
              <w:t xml:space="preserve"> as part of the consent process, </w:t>
            </w:r>
            <w:proofErr w:type="gramStart"/>
            <w:r w:rsidRPr="005A6885">
              <w:t>informing</w:t>
            </w:r>
            <w:proofErr w:type="gramEnd"/>
            <w:r w:rsidRPr="005A6885">
              <w:t xml:space="preserve"> </w:t>
            </w:r>
            <w:r w:rsidRPr="005A6885">
              <w:t>the individual/parent/carer that the drug is being offered in accordance with national guidance but that this is outside the product licence.</w:t>
            </w:r>
          </w:p>
        </w:tc>
      </w:tr>
      <w:tr w:rsidR="00165DD9" w:rsidTr="00EE1A3A" w14:paraId="27DDC201" w14:textId="77777777">
        <w:tc>
          <w:tcPr>
            <w:tcW w:w="3397" w:type="dxa"/>
          </w:tcPr>
          <w:p w:rsidRPr="005A6168" w:rsidR="00165DD9" w:rsidP="005A6168" w:rsidRDefault="00165DD9" w14:paraId="47CBA637" w14:textId="26C43375">
            <w:pPr>
              <w:rPr>
                <w:rStyle w:val="TableHeaderColumn"/>
              </w:rPr>
            </w:pPr>
            <w:r w:rsidRPr="005A6168">
              <w:rPr>
                <w:rStyle w:val="TableHeaderColumn"/>
              </w:rPr>
              <w:t>Dose and frequency</w:t>
            </w:r>
            <w:r w:rsidR="005F17C5">
              <w:rPr>
                <w:rStyle w:val="TableHeaderColumn"/>
              </w:rPr>
              <w:t xml:space="preserve"> of administration</w:t>
            </w:r>
          </w:p>
        </w:tc>
        <w:tc>
          <w:tcPr>
            <w:tcW w:w="5245" w:type="dxa"/>
          </w:tcPr>
          <w:p w:rsidRPr="00B65EE5" w:rsidR="00B65EE5" w:rsidP="00B65EE5" w:rsidRDefault="00B65EE5" w14:paraId="41AEED81" w14:textId="77777777">
            <w:pPr>
              <w:pStyle w:val="Tabletext"/>
              <w:rPr>
                <w:b/>
                <w:bCs/>
              </w:rPr>
            </w:pPr>
            <w:r w:rsidRPr="00B65EE5">
              <w:rPr>
                <w:b/>
                <w:bCs/>
              </w:rPr>
              <w:t xml:space="preserve">Contraception </w:t>
            </w:r>
          </w:p>
          <w:p w:rsidRPr="00E269B0" w:rsidR="00B65EE5" w:rsidP="00B65EE5" w:rsidRDefault="00B65EE5" w14:paraId="6EDA47ED" w14:textId="77777777">
            <w:pPr>
              <w:pStyle w:val="Tabletext"/>
            </w:pPr>
          </w:p>
          <w:p w:rsidRPr="00E269B0" w:rsidR="00B65EE5" w:rsidP="00B65EE5" w:rsidRDefault="00B65EE5" w14:paraId="470635AD" w14:textId="77777777">
            <w:pPr>
              <w:pStyle w:val="Tabletext"/>
            </w:pPr>
            <w:r>
              <w:t>Co</w:t>
            </w:r>
            <w:r w:rsidRPr="00E269B0">
              <w:t xml:space="preserve">SRH guidance states that COC can either be taken following a standard or tailored regimen.  </w:t>
            </w:r>
          </w:p>
          <w:p w:rsidRPr="00E269B0" w:rsidR="00B65EE5" w:rsidP="00B65EE5" w:rsidRDefault="00B65EE5" w14:paraId="5445FAF3" w14:textId="77777777">
            <w:pPr>
              <w:pStyle w:val="Tabletext"/>
            </w:pPr>
          </w:p>
          <w:p w:rsidRPr="00E269B0" w:rsidR="00B65EE5" w:rsidP="00B65EE5" w:rsidRDefault="00B65EE5" w14:paraId="1BB91299" w14:textId="77777777">
            <w:pPr>
              <w:pStyle w:val="Tabletext"/>
            </w:pPr>
            <w:r w:rsidRPr="00E269B0">
              <w:t>Individuals should be given information about both standard and tailored COC regimen to broaden contraceptive choice.</w:t>
            </w:r>
          </w:p>
          <w:p w:rsidR="00B65EE5" w:rsidP="00B65EE5" w:rsidRDefault="00B65EE5" w14:paraId="260B34A7" w14:textId="77777777">
            <w:pPr>
              <w:overflowPunct w:val="0"/>
              <w:autoSpaceDE w:val="0"/>
              <w:autoSpaceDN w:val="0"/>
              <w:adjustRightInd w:val="0"/>
              <w:textAlignment w:val="baseline"/>
              <w:rPr>
                <w:rFonts w:ascii="Arial" w:hAnsi="Arial" w:cs="Arial"/>
              </w:rPr>
            </w:pPr>
          </w:p>
          <w:p w:rsidRPr="00B65EE5" w:rsidR="00B65EE5" w:rsidP="00B65EE5" w:rsidRDefault="00B65EE5" w14:paraId="01C960A9" w14:textId="77777777">
            <w:pPr>
              <w:pStyle w:val="Tabletext"/>
              <w:rPr>
                <w:b/>
                <w:bCs/>
              </w:rPr>
            </w:pPr>
            <w:r w:rsidRPr="00B65EE5">
              <w:rPr>
                <w:b/>
                <w:bCs/>
              </w:rPr>
              <w:t>Monophasic COC products/regimen</w:t>
            </w:r>
          </w:p>
          <w:p w:rsidR="0012506B" w:rsidP="00B65EE5" w:rsidRDefault="00B65EE5" w14:paraId="4AD644F9" w14:textId="77777777">
            <w:pPr>
              <w:pStyle w:val="Bulletindent1"/>
            </w:pPr>
            <w:r w:rsidRPr="00E269B0">
              <w:t>Monophasic COC can either be taken as a standard regimen or in a tailored regimen depending on the choice of the individual</w:t>
            </w:r>
          </w:p>
          <w:p w:rsidR="00B65EE5" w:rsidP="00B65EE5" w:rsidRDefault="00B65EE5" w14:paraId="3CEFB246" w14:textId="09B9AB57">
            <w:pPr>
              <w:pStyle w:val="Bulletindent1"/>
            </w:pPr>
            <w:r w:rsidRPr="00E269B0">
              <w:t>The regimens which can be advised are detailed</w:t>
            </w:r>
            <w:r>
              <w:t xml:space="preserve"> </w:t>
            </w:r>
            <w:hyperlink w:history="1" w:anchor="Regimens">
              <w:r w:rsidRPr="008039DB">
                <w:rPr>
                  <w:rStyle w:val="Hyperlink"/>
                </w:rPr>
                <w:t>in the table</w:t>
              </w:r>
              <w:r w:rsidRPr="008039DB" w:rsidR="006B5AF7">
                <w:rPr>
                  <w:rStyle w:val="Hyperlink"/>
                </w:rPr>
                <w:t>s</w:t>
              </w:r>
              <w:r w:rsidRPr="008039DB">
                <w:rPr>
                  <w:rStyle w:val="Hyperlink"/>
                </w:rPr>
                <w:t xml:space="preserve"> below</w:t>
              </w:r>
            </w:hyperlink>
          </w:p>
          <w:p w:rsidRPr="00E269B0" w:rsidR="00B65EE5" w:rsidP="00B65EE5" w:rsidRDefault="00B65EE5" w14:paraId="6D558191" w14:textId="439FEBF8">
            <w:pPr>
              <w:pStyle w:val="Bulletindent1"/>
            </w:pPr>
            <w:r w:rsidRPr="00E269B0">
              <w:t>For the monophasic regimen</w:t>
            </w:r>
            <w:r w:rsidR="008039DB">
              <w:t>s</w:t>
            </w:r>
            <w:r w:rsidRPr="00E269B0">
              <w:t xml:space="preserve"> </w:t>
            </w:r>
            <w:hyperlink w:history="1" w:anchor="Regimens">
              <w:r w:rsidRPr="002E3EBF">
                <w:rPr>
                  <w:rStyle w:val="Hyperlink"/>
                </w:rPr>
                <w:t xml:space="preserve">detailed </w:t>
              </w:r>
              <w:r w:rsidRPr="002E3EBF" w:rsidR="002E3EBF">
                <w:rPr>
                  <w:rStyle w:val="Hyperlink"/>
                </w:rPr>
                <w:t xml:space="preserve">in the tables </w:t>
              </w:r>
              <w:r w:rsidRPr="002E3EBF">
                <w:rPr>
                  <w:rStyle w:val="Hyperlink"/>
                </w:rPr>
                <w:t>below</w:t>
              </w:r>
            </w:hyperlink>
            <w:r w:rsidRPr="00E269B0">
              <w:t xml:space="preserve"> a single tablet is to be taken at the same time each day starting on day 1-5 of the menstrual cycle with no need for additional precautions. </w:t>
            </w:r>
          </w:p>
          <w:p w:rsidR="00B65EE5" w:rsidP="00B65EE5" w:rsidRDefault="00B65EE5" w14:paraId="6AB47447" w14:textId="792CDA19">
            <w:pPr>
              <w:pStyle w:val="Bulletindent1"/>
            </w:pPr>
            <w:r w:rsidRPr="00E269B0">
              <w:t xml:space="preserve">Individuals should have access to clear information (either written or digital) to support tailored COC use. </w:t>
            </w:r>
          </w:p>
        </w:tc>
      </w:tr>
    </w:tbl>
    <w:p w:rsidR="006B5AF7" w:rsidP="006B5AF7" w:rsidRDefault="006B5AF7" w14:paraId="12BA1686" w14:textId="77777777">
      <w:pPr>
        <w:pStyle w:val="Tabletitle"/>
      </w:pPr>
    </w:p>
    <w:p w:rsidRPr="006B5AF7" w:rsidR="006B5AF7" w:rsidP="006B5AF7" w:rsidRDefault="006B5AF7" w14:paraId="091CEFA5" w14:textId="77777777">
      <w:pPr>
        <w:pStyle w:val="Tabletitle"/>
        <w:rPr>
          <w:sz w:val="22"/>
          <w:szCs w:val="22"/>
        </w:rPr>
      </w:pPr>
      <w:bookmarkStart w:name="Regimens" w:id="5"/>
      <w:bookmarkEnd w:id="5"/>
      <w:r w:rsidRPr="006B5AF7">
        <w:rPr>
          <w:sz w:val="22"/>
          <w:szCs w:val="22"/>
        </w:rPr>
        <w:t>Monophasic COC regimens</w:t>
      </w:r>
    </w:p>
    <w:p w:rsidRPr="006B5AF7" w:rsidR="006B5AF7" w:rsidP="006B5AF7" w:rsidRDefault="006B5AF7" w14:paraId="32B59089" w14:textId="77777777">
      <w:pPr>
        <w:pStyle w:val="Tabletitle"/>
        <w:jc w:val="center"/>
        <w:rPr>
          <w:sz w:val="22"/>
          <w:szCs w:val="22"/>
        </w:rPr>
      </w:pPr>
      <w:r w:rsidRPr="006B5AF7">
        <w:rPr>
          <w:sz w:val="22"/>
          <w:szCs w:val="22"/>
        </w:rPr>
        <w:t>Standard use</w:t>
      </w:r>
    </w:p>
    <w:tbl>
      <w:tblPr>
        <w:tblStyle w:val="TableGrid"/>
        <w:tblW w:w="8642" w:type="dxa"/>
        <w:tblLayout w:type="fixed"/>
        <w:tblLook w:val="04A0" w:firstRow="1" w:lastRow="0" w:firstColumn="1" w:lastColumn="0" w:noHBand="0" w:noVBand="1"/>
        <w:tblCaption w:val="Monophasic COC regimen - standard"/>
        <w:tblDescription w:val="This table details period of COC use and homone free interval for standard use regimen"/>
      </w:tblPr>
      <w:tblGrid>
        <w:gridCol w:w="2831"/>
        <w:gridCol w:w="2832"/>
        <w:gridCol w:w="2979"/>
      </w:tblGrid>
      <w:tr w:rsidRPr="00E269B0" w:rsidR="006B5AF7" w:rsidTr="00EE1A3A" w14:paraId="59EE373D" w14:textId="77777777">
        <w:tc>
          <w:tcPr>
            <w:tcW w:w="2831" w:type="dxa"/>
          </w:tcPr>
          <w:p w:rsidRPr="006B5AF7" w:rsidR="006B5AF7" w:rsidP="006B5AF7" w:rsidRDefault="006B5AF7" w14:paraId="73AD2164" w14:textId="77777777">
            <w:pPr>
              <w:pStyle w:val="TableHeaderRow"/>
              <w:jc w:val="center"/>
              <w:rPr>
                <w:sz w:val="22"/>
                <w:szCs w:val="22"/>
              </w:rPr>
            </w:pPr>
            <w:r w:rsidRPr="006B5AF7">
              <w:rPr>
                <w:sz w:val="22"/>
                <w:szCs w:val="22"/>
              </w:rPr>
              <w:t>Type of regimen</w:t>
            </w:r>
          </w:p>
        </w:tc>
        <w:tc>
          <w:tcPr>
            <w:tcW w:w="2832" w:type="dxa"/>
          </w:tcPr>
          <w:p w:rsidRPr="006B5AF7" w:rsidR="006B5AF7" w:rsidP="006B5AF7" w:rsidRDefault="006B5AF7" w14:paraId="53E6F230" w14:textId="77777777">
            <w:pPr>
              <w:pStyle w:val="TableHeaderRow"/>
              <w:jc w:val="center"/>
              <w:rPr>
                <w:sz w:val="22"/>
                <w:szCs w:val="22"/>
              </w:rPr>
            </w:pPr>
            <w:r w:rsidRPr="006B5AF7">
              <w:rPr>
                <w:sz w:val="22"/>
                <w:szCs w:val="22"/>
              </w:rPr>
              <w:t>Period of COC use</w:t>
            </w:r>
          </w:p>
        </w:tc>
        <w:tc>
          <w:tcPr>
            <w:tcW w:w="2979" w:type="dxa"/>
          </w:tcPr>
          <w:p w:rsidRPr="006B5AF7" w:rsidR="006B5AF7" w:rsidP="006B5AF7" w:rsidRDefault="006B5AF7" w14:paraId="5DE5F4D3" w14:textId="77777777">
            <w:pPr>
              <w:pStyle w:val="TableHeaderRow"/>
              <w:jc w:val="center"/>
              <w:rPr>
                <w:sz w:val="22"/>
                <w:szCs w:val="22"/>
              </w:rPr>
            </w:pPr>
            <w:r w:rsidRPr="006B5AF7">
              <w:rPr>
                <w:sz w:val="22"/>
                <w:szCs w:val="22"/>
              </w:rPr>
              <w:t>Hormone (pill) free interval</w:t>
            </w:r>
          </w:p>
        </w:tc>
      </w:tr>
      <w:tr w:rsidRPr="00E269B0" w:rsidR="006B5AF7" w:rsidTr="00EE1A3A" w14:paraId="06DD6E9F" w14:textId="77777777">
        <w:tc>
          <w:tcPr>
            <w:tcW w:w="2831" w:type="dxa"/>
          </w:tcPr>
          <w:p w:rsidRPr="006B5AF7" w:rsidR="006B5AF7" w:rsidP="006B5AF7" w:rsidRDefault="006B5AF7" w14:paraId="109D6B41" w14:textId="38DDDE10">
            <w:pPr>
              <w:pStyle w:val="TableHeaderRow"/>
              <w:jc w:val="center"/>
            </w:pPr>
            <w:r w:rsidRPr="006B5AF7">
              <w:rPr>
                <w:sz w:val="22"/>
                <w:szCs w:val="22"/>
              </w:rPr>
              <w:t>Standard Use</w:t>
            </w:r>
          </w:p>
        </w:tc>
        <w:tc>
          <w:tcPr>
            <w:tcW w:w="2832" w:type="dxa"/>
          </w:tcPr>
          <w:p w:rsidRPr="00E269B0" w:rsidR="006B5AF7" w:rsidP="006B5AF7" w:rsidRDefault="006B5AF7" w14:paraId="02284767" w14:textId="578D6055">
            <w:pPr>
              <w:pStyle w:val="Tabletext"/>
              <w:jc w:val="center"/>
            </w:pPr>
            <w:r w:rsidRPr="00912ACA">
              <w:t>21 days (21 active pills)</w:t>
            </w:r>
          </w:p>
        </w:tc>
        <w:tc>
          <w:tcPr>
            <w:tcW w:w="2979" w:type="dxa"/>
          </w:tcPr>
          <w:p w:rsidRPr="00E269B0" w:rsidR="006B5AF7" w:rsidP="006B5AF7" w:rsidRDefault="006B5AF7" w14:paraId="5E47E307" w14:textId="65B56EC6">
            <w:pPr>
              <w:pStyle w:val="Tabletext"/>
              <w:jc w:val="center"/>
              <w:rPr>
                <w:b/>
                <w:sz w:val="18"/>
                <w:szCs w:val="18"/>
              </w:rPr>
            </w:pPr>
            <w:r w:rsidRPr="00912ACA">
              <w:t>7 days</w:t>
            </w:r>
          </w:p>
        </w:tc>
      </w:tr>
    </w:tbl>
    <w:p w:rsidR="006B5AF7" w:rsidP="006B5AF7" w:rsidRDefault="006B5AF7" w14:paraId="7EE7A1CE" w14:textId="77777777">
      <w:pPr>
        <w:pStyle w:val="Tabletitle"/>
        <w:jc w:val="both"/>
      </w:pPr>
    </w:p>
    <w:p w:rsidRPr="006B5AF7" w:rsidR="006B5AF7" w:rsidP="006B5AF7" w:rsidRDefault="006B5AF7" w14:paraId="161CC5C1" w14:textId="77777777">
      <w:pPr>
        <w:pStyle w:val="Tabletitle"/>
        <w:jc w:val="center"/>
        <w:rPr>
          <w:sz w:val="22"/>
          <w:szCs w:val="22"/>
        </w:rPr>
      </w:pPr>
      <w:r w:rsidRPr="006B5AF7">
        <w:rPr>
          <w:sz w:val="22"/>
          <w:szCs w:val="22"/>
        </w:rPr>
        <w:t>Tailored Use</w:t>
      </w:r>
    </w:p>
    <w:tbl>
      <w:tblPr>
        <w:tblStyle w:val="TableGrid"/>
        <w:tblW w:w="8642" w:type="dxa"/>
        <w:tblLook w:val="04A0" w:firstRow="1" w:lastRow="0" w:firstColumn="1" w:lastColumn="0" w:noHBand="0" w:noVBand="1"/>
        <w:tblCaption w:val="Monophasic COC regimens - tailored use"/>
        <w:tblDescription w:val="This table details the period of COC use and hormone free intervals for four standard regimens which are Shortened hormone free interval, extended use (tri-cycling), flexible extended use and continuous use."/>
      </w:tblPr>
      <w:tblGrid>
        <w:gridCol w:w="2831"/>
        <w:gridCol w:w="2832"/>
        <w:gridCol w:w="2979"/>
      </w:tblGrid>
      <w:tr w:rsidR="006B5AF7" w:rsidTr="00EE1A3A" w14:paraId="3EE90A07" w14:textId="77777777">
        <w:tc>
          <w:tcPr>
            <w:tcW w:w="2831" w:type="dxa"/>
          </w:tcPr>
          <w:p w:rsidRPr="006B5AF7" w:rsidR="006B5AF7" w:rsidP="006B5AF7" w:rsidRDefault="006B5AF7" w14:paraId="14B752FA" w14:textId="3E49D6E9">
            <w:pPr>
              <w:pStyle w:val="Tabletitle"/>
              <w:rPr>
                <w:sz w:val="22"/>
                <w:szCs w:val="22"/>
              </w:rPr>
            </w:pPr>
            <w:r w:rsidRPr="006B5AF7">
              <w:rPr>
                <w:sz w:val="22"/>
                <w:szCs w:val="22"/>
              </w:rPr>
              <w:t>Type of regimen</w:t>
            </w:r>
          </w:p>
        </w:tc>
        <w:tc>
          <w:tcPr>
            <w:tcW w:w="2832" w:type="dxa"/>
          </w:tcPr>
          <w:p w:rsidRPr="006B5AF7" w:rsidR="006B5AF7" w:rsidP="006B5AF7" w:rsidRDefault="006B5AF7" w14:paraId="57F6EC6D" w14:textId="31C674B3">
            <w:pPr>
              <w:pStyle w:val="Tabletitle"/>
              <w:rPr>
                <w:sz w:val="22"/>
                <w:szCs w:val="22"/>
              </w:rPr>
            </w:pPr>
            <w:r w:rsidRPr="006B5AF7">
              <w:rPr>
                <w:sz w:val="22"/>
                <w:szCs w:val="22"/>
              </w:rPr>
              <w:t>Period of COC use</w:t>
            </w:r>
          </w:p>
        </w:tc>
        <w:tc>
          <w:tcPr>
            <w:tcW w:w="2979" w:type="dxa"/>
          </w:tcPr>
          <w:p w:rsidRPr="006B5AF7" w:rsidR="006B5AF7" w:rsidP="006B5AF7" w:rsidRDefault="006B5AF7" w14:paraId="36D906DC" w14:textId="2577B884">
            <w:pPr>
              <w:pStyle w:val="Tabletitle"/>
              <w:rPr>
                <w:sz w:val="22"/>
                <w:szCs w:val="22"/>
              </w:rPr>
            </w:pPr>
            <w:r w:rsidRPr="006B5AF7">
              <w:rPr>
                <w:sz w:val="22"/>
                <w:szCs w:val="22"/>
              </w:rPr>
              <w:t>Hormone (pill) free interval</w:t>
            </w:r>
          </w:p>
        </w:tc>
      </w:tr>
      <w:tr w:rsidR="006B5AF7" w:rsidTr="00EE1A3A" w14:paraId="6967D372" w14:textId="77777777">
        <w:tc>
          <w:tcPr>
            <w:tcW w:w="2831" w:type="dxa"/>
          </w:tcPr>
          <w:p w:rsidRPr="006B5AF7" w:rsidR="006B5AF7" w:rsidP="006B5AF7" w:rsidRDefault="006B5AF7" w14:paraId="0D327BCC" w14:textId="22497C9D">
            <w:pPr>
              <w:pStyle w:val="TableHeaderRow"/>
              <w:jc w:val="center"/>
              <w:rPr>
                <w:sz w:val="22"/>
                <w:szCs w:val="22"/>
              </w:rPr>
            </w:pPr>
            <w:r w:rsidRPr="006B5AF7">
              <w:rPr>
                <w:sz w:val="22"/>
                <w:szCs w:val="22"/>
              </w:rPr>
              <w:t>Shortened hormone-free interval</w:t>
            </w:r>
          </w:p>
        </w:tc>
        <w:tc>
          <w:tcPr>
            <w:tcW w:w="2832" w:type="dxa"/>
          </w:tcPr>
          <w:p w:rsidR="006B5AF7" w:rsidP="006B5AF7" w:rsidRDefault="006B5AF7" w14:paraId="64C3FF00" w14:textId="783E50A0">
            <w:pPr>
              <w:pStyle w:val="Tabletext"/>
              <w:jc w:val="center"/>
            </w:pPr>
            <w:r w:rsidRPr="00A75BF1">
              <w:t>21 days (21 active pills)</w:t>
            </w:r>
          </w:p>
        </w:tc>
        <w:tc>
          <w:tcPr>
            <w:tcW w:w="2979" w:type="dxa"/>
          </w:tcPr>
          <w:p w:rsidR="006B5AF7" w:rsidP="006B5AF7" w:rsidRDefault="006B5AF7" w14:paraId="4E1A7E30" w14:textId="09A7EFCE">
            <w:pPr>
              <w:pStyle w:val="Tabletext"/>
              <w:jc w:val="center"/>
            </w:pPr>
            <w:r w:rsidRPr="00A75BF1">
              <w:t>4 days</w:t>
            </w:r>
          </w:p>
        </w:tc>
      </w:tr>
      <w:tr w:rsidR="006B5AF7" w:rsidTr="00EE1A3A" w14:paraId="27E2205E" w14:textId="77777777">
        <w:tc>
          <w:tcPr>
            <w:tcW w:w="2831" w:type="dxa"/>
          </w:tcPr>
          <w:p w:rsidRPr="006B5AF7" w:rsidR="006B5AF7" w:rsidP="006B5AF7" w:rsidRDefault="006B5AF7" w14:paraId="4F27BEB7" w14:textId="0AA7780C">
            <w:pPr>
              <w:pStyle w:val="TableHeaderRow"/>
              <w:jc w:val="center"/>
              <w:rPr>
                <w:sz w:val="22"/>
                <w:szCs w:val="22"/>
              </w:rPr>
            </w:pPr>
            <w:r w:rsidRPr="006B5AF7">
              <w:rPr>
                <w:sz w:val="22"/>
                <w:szCs w:val="22"/>
              </w:rPr>
              <w:t>Extended use (tri-cycling)</w:t>
            </w:r>
          </w:p>
        </w:tc>
        <w:tc>
          <w:tcPr>
            <w:tcW w:w="2832" w:type="dxa"/>
          </w:tcPr>
          <w:p w:rsidR="006B5AF7" w:rsidP="006B5AF7" w:rsidRDefault="006B5AF7" w14:paraId="42CC4773" w14:textId="55B51F67">
            <w:pPr>
              <w:pStyle w:val="Tabletext"/>
              <w:jc w:val="center"/>
            </w:pPr>
            <w:r w:rsidRPr="00A75BF1">
              <w:t>9 weeks (3x21 active pills)</w:t>
            </w:r>
          </w:p>
        </w:tc>
        <w:tc>
          <w:tcPr>
            <w:tcW w:w="2979" w:type="dxa"/>
          </w:tcPr>
          <w:p w:rsidR="006B5AF7" w:rsidP="006B5AF7" w:rsidRDefault="006B5AF7" w14:paraId="31DDDFDE" w14:textId="2082915B">
            <w:pPr>
              <w:pStyle w:val="Tabletext"/>
              <w:jc w:val="center"/>
            </w:pPr>
            <w:r w:rsidRPr="00A75BF1">
              <w:t>4 or 7 days</w:t>
            </w:r>
          </w:p>
        </w:tc>
      </w:tr>
      <w:tr w:rsidR="006B5AF7" w:rsidTr="00EE1A3A" w14:paraId="6E1E5236" w14:textId="77777777">
        <w:tc>
          <w:tcPr>
            <w:tcW w:w="2831" w:type="dxa"/>
          </w:tcPr>
          <w:p w:rsidRPr="006B5AF7" w:rsidR="006B5AF7" w:rsidP="006B5AF7" w:rsidRDefault="006B5AF7" w14:paraId="29006C06" w14:textId="4C0F08DB">
            <w:pPr>
              <w:pStyle w:val="TableHeaderRow"/>
              <w:jc w:val="center"/>
              <w:rPr>
                <w:sz w:val="22"/>
                <w:szCs w:val="22"/>
              </w:rPr>
            </w:pPr>
            <w:r w:rsidRPr="006B5AF7">
              <w:rPr>
                <w:sz w:val="22"/>
                <w:szCs w:val="22"/>
              </w:rPr>
              <w:t>Flexible extended use</w:t>
            </w:r>
          </w:p>
        </w:tc>
        <w:tc>
          <w:tcPr>
            <w:tcW w:w="2832" w:type="dxa"/>
          </w:tcPr>
          <w:p w:rsidR="006B5AF7" w:rsidP="006B5AF7" w:rsidRDefault="006B5AF7" w14:paraId="103CECA9" w14:textId="77D38742">
            <w:pPr>
              <w:pStyle w:val="Tabletext"/>
              <w:jc w:val="center"/>
            </w:pPr>
            <w:r w:rsidRPr="00A75BF1">
              <w:t>Continuous use (≥21 days) of active pills until breakthrough bleeding occurs for 3–4 days</w:t>
            </w:r>
          </w:p>
        </w:tc>
        <w:tc>
          <w:tcPr>
            <w:tcW w:w="2979" w:type="dxa"/>
          </w:tcPr>
          <w:p w:rsidR="006B5AF7" w:rsidP="006B5AF7" w:rsidRDefault="006B5AF7" w14:paraId="0C4FD801" w14:textId="08F8D6AE">
            <w:pPr>
              <w:pStyle w:val="Tabletext"/>
              <w:jc w:val="center"/>
            </w:pPr>
            <w:r w:rsidRPr="00A75BF1">
              <w:t>4 days</w:t>
            </w:r>
          </w:p>
        </w:tc>
      </w:tr>
      <w:tr w:rsidR="006B5AF7" w:rsidTr="00EE1A3A" w14:paraId="17CD3EF7" w14:textId="77777777">
        <w:tc>
          <w:tcPr>
            <w:tcW w:w="2831" w:type="dxa"/>
          </w:tcPr>
          <w:p w:rsidRPr="006B5AF7" w:rsidR="006B5AF7" w:rsidP="006B5AF7" w:rsidRDefault="006B5AF7" w14:paraId="1C44D622" w14:textId="4D5093AC">
            <w:pPr>
              <w:pStyle w:val="TableHeaderRow"/>
              <w:jc w:val="center"/>
              <w:rPr>
                <w:sz w:val="22"/>
                <w:szCs w:val="22"/>
              </w:rPr>
            </w:pPr>
            <w:r w:rsidRPr="006B5AF7">
              <w:rPr>
                <w:sz w:val="22"/>
                <w:szCs w:val="22"/>
              </w:rPr>
              <w:t>Continuous use</w:t>
            </w:r>
          </w:p>
        </w:tc>
        <w:tc>
          <w:tcPr>
            <w:tcW w:w="2832" w:type="dxa"/>
          </w:tcPr>
          <w:p w:rsidR="006B5AF7" w:rsidP="006B5AF7" w:rsidRDefault="006B5AF7" w14:paraId="17D79B37" w14:textId="273E0BBF">
            <w:pPr>
              <w:pStyle w:val="Tabletext"/>
              <w:jc w:val="center"/>
            </w:pPr>
            <w:r w:rsidRPr="00A75BF1">
              <w:t>Continuous use of active pills</w:t>
            </w:r>
          </w:p>
        </w:tc>
        <w:tc>
          <w:tcPr>
            <w:tcW w:w="2979" w:type="dxa"/>
          </w:tcPr>
          <w:p w:rsidR="006B5AF7" w:rsidP="006B5AF7" w:rsidRDefault="006B5AF7" w14:paraId="456A3DAF" w14:textId="12556532">
            <w:pPr>
              <w:pStyle w:val="Tabletext"/>
              <w:jc w:val="center"/>
            </w:pPr>
            <w:r w:rsidRPr="00A75BF1">
              <w:t>None</w:t>
            </w:r>
          </w:p>
        </w:tc>
      </w:tr>
    </w:tbl>
    <w:p w:rsidRPr="006B5AF7" w:rsidR="00B65EE5" w:rsidP="006B5AF7" w:rsidRDefault="00B65EE5" w14:paraId="1A407725" w14:textId="0F027460">
      <w:pPr>
        <w:pStyle w:val="Tabletitle"/>
      </w:pPr>
    </w:p>
    <w:p w:rsidR="00B65EE5" w:rsidRDefault="00B65EE5" w14:paraId="25AAA4F5" w14:textId="77777777"/>
    <w:tbl>
      <w:tblPr>
        <w:tblStyle w:val="TableGrid"/>
        <w:tblW w:w="8642" w:type="dxa"/>
        <w:tblLook w:val="04A0" w:firstRow="1" w:lastRow="0" w:firstColumn="1" w:lastColumn="0" w:noHBand="0" w:noVBand="1"/>
        <w:tblCaption w:val="Table including details of the treatment"/>
        <w:tblDescription w:val="This table provides details of the treatment included in the PGD template.  It consists of fifteen rows which include the name form and strength of the medicine, legal category, route or method of adminstration, off-label use, dose and quantity to be adminstered or supplied, duration of treatment, storage, drug interactions, identification and management of adverse effects, management and reporting of  adverse reactions, additional resources required,  written information for the individual or carer, follow-up treatment and records to be kept."/>
      </w:tblPr>
      <w:tblGrid>
        <w:gridCol w:w="3397"/>
        <w:gridCol w:w="5245"/>
      </w:tblGrid>
      <w:tr w:rsidR="00165DD9" w:rsidTr="00EE1A3A" w14:paraId="25154B5D" w14:textId="77777777">
        <w:tc>
          <w:tcPr>
            <w:tcW w:w="3397" w:type="dxa"/>
          </w:tcPr>
          <w:p w:rsidRPr="005A6168" w:rsidR="00165DD9" w:rsidP="005A6168" w:rsidRDefault="008039DB" w14:paraId="01685DA9" w14:textId="1C39BB53">
            <w:pPr>
              <w:rPr>
                <w:rStyle w:val="TableHeaderColumn"/>
              </w:rPr>
            </w:pPr>
            <w:r w:rsidRPr="005A6168">
              <w:rPr>
                <w:rStyle w:val="TableHeaderColumn"/>
              </w:rPr>
              <w:t>Dose and frequency</w:t>
            </w:r>
            <w:r>
              <w:rPr>
                <w:rStyle w:val="TableHeaderColumn"/>
              </w:rPr>
              <w:t xml:space="preserve"> of administration - continued</w:t>
            </w:r>
          </w:p>
        </w:tc>
        <w:tc>
          <w:tcPr>
            <w:tcW w:w="5245" w:type="dxa"/>
          </w:tcPr>
          <w:p w:rsidRPr="008039DB" w:rsidR="008039DB" w:rsidP="008039DB" w:rsidRDefault="008039DB" w14:paraId="49F756AA" w14:textId="77777777">
            <w:pPr>
              <w:pStyle w:val="Tabletext"/>
              <w:rPr>
                <w:b/>
                <w:bCs/>
              </w:rPr>
            </w:pPr>
            <w:r w:rsidRPr="008039DB">
              <w:rPr>
                <w:b/>
                <w:bCs/>
              </w:rPr>
              <w:t xml:space="preserve">Monophasic </w:t>
            </w:r>
            <w:proofErr w:type="spellStart"/>
            <w:r w:rsidRPr="008039DB">
              <w:rPr>
                <w:b/>
                <w:bCs/>
              </w:rPr>
              <w:t>everyday</w:t>
            </w:r>
            <w:proofErr w:type="spellEnd"/>
            <w:r w:rsidRPr="008039DB">
              <w:rPr>
                <w:b/>
                <w:bCs/>
              </w:rPr>
              <w:t xml:space="preserve">, phasic and phasic everyday COC products/regimens </w:t>
            </w:r>
          </w:p>
          <w:p w:rsidRPr="00E269B0" w:rsidR="008039DB" w:rsidP="008039DB" w:rsidRDefault="008039DB" w14:paraId="30C4A0CF" w14:textId="77777777">
            <w:pPr>
              <w:pStyle w:val="Bulletindent1"/>
            </w:pPr>
            <w:r w:rsidRPr="00E269B0">
              <w:t xml:space="preserve">For monophasic </w:t>
            </w:r>
            <w:proofErr w:type="spellStart"/>
            <w:r w:rsidRPr="00E269B0">
              <w:t>everyday</w:t>
            </w:r>
            <w:proofErr w:type="spellEnd"/>
            <w:r w:rsidRPr="00E269B0">
              <w:t>, phasic and phasic everyday regimens a single tablet is to be taken at the same time each day starting on day 1-5 of the menstrual cycle with no need for additional precautions. The exceptions to this are:</w:t>
            </w:r>
          </w:p>
          <w:p w:rsidRPr="00E269B0" w:rsidR="008039DB" w:rsidP="008039DB" w:rsidRDefault="008039DB" w14:paraId="0259F201" w14:textId="77777777">
            <w:pPr>
              <w:pStyle w:val="Bulletindent1"/>
              <w:numPr>
                <w:ilvl w:val="1"/>
                <w:numId w:val="15"/>
              </w:numPr>
            </w:pPr>
            <w:r w:rsidRPr="00E269B0">
              <w:t xml:space="preserve">Qlaira®, which should be started on day 1, or if not, additional precautions should be used for 9 days after starting.  </w:t>
            </w:r>
          </w:p>
          <w:p w:rsidRPr="00E269B0" w:rsidR="008039DB" w:rsidP="008039DB" w:rsidRDefault="008039DB" w14:paraId="4FA5CACF" w14:textId="0ED3D893">
            <w:pPr>
              <w:pStyle w:val="Bulletindent1"/>
              <w:numPr>
                <w:ilvl w:val="1"/>
                <w:numId w:val="15"/>
              </w:numPr>
            </w:pPr>
            <w:r w:rsidRPr="00E269B0">
              <w:t>Zoely®,</w:t>
            </w:r>
            <w:r w:rsidR="00A20DDD">
              <w:t xml:space="preserve"> </w:t>
            </w:r>
            <w:r w:rsidRPr="00E269B0">
              <w:t xml:space="preserve">which should be started on day 1, or if not, additional precautions should be used for 7 days after starting.  </w:t>
            </w:r>
          </w:p>
          <w:p w:rsidRPr="00E269B0" w:rsidR="008039DB" w:rsidP="008039DB" w:rsidRDefault="008039DB" w14:paraId="266234C1" w14:textId="77777777">
            <w:pPr>
              <w:pStyle w:val="Bulletindent1"/>
            </w:pPr>
            <w:r w:rsidRPr="00E269B0">
              <w:t>Thereafter follow manufacturer’s instructions for individual product use.</w:t>
            </w:r>
          </w:p>
          <w:p w:rsidRPr="00E269B0" w:rsidR="008039DB" w:rsidP="008039DB" w:rsidRDefault="008039DB" w14:paraId="208E9A85" w14:textId="77777777">
            <w:pPr>
              <w:overflowPunct w:val="0"/>
              <w:autoSpaceDE w:val="0"/>
              <w:autoSpaceDN w:val="0"/>
              <w:adjustRightInd w:val="0"/>
              <w:contextualSpacing/>
              <w:textAlignment w:val="baseline"/>
              <w:rPr>
                <w:rFonts w:ascii="Arial" w:hAnsi="Arial" w:cs="Arial"/>
              </w:rPr>
            </w:pPr>
          </w:p>
          <w:p w:rsidRPr="008039DB" w:rsidR="008039DB" w:rsidP="008039DB" w:rsidRDefault="008039DB" w14:paraId="19CAA1F5" w14:textId="77777777">
            <w:pPr>
              <w:pStyle w:val="Tabletext"/>
              <w:rPr>
                <w:b/>
                <w:bCs/>
              </w:rPr>
            </w:pPr>
            <w:r w:rsidRPr="008039DB">
              <w:rPr>
                <w:b/>
                <w:bCs/>
              </w:rPr>
              <w:t>For all COC products/regimens</w:t>
            </w:r>
          </w:p>
          <w:p w:rsidRPr="008039DB" w:rsidR="008039DB" w:rsidP="008039DB" w:rsidRDefault="008039DB" w14:paraId="0DB3EBFB" w14:textId="77777777">
            <w:pPr>
              <w:pStyle w:val="Bulletindent1"/>
            </w:pPr>
            <w:r w:rsidRPr="008039DB">
              <w:t>COC can be started at any time after day 5 of the menstrual cycle if it is reasonably certain that the individual is not pregnant. Additional precautions are then required for 7 days after starting (9 days for Qlaira®)</w:t>
            </w:r>
          </w:p>
          <w:p w:rsidRPr="008039DB" w:rsidR="008039DB" w:rsidP="008039DB" w:rsidRDefault="008039DB" w14:paraId="4A70A398" w14:textId="1F44F1D3">
            <w:pPr>
              <w:pStyle w:val="Bulletindent1"/>
            </w:pPr>
            <w:r w:rsidRPr="008039DB">
              <w:t>When starting or restarting the C</w:t>
            </w:r>
            <w:r w:rsidR="00A20DDD">
              <w:t>O</w:t>
            </w:r>
            <w:r w:rsidRPr="008039DB">
              <w:t xml:space="preserve">C as quick start after levonorgestrel emergency contraception, additional contraception is required for 7 </w:t>
            </w:r>
            <w:proofErr w:type="gramStart"/>
            <w:r w:rsidRPr="008039DB">
              <w:t>days</w:t>
            </w:r>
            <w:proofErr w:type="gramEnd"/>
            <w:r w:rsidRPr="008039DB">
              <w:t xml:space="preserve"> and a pregnancy test should be performed 21 days after the last unprotected sexual intercourse.</w:t>
            </w:r>
          </w:p>
          <w:p w:rsidRPr="008039DB" w:rsidR="008039DB" w:rsidP="008039DB" w:rsidRDefault="008039DB" w14:paraId="340A5320" w14:textId="77777777">
            <w:pPr>
              <w:pStyle w:val="Bulletindent1"/>
            </w:pPr>
            <w:r w:rsidRPr="00E269B0">
              <w:t xml:space="preserve">In line with </w:t>
            </w:r>
            <w:r>
              <w:t>Co</w:t>
            </w:r>
            <w:r w:rsidRPr="00E269B0">
              <w:t>SRH guidance individuals using hormonal contraception</w:t>
            </w:r>
            <w:r>
              <w:t xml:space="preserve"> </w:t>
            </w:r>
            <w:r w:rsidRPr="00E269B0">
              <w:t xml:space="preserve">should delay restarting their regular hormonal contraception for 5 days following ulipristal acetate use. Avoidance of pregnancy risk </w:t>
            </w:r>
            <w:r w:rsidRPr="00E269B0">
              <w:t xml:space="preserve">(i.e. use </w:t>
            </w:r>
            <w:r w:rsidRPr="00B315F8">
              <w:t>of condoms or abstain from intercourse) should be advised until fully effective.  For COC this is 7 days after re-starting this method, (9 days for Qlaira®).</w:t>
            </w:r>
          </w:p>
          <w:p w:rsidRPr="002E3591" w:rsidR="008039DB" w:rsidP="008039DB" w:rsidRDefault="008039DB" w14:paraId="143BDB44" w14:textId="03CBFAB3">
            <w:pPr>
              <w:pStyle w:val="Bulletindent1"/>
            </w:pPr>
            <w:r w:rsidRPr="00B315F8">
              <w:t xml:space="preserve">If, in a </w:t>
            </w:r>
            <w:r w:rsidRPr="00E004B5">
              <w:t xml:space="preserve">current user of 30mcg EE/LNG COC, two to seven pills are missed in </w:t>
            </w:r>
            <w:r w:rsidRPr="00B315F8">
              <w:t>the first week of pill taking, it may be appropriate to offer UPA-EC and restart COC on a quick starting basis. Th</w:t>
            </w:r>
            <w:r>
              <w:t>e individual</w:t>
            </w:r>
            <w:r w:rsidRPr="00B315F8">
              <w:t xml:space="preserve"> should be </w:t>
            </w:r>
            <w:r>
              <w:t>referred to</w:t>
            </w:r>
            <w:r w:rsidRPr="00B315F8">
              <w:t xml:space="preserve"> a prescriber in this specific </w:t>
            </w:r>
            <w:r w:rsidRPr="001857CB">
              <w:t>circumstance</w:t>
            </w:r>
            <w:r>
              <w:t xml:space="preserve"> </w:t>
            </w:r>
            <w:r w:rsidRPr="001857CB">
              <w:t>and is excluded from supply of UPA-EC using PGD</w:t>
            </w:r>
            <w:r w:rsidRPr="002E3591">
              <w:t>.</w:t>
            </w:r>
            <w:hyperlink w:history="1" r:id="rId24">
              <w:r>
                <w:rPr>
                  <w:rStyle w:val="Hyperlink"/>
                  <w:rFonts w:cs="Arial"/>
                </w:rPr>
                <w:t>as detailed in the FSRH Response to study: Banh, et al (November 2020) | FSRH</w:t>
              </w:r>
            </w:hyperlink>
          </w:p>
          <w:p w:rsidRPr="008039DB" w:rsidR="008039DB" w:rsidP="008039DB" w:rsidRDefault="008039DB" w14:paraId="57577414" w14:textId="685C5F32">
            <w:pPr>
              <w:pStyle w:val="Bulletindent1"/>
            </w:pPr>
            <w:r w:rsidRPr="008039DB">
              <w:t xml:space="preserve">For guidance on changing from one contraceptive method to another, and when to start after an abortion and postpartum, </w:t>
            </w:r>
            <w:r w:rsidRPr="00A4517D">
              <w:rPr>
                <w:rFonts w:cs="Arial"/>
                <w:szCs w:val="22"/>
              </w:rPr>
              <w:t xml:space="preserve">refer to the </w:t>
            </w:r>
            <w:hyperlink w:history="1" r:id="rId25">
              <w:r w:rsidRPr="00920A74" w:rsidR="00920A74">
                <w:rPr>
                  <w:rStyle w:val="Hyperlink"/>
                  <w:rFonts w:cs="Arial"/>
                  <w:szCs w:val="22"/>
                </w:rPr>
                <w:t>College of Sexual and Reproductive Healthcare Clinical Guideline: Quick Starting Contraception (April 2017)</w:t>
              </w:r>
            </w:hyperlink>
          </w:p>
          <w:p w:rsidRPr="008039DB" w:rsidR="008039DB" w:rsidP="008039DB" w:rsidRDefault="008039DB" w14:paraId="1C1DEFAE" w14:textId="77777777">
            <w:pPr>
              <w:pStyle w:val="Tabletext"/>
              <w:rPr>
                <w:b/>
                <w:bCs/>
              </w:rPr>
            </w:pPr>
            <w:r w:rsidRPr="008039DB">
              <w:rPr>
                <w:b/>
                <w:bCs/>
              </w:rPr>
              <w:t xml:space="preserve">Control of problematic bleeding caused by the subdermal implant, IUS or medroxyprogesterone injection. </w:t>
            </w:r>
          </w:p>
          <w:p w:rsidR="00165DD9" w:rsidP="008039DB" w:rsidRDefault="008039DB" w14:paraId="1BDDBFD7" w14:textId="6E52AC55">
            <w:pPr>
              <w:pStyle w:val="Bulletindent1"/>
            </w:pPr>
            <w:r w:rsidRPr="00E269B0">
              <w:t xml:space="preserve">Can be taken as a </w:t>
            </w:r>
            <w:proofErr w:type="gramStart"/>
            <w:r w:rsidRPr="00E269B0">
              <w:t>21 day</w:t>
            </w:r>
            <w:proofErr w:type="gramEnd"/>
            <w:r w:rsidRPr="00E269B0">
              <w:t xml:space="preserve"> cycle/</w:t>
            </w:r>
            <w:proofErr w:type="gramStart"/>
            <w:r w:rsidRPr="00E269B0">
              <w:t>7 day</w:t>
            </w:r>
            <w:proofErr w:type="gramEnd"/>
            <w:r w:rsidRPr="00E269B0">
              <w:t xml:space="preserve"> pill free interval or continuously without a pill free interval</w:t>
            </w:r>
          </w:p>
        </w:tc>
      </w:tr>
      <w:tr w:rsidR="008039DB" w:rsidTr="00EE1A3A" w14:paraId="66BEBFE0" w14:textId="77777777">
        <w:tc>
          <w:tcPr>
            <w:tcW w:w="3397" w:type="dxa"/>
          </w:tcPr>
          <w:p w:rsidRPr="005A6168" w:rsidR="008039DB" w:rsidP="008039DB" w:rsidRDefault="008039DB" w14:paraId="2F18890C" w14:textId="7F082980">
            <w:pPr>
              <w:rPr>
                <w:rStyle w:val="TableHeaderColumn"/>
              </w:rPr>
            </w:pPr>
            <w:r w:rsidRPr="005A6168">
              <w:rPr>
                <w:rStyle w:val="TableHeaderColumn"/>
              </w:rPr>
              <w:t xml:space="preserve">Quantity to be </w:t>
            </w:r>
            <w:r>
              <w:rPr>
                <w:rStyle w:val="TableHeaderColumn"/>
              </w:rPr>
              <w:t>supplied</w:t>
            </w:r>
          </w:p>
        </w:tc>
        <w:tc>
          <w:tcPr>
            <w:tcW w:w="5245" w:type="dxa"/>
          </w:tcPr>
          <w:p w:rsidRPr="00B0215A" w:rsidR="00B0215A" w:rsidP="00B0215A" w:rsidRDefault="00B0215A" w14:paraId="1466482A" w14:textId="77777777">
            <w:pPr>
              <w:pStyle w:val="Tabletext"/>
              <w:rPr>
                <w:b/>
                <w:bCs/>
              </w:rPr>
            </w:pPr>
            <w:r w:rsidRPr="00B0215A">
              <w:rPr>
                <w:b/>
                <w:bCs/>
              </w:rPr>
              <w:t>Contraception</w:t>
            </w:r>
          </w:p>
          <w:p w:rsidRPr="00E269B0" w:rsidR="00B0215A" w:rsidP="00B0215A" w:rsidRDefault="00B0215A" w14:paraId="32EB381E" w14:textId="77777777">
            <w:pPr>
              <w:pStyle w:val="Bulletindent1"/>
            </w:pPr>
            <w:r w:rsidRPr="00E269B0">
              <w:t xml:space="preserve">Supply of up to twelve months in appropriately labelled original packs.  </w:t>
            </w:r>
          </w:p>
          <w:p w:rsidRPr="00E269B0" w:rsidR="00B0215A" w:rsidP="00B0215A" w:rsidRDefault="00B0215A" w14:paraId="04D4ADF8" w14:textId="77777777">
            <w:pPr>
              <w:pStyle w:val="Bulletindent1"/>
            </w:pPr>
            <w:r w:rsidRPr="00E269B0">
              <w:t xml:space="preserve">For all supplies be aware that the regimen to be taken may not be reflected in the dosage information printed on the product packaging or within the supplied PIL – ensure full details of regimen to be followed are supplied.  </w:t>
            </w:r>
          </w:p>
          <w:p w:rsidRPr="00E269B0" w:rsidR="00B0215A" w:rsidP="00B0215A" w:rsidRDefault="00B0215A" w14:paraId="6E22B91D" w14:textId="77777777">
            <w:pPr>
              <w:overflowPunct w:val="0"/>
              <w:autoSpaceDE w:val="0"/>
              <w:autoSpaceDN w:val="0"/>
              <w:adjustRightInd w:val="0"/>
              <w:contextualSpacing/>
              <w:textAlignment w:val="baseline"/>
              <w:rPr>
                <w:rFonts w:ascii="Arial" w:hAnsi="Arial" w:cs="Arial"/>
              </w:rPr>
            </w:pPr>
          </w:p>
          <w:p w:rsidRPr="00B0215A" w:rsidR="00B0215A" w:rsidP="00B0215A" w:rsidRDefault="00B0215A" w14:paraId="45248C50" w14:textId="77777777">
            <w:pPr>
              <w:pStyle w:val="Tabletext"/>
              <w:rPr>
                <w:b/>
                <w:bCs/>
              </w:rPr>
            </w:pPr>
            <w:r w:rsidRPr="00B0215A">
              <w:rPr>
                <w:b/>
                <w:bCs/>
              </w:rPr>
              <w:t xml:space="preserve">Control of problematic bleeding caused by the subdermal implant, IUS or medroxyprogesterone injection. </w:t>
            </w:r>
          </w:p>
          <w:p w:rsidRPr="00E269B0" w:rsidR="00B0215A" w:rsidP="00B0215A" w:rsidRDefault="00B0215A" w14:paraId="2627BFCB" w14:textId="77777777">
            <w:pPr>
              <w:pStyle w:val="Bulletindent1"/>
            </w:pPr>
            <w:r w:rsidRPr="00E269B0">
              <w:t xml:space="preserve">Supply of up to three months in appropriately labelled original packs.  </w:t>
            </w:r>
          </w:p>
          <w:p w:rsidRPr="00770955" w:rsidR="008039DB" w:rsidP="00B0215A" w:rsidRDefault="00B0215A" w14:paraId="5B4E5279" w14:textId="16931D4A">
            <w:pPr>
              <w:pStyle w:val="Bulletindent1"/>
            </w:pPr>
            <w:r w:rsidRPr="00E269B0">
              <w:t xml:space="preserve">For all supplies be aware that the regimen to be taken may not be reflected in the dosage information printed on the product </w:t>
            </w:r>
            <w:r w:rsidRPr="00E269B0">
              <w:t>packaging or within the supplied</w:t>
            </w:r>
            <w:r w:rsidRPr="00E269B0" w:rsidR="00A20DDD">
              <w:t xml:space="preserve"> PIL – ensure full details of regimen to be followed are supplied</w:t>
            </w:r>
            <w:r w:rsidRPr="00770955" w:rsidR="008039DB">
              <w:t xml:space="preserve">. </w:t>
            </w:r>
          </w:p>
        </w:tc>
      </w:tr>
      <w:tr w:rsidR="008039DB" w:rsidTr="00EE1A3A" w14:paraId="073231F9" w14:textId="77777777">
        <w:tc>
          <w:tcPr>
            <w:tcW w:w="3397" w:type="dxa"/>
            <w:tcBorders>
              <w:top w:val="single" w:color="auto" w:sz="4" w:space="0"/>
              <w:left w:val="single" w:color="auto" w:sz="4" w:space="0"/>
              <w:bottom w:val="single" w:color="auto" w:sz="4" w:space="0"/>
              <w:right w:val="single" w:color="auto" w:sz="4" w:space="0"/>
            </w:tcBorders>
          </w:tcPr>
          <w:p w:rsidRPr="005A6168" w:rsidR="008039DB" w:rsidP="008039DB" w:rsidRDefault="008039DB" w14:paraId="3CF8ECDD" w14:textId="525F8E89">
            <w:pPr>
              <w:rPr>
                <w:rStyle w:val="TableHeaderColumn"/>
              </w:rPr>
            </w:pPr>
            <w:r>
              <w:rPr>
                <w:rStyle w:val="TableHeaderColumn"/>
              </w:rPr>
              <w:t>Duration of treatment</w:t>
            </w:r>
          </w:p>
        </w:tc>
        <w:tc>
          <w:tcPr>
            <w:tcW w:w="5245" w:type="dxa"/>
            <w:tcBorders>
              <w:top w:val="single" w:color="auto" w:sz="4" w:space="0"/>
              <w:left w:val="single" w:color="auto" w:sz="4" w:space="0"/>
              <w:bottom w:val="single" w:color="auto" w:sz="4" w:space="0"/>
              <w:right w:val="single" w:color="auto" w:sz="4" w:space="0"/>
            </w:tcBorders>
          </w:tcPr>
          <w:p w:rsidRPr="008039DB" w:rsidR="008039DB" w:rsidP="008039DB" w:rsidRDefault="008039DB" w14:paraId="361BA0AF" w14:textId="77777777">
            <w:pPr>
              <w:pStyle w:val="Tabletext"/>
              <w:rPr>
                <w:b/>
                <w:bCs/>
              </w:rPr>
            </w:pPr>
            <w:r w:rsidRPr="008039DB">
              <w:rPr>
                <w:b/>
                <w:bCs/>
              </w:rPr>
              <w:t>Contraception</w:t>
            </w:r>
          </w:p>
          <w:p w:rsidR="008039DB" w:rsidP="00B0215A" w:rsidRDefault="008039DB" w14:paraId="5CF024E0" w14:textId="77777777">
            <w:pPr>
              <w:pStyle w:val="Tabletext"/>
            </w:pPr>
            <w:r w:rsidRPr="00E269B0">
              <w:t>For as long as the individual requires COC and has no contraindications to its use.</w:t>
            </w:r>
          </w:p>
          <w:p w:rsidRPr="00E269B0" w:rsidR="008039DB" w:rsidP="00B0215A" w:rsidRDefault="008039DB" w14:paraId="03C39446" w14:textId="77777777">
            <w:pPr>
              <w:pStyle w:val="Tabletext"/>
            </w:pPr>
          </w:p>
          <w:p w:rsidRPr="00B0215A" w:rsidR="008039DB" w:rsidP="00B0215A" w:rsidRDefault="008039DB" w14:paraId="011BEE51" w14:textId="77777777">
            <w:pPr>
              <w:pStyle w:val="Tabletext"/>
              <w:rPr>
                <w:b/>
                <w:bCs/>
              </w:rPr>
            </w:pPr>
            <w:r w:rsidRPr="00B0215A">
              <w:rPr>
                <w:b/>
                <w:bCs/>
              </w:rPr>
              <w:t>Control of problematic bleeding caused by the subdermal implant, IUS or medroxyprogesterone injection</w:t>
            </w:r>
          </w:p>
          <w:p w:rsidR="008039DB" w:rsidP="00B0215A" w:rsidRDefault="008039DB" w14:paraId="34A3B3B7" w14:textId="27924556">
            <w:pPr>
              <w:pStyle w:val="Tabletext"/>
            </w:pPr>
            <w:r w:rsidRPr="00E269B0">
              <w:t>Three months</w:t>
            </w:r>
          </w:p>
        </w:tc>
      </w:tr>
      <w:tr w:rsidR="008039DB" w:rsidTr="00EE1A3A" w14:paraId="28CB51BD" w14:textId="77777777">
        <w:tc>
          <w:tcPr>
            <w:tcW w:w="3397" w:type="dxa"/>
            <w:tcBorders>
              <w:top w:val="single" w:color="auto" w:sz="4" w:space="0"/>
              <w:left w:val="single" w:color="auto" w:sz="4" w:space="0"/>
              <w:bottom w:val="single" w:color="auto" w:sz="4" w:space="0"/>
              <w:right w:val="single" w:color="auto" w:sz="4" w:space="0"/>
            </w:tcBorders>
          </w:tcPr>
          <w:p w:rsidR="008039DB" w:rsidP="008039DB" w:rsidRDefault="008039DB" w14:paraId="69119C98" w14:textId="4AFD6B1F">
            <w:pPr>
              <w:rPr>
                <w:rStyle w:val="TableHeaderColumn"/>
              </w:rPr>
            </w:pPr>
            <w:bookmarkStart w:name="Storage" w:id="6"/>
            <w:bookmarkEnd w:id="6"/>
            <w:r>
              <w:rPr>
                <w:rStyle w:val="TableHeaderColumn"/>
              </w:rPr>
              <w:t>Storage</w:t>
            </w:r>
          </w:p>
        </w:tc>
        <w:tc>
          <w:tcPr>
            <w:tcW w:w="5245" w:type="dxa"/>
            <w:tcBorders>
              <w:top w:val="single" w:color="auto" w:sz="4" w:space="0"/>
              <w:left w:val="single" w:color="auto" w:sz="4" w:space="0"/>
              <w:bottom w:val="single" w:color="auto" w:sz="4" w:space="0"/>
              <w:right w:val="single" w:color="auto" w:sz="4" w:space="0"/>
            </w:tcBorders>
          </w:tcPr>
          <w:p w:rsidRPr="00C434B8" w:rsidR="008039DB" w:rsidP="008039DB" w:rsidRDefault="008039DB" w14:paraId="63B16DBA" w14:textId="65A15EA2">
            <w:pPr>
              <w:overflowPunct w:val="0"/>
              <w:autoSpaceDE w:val="0"/>
              <w:autoSpaceDN w:val="0"/>
              <w:adjustRightInd w:val="0"/>
              <w:textAlignment w:val="baseline"/>
              <w:rPr>
                <w:rFonts w:ascii="Arial" w:hAnsi="Arial" w:eastAsia="Times New Roman" w:cs="Arial"/>
                <w:kern w:val="0"/>
                <w:sz w:val="22"/>
                <w:lang w:val="en-US"/>
                <w14:ligatures w14:val="none"/>
              </w:rPr>
            </w:pPr>
            <w:r w:rsidRPr="005A6885">
              <w:rPr>
                <w:rFonts w:ascii="Arial" w:hAnsi="Arial" w:eastAsia="Times New Roman" w:cs="Arial"/>
                <w:kern w:val="0"/>
                <w:sz w:val="22"/>
                <w:lang w:val="en-US"/>
                <w14:ligatures w14:val="none"/>
              </w:rPr>
              <w:t xml:space="preserve">Medicines must be stored securely according to national guidelines and in accordance with the </w:t>
            </w:r>
            <w:hyperlink w:history="1" r:id="rId26">
              <w:r w:rsidRPr="00770955">
                <w:rPr>
                  <w:rStyle w:val="Hyperlink"/>
                  <w:rFonts w:ascii="Arial" w:hAnsi="Arial" w:eastAsia="Times New Roman"/>
                  <w:kern w:val="0"/>
                  <w:sz w:val="22"/>
                  <w14:ligatures w14:val="none"/>
                </w:rPr>
                <w:t>Summary of Product Characteristics (SmPC) which can be accessed on the EMC website</w:t>
              </w:r>
            </w:hyperlink>
          </w:p>
        </w:tc>
      </w:tr>
      <w:tr w:rsidR="008039DB" w:rsidTr="00EE1A3A" w14:paraId="2CD9E9DF" w14:textId="77777777">
        <w:tc>
          <w:tcPr>
            <w:tcW w:w="3397" w:type="dxa"/>
            <w:tcBorders>
              <w:top w:val="single" w:color="auto" w:sz="4" w:space="0"/>
              <w:left w:val="single" w:color="auto" w:sz="4" w:space="0"/>
              <w:bottom w:val="single" w:color="auto" w:sz="4" w:space="0"/>
              <w:right w:val="single" w:color="auto" w:sz="4" w:space="0"/>
            </w:tcBorders>
          </w:tcPr>
          <w:p w:rsidRPr="005A6168" w:rsidR="008039DB" w:rsidP="008039DB" w:rsidRDefault="008039DB" w14:paraId="580D0647" w14:textId="706B8F3C">
            <w:pPr>
              <w:rPr>
                <w:rStyle w:val="TableHeaderColumn"/>
              </w:rPr>
            </w:pPr>
            <w:bookmarkStart w:name="Interactions" w:id="7"/>
            <w:bookmarkEnd w:id="7"/>
            <w:r w:rsidRPr="005A6168">
              <w:rPr>
                <w:rStyle w:val="TableHeaderColumn"/>
              </w:rPr>
              <w:t>Drug interactions</w:t>
            </w:r>
          </w:p>
        </w:tc>
        <w:tc>
          <w:tcPr>
            <w:tcW w:w="5245" w:type="dxa"/>
            <w:tcBorders>
              <w:top w:val="single" w:color="auto" w:sz="4" w:space="0"/>
              <w:left w:val="single" w:color="auto" w:sz="4" w:space="0"/>
              <w:bottom w:val="single" w:color="auto" w:sz="4" w:space="0"/>
              <w:right w:val="single" w:color="auto" w:sz="4" w:space="0"/>
            </w:tcBorders>
          </w:tcPr>
          <w:p w:rsidRPr="00601464" w:rsidR="00B0215A" w:rsidP="00B0215A" w:rsidRDefault="00B0215A" w14:paraId="261B833C" w14:textId="77777777">
            <w:pPr>
              <w:pStyle w:val="Tabletext"/>
            </w:pPr>
            <w:r w:rsidRPr="00601464">
              <w:rPr>
                <w:rFonts w:eastAsia="Arial"/>
              </w:rPr>
              <w:t>Individuals concurrently prescribed enzyme inducing medicines/herbal products or within 4 weeks of stopping them are excluded from treatment under this PGD and must be referred to an appropriate prescriber:</w:t>
            </w:r>
          </w:p>
          <w:p w:rsidRPr="00601464" w:rsidR="00B0215A" w:rsidP="00B0215A" w:rsidRDefault="00B0215A" w14:paraId="08865B62" w14:textId="77777777">
            <w:pPr>
              <w:pStyle w:val="Tabletext"/>
            </w:pPr>
          </w:p>
          <w:p w:rsidRPr="00601464" w:rsidR="00B0215A" w:rsidP="00B0215A" w:rsidRDefault="00B0215A" w14:paraId="256C7620" w14:textId="77777777">
            <w:pPr>
              <w:pStyle w:val="Tabletext"/>
            </w:pPr>
            <w:r w:rsidRPr="00601464">
              <w:t>All concurrent medications, including those purchased should be considered for interactions.</w:t>
            </w:r>
          </w:p>
          <w:p w:rsidR="00B0215A" w:rsidP="008039DB" w:rsidRDefault="00B0215A" w14:paraId="549D2F79" w14:textId="77777777">
            <w:pPr>
              <w:pStyle w:val="Tabletext"/>
              <w:rPr>
                <w:rFonts w:cs="Arial"/>
                <w:color w:val="000000"/>
                <w:lang w:val="en-GB"/>
              </w:rPr>
            </w:pPr>
          </w:p>
          <w:p w:rsidR="008039DB" w:rsidP="008039DB" w:rsidRDefault="008039DB" w14:paraId="3AA9787A" w14:textId="02D8DCD9">
            <w:pPr>
              <w:pStyle w:val="Tabletext"/>
            </w:pPr>
            <w:r w:rsidRPr="00677C74">
              <w:rPr>
                <w:rFonts w:cs="Arial"/>
                <w:color w:val="000000"/>
                <w:lang w:val="en-GB"/>
              </w:rPr>
              <w:t xml:space="preserve">A detailed list of drug interactions is </w:t>
            </w:r>
            <w:r>
              <w:rPr>
                <w:rFonts w:cs="Arial"/>
                <w:color w:val="000000"/>
                <w:lang w:val="en-GB"/>
              </w:rPr>
              <w:t xml:space="preserve">included in the </w:t>
            </w:r>
            <w:hyperlink w:history="1" r:id="rId27">
              <w:r w:rsidRPr="00770955">
                <w:rPr>
                  <w:rStyle w:val="Hyperlink"/>
                  <w:lang w:val="en-GB"/>
                </w:rPr>
                <w:t>Summary of Product Characteristics (SmPC) which can be accessed on the EMC website</w:t>
              </w:r>
            </w:hyperlink>
            <w:r>
              <w:rPr>
                <w:rFonts w:cs="Arial"/>
                <w:color w:val="000000"/>
                <w:lang w:val="en-GB"/>
              </w:rPr>
              <w:t xml:space="preserve"> </w:t>
            </w:r>
            <w:r w:rsidRPr="00D54EC6">
              <w:t xml:space="preserve">or </w:t>
            </w:r>
            <w:hyperlink w:history="1" r:id="rId28">
              <w:r w:rsidRPr="00BD1D91">
                <w:rPr>
                  <w:rStyle w:val="Hyperlink"/>
                  <w:rFonts w:cs="Arial"/>
                  <w:bCs/>
                  <w:iCs/>
                </w:rPr>
                <w:t>the BNF</w:t>
              </w:r>
            </w:hyperlink>
          </w:p>
          <w:p w:rsidR="008039DB" w:rsidP="008039DB" w:rsidRDefault="008039DB" w14:paraId="75B8C6B2" w14:textId="77777777">
            <w:pPr>
              <w:pStyle w:val="Tabletext"/>
            </w:pPr>
            <w:r w:rsidRPr="00770955">
              <w:rPr>
                <w:lang w:val="en-GB"/>
              </w:rPr>
              <w:t xml:space="preserve">Refer also to </w:t>
            </w:r>
            <w:hyperlink w:history="1" r:id="rId29">
              <w:r>
                <w:rPr>
                  <w:rStyle w:val="Hyperlink"/>
                  <w:lang w:val="en-GB"/>
                </w:rPr>
                <w:t>CoSRH guidance on drug interactions with hormonal contraception</w:t>
              </w:r>
            </w:hyperlink>
          </w:p>
          <w:p w:rsidR="00B0215A" w:rsidP="008039DB" w:rsidRDefault="00B0215A" w14:paraId="7FE55887" w14:textId="77777777">
            <w:pPr>
              <w:pStyle w:val="Tabletext"/>
            </w:pPr>
          </w:p>
          <w:p w:rsidR="00B0215A" w:rsidP="00B0215A" w:rsidRDefault="00B0215A" w14:paraId="4D53C9CE" w14:textId="77777777">
            <w:pPr>
              <w:pStyle w:val="Tabletext"/>
            </w:pPr>
            <w:r w:rsidRPr="001857CB">
              <w:t xml:space="preserve">Concomitant use with the medicinal </w:t>
            </w:r>
            <w:proofErr w:type="gramStart"/>
            <w:r w:rsidRPr="001857CB">
              <w:t>products</w:t>
            </w:r>
            <w:proofErr w:type="gramEnd"/>
            <w:r w:rsidRPr="001857CB">
              <w:t xml:space="preserve"> containing </w:t>
            </w:r>
            <w:proofErr w:type="spellStart"/>
            <w:r w:rsidRPr="001857CB">
              <w:t>containing</w:t>
            </w:r>
            <w:proofErr w:type="spellEnd"/>
            <w:r w:rsidRPr="001857CB">
              <w:t xml:space="preserve"> glecaprevir/pibrentasvir or sofosbuvir/velpatasvir/voxilaprevir is contraindicated. See</w:t>
            </w:r>
            <w:r w:rsidRPr="00891835">
              <w:rPr>
                <w:color w:val="FF0000"/>
              </w:rPr>
              <w:t xml:space="preserve"> </w:t>
            </w:r>
            <w:hyperlink w:history="1" r:id="rId30">
              <w:r w:rsidRPr="00891835">
                <w:rPr>
                  <w:rStyle w:val="Hyperlink"/>
                  <w:rFonts w:cs="Arial"/>
                </w:rPr>
                <w:t>Liverpool HEP Interactions</w:t>
              </w:r>
            </w:hyperlink>
          </w:p>
          <w:p w:rsidR="00B0215A" w:rsidP="00B0215A" w:rsidRDefault="00B0215A" w14:paraId="034987B6" w14:textId="77777777">
            <w:pPr>
              <w:pStyle w:val="Tabletext"/>
              <w:rPr>
                <w:rFonts w:cs="Arial"/>
              </w:rPr>
            </w:pPr>
          </w:p>
          <w:p w:rsidR="00B0215A" w:rsidP="00B0215A" w:rsidRDefault="00B0215A" w14:paraId="06B6C616" w14:textId="2271D01C">
            <w:pPr>
              <w:pStyle w:val="Tabletext"/>
            </w:pPr>
            <w:r w:rsidRPr="00601464">
              <w:rPr>
                <w:rFonts w:cs="Arial"/>
              </w:rPr>
              <w:t>Seek advice from an appropriate clinician/Medicines Advisory Service if required.</w:t>
            </w:r>
          </w:p>
        </w:tc>
      </w:tr>
      <w:tr w:rsidR="008039DB" w:rsidTr="00EE1A3A" w14:paraId="39E46197" w14:textId="77777777">
        <w:tc>
          <w:tcPr>
            <w:tcW w:w="3397" w:type="dxa"/>
            <w:tcBorders>
              <w:top w:val="single" w:color="auto" w:sz="4" w:space="0"/>
              <w:left w:val="single" w:color="auto" w:sz="4" w:space="0"/>
              <w:bottom w:val="single" w:color="auto" w:sz="4" w:space="0"/>
              <w:right w:val="single" w:color="auto" w:sz="4" w:space="0"/>
            </w:tcBorders>
          </w:tcPr>
          <w:p w:rsidRPr="005A6168" w:rsidR="008039DB" w:rsidP="008039DB" w:rsidRDefault="008039DB" w14:paraId="338D9536" w14:textId="7100B09A">
            <w:pPr>
              <w:rPr>
                <w:rStyle w:val="TableHeaderColumn"/>
              </w:rPr>
            </w:pPr>
            <w:r>
              <w:rPr>
                <w:rStyle w:val="TableHeaderColumn"/>
              </w:rPr>
              <w:t>Identification and management of adverse reactions</w:t>
            </w:r>
          </w:p>
        </w:tc>
        <w:tc>
          <w:tcPr>
            <w:tcW w:w="5245" w:type="dxa"/>
            <w:tcBorders>
              <w:top w:val="single" w:color="auto" w:sz="4" w:space="0"/>
              <w:left w:val="single" w:color="auto" w:sz="4" w:space="0"/>
              <w:bottom w:val="single" w:color="auto" w:sz="4" w:space="0"/>
              <w:right w:val="single" w:color="auto" w:sz="4" w:space="0"/>
            </w:tcBorders>
          </w:tcPr>
          <w:p w:rsidR="008039DB" w:rsidP="008039DB" w:rsidRDefault="008039DB" w14:paraId="32B73B8A" w14:textId="6AE327BD">
            <w:pPr>
              <w:pStyle w:val="Tabletext"/>
              <w:rPr>
                <w:lang w:val="en-GB"/>
              </w:rPr>
            </w:pPr>
            <w:r w:rsidRPr="00FA5956">
              <w:rPr>
                <w:lang w:val="en-GB"/>
              </w:rPr>
              <w:t xml:space="preserve">A detailed list of </w:t>
            </w:r>
            <w:r>
              <w:rPr>
                <w:lang w:val="en-GB"/>
              </w:rPr>
              <w:t>adverse reactions</w:t>
            </w:r>
            <w:r w:rsidRPr="00FA5956">
              <w:rPr>
                <w:lang w:val="en-GB"/>
              </w:rPr>
              <w:t xml:space="preserve"> is included in the </w:t>
            </w:r>
            <w:hyperlink w:history="1" r:id="rId31">
              <w:r w:rsidRPr="00770955">
                <w:rPr>
                  <w:rStyle w:val="Hyperlink"/>
                  <w:lang w:val="en-GB"/>
                </w:rPr>
                <w:t xml:space="preserve">Summary of Product Characteristics (SmPC) </w:t>
              </w:r>
              <w:r w:rsidRPr="00770955">
                <w:rPr>
                  <w:rStyle w:val="Hyperlink"/>
                  <w:lang w:val="en-GB"/>
                </w:rPr>
                <w:t>which can be accessed on the EMC website</w:t>
              </w:r>
            </w:hyperlink>
            <w:r w:rsidRPr="00FA5956">
              <w:rPr>
                <w:lang w:val="en-GB"/>
              </w:rPr>
              <w:t xml:space="preserve"> or </w:t>
            </w:r>
            <w:hyperlink w:history="1" r:id="rId32">
              <w:r w:rsidRPr="00FA5956">
                <w:rPr>
                  <w:rStyle w:val="Hyperlink"/>
                  <w:bCs/>
                  <w:iCs/>
                  <w:lang w:val="en-GB"/>
                </w:rPr>
                <w:t>the BNF</w:t>
              </w:r>
            </w:hyperlink>
          </w:p>
          <w:p w:rsidR="008039DB" w:rsidP="008039DB" w:rsidRDefault="008039DB" w14:paraId="01AF6D34" w14:textId="77777777">
            <w:pPr>
              <w:pStyle w:val="Tabletext"/>
              <w:rPr>
                <w:szCs w:val="22"/>
              </w:rPr>
            </w:pPr>
          </w:p>
          <w:p w:rsidRPr="00C9363A" w:rsidR="00B0215A" w:rsidP="00B0215A" w:rsidRDefault="00B0215A" w14:paraId="03ED08D4" w14:textId="25A7F02F">
            <w:pPr>
              <w:pStyle w:val="Tabletext"/>
            </w:pPr>
            <w:r w:rsidRPr="00C9363A">
              <w:t>The following possible adverse effects are commonly reported with</w:t>
            </w:r>
            <w:r w:rsidR="00A20DDD">
              <w:t xml:space="preserve"> </w:t>
            </w:r>
            <w:r w:rsidRPr="00C9363A">
              <w:t>COC (but may not reflect all reported adverse effects):</w:t>
            </w:r>
          </w:p>
          <w:p w:rsidRPr="00C9363A" w:rsidR="00B0215A" w:rsidP="00B0215A" w:rsidRDefault="00B0215A" w14:paraId="3778624A" w14:textId="77777777">
            <w:pPr>
              <w:pStyle w:val="Bulletindent1"/>
            </w:pPr>
            <w:r w:rsidRPr="00C9363A">
              <w:t>Nausea</w:t>
            </w:r>
          </w:p>
          <w:p w:rsidRPr="00AF42D9" w:rsidR="00B0215A" w:rsidP="00B0215A" w:rsidRDefault="00B0215A" w14:paraId="205F9058" w14:textId="77777777">
            <w:pPr>
              <w:pStyle w:val="Bulletindent1"/>
            </w:pPr>
            <w:r w:rsidRPr="00AF42D9">
              <w:t>Breast tenderness</w:t>
            </w:r>
          </w:p>
          <w:p w:rsidRPr="00AF42D9" w:rsidR="00B0215A" w:rsidP="00B0215A" w:rsidRDefault="00B0215A" w14:paraId="0D31432F" w14:textId="77777777">
            <w:pPr>
              <w:pStyle w:val="Bulletindent1"/>
            </w:pPr>
            <w:r w:rsidRPr="00AF42D9">
              <w:t xml:space="preserve">Headache </w:t>
            </w:r>
            <w:r>
              <w:t>and migraine</w:t>
            </w:r>
          </w:p>
          <w:p w:rsidRPr="00AF42D9" w:rsidR="00B0215A" w:rsidP="00B0215A" w:rsidRDefault="00B0215A" w14:paraId="35EB12EE" w14:textId="77777777">
            <w:pPr>
              <w:pStyle w:val="Bulletindent1"/>
            </w:pPr>
            <w:r w:rsidRPr="00AF42D9">
              <w:t>Temporary disturbances of bleeding patterns</w:t>
            </w:r>
          </w:p>
          <w:p w:rsidRPr="00AF42D9" w:rsidR="00B0215A" w:rsidP="00B0215A" w:rsidRDefault="00B0215A" w14:paraId="1641F86C" w14:textId="77777777">
            <w:pPr>
              <w:pStyle w:val="Bulletindent1"/>
            </w:pPr>
            <w:r w:rsidRPr="00AF42D9">
              <w:t>Change in mood</w:t>
            </w:r>
            <w:r>
              <w:t xml:space="preserve"> including depression</w:t>
            </w:r>
          </w:p>
          <w:p w:rsidR="00B0215A" w:rsidP="00B0215A" w:rsidRDefault="00B0215A" w14:paraId="7BE41768" w14:textId="77777777">
            <w:pPr>
              <w:pStyle w:val="Bulletindent1"/>
            </w:pPr>
            <w:r w:rsidRPr="00AF42D9">
              <w:t>Fluid retention</w:t>
            </w:r>
          </w:p>
          <w:p w:rsidR="00B0215A" w:rsidP="00B0215A" w:rsidRDefault="00B0215A" w14:paraId="7862D841" w14:textId="77777777">
            <w:pPr>
              <w:pStyle w:val="Bulletindent1"/>
            </w:pPr>
            <w:r>
              <w:t>Change in libido</w:t>
            </w:r>
          </w:p>
          <w:p w:rsidRPr="00AF42D9" w:rsidR="00B0215A" w:rsidP="00B0215A" w:rsidRDefault="00B0215A" w14:paraId="030F2FFA" w14:textId="77777777">
            <w:pPr>
              <w:pStyle w:val="Bulletindent1"/>
            </w:pPr>
            <w:r>
              <w:t>Skin changes including acne</w:t>
            </w:r>
          </w:p>
          <w:p w:rsidRPr="00AF42D9" w:rsidR="00B0215A" w:rsidP="00B0215A" w:rsidRDefault="00B0215A" w14:paraId="78B02EC2" w14:textId="77777777">
            <w:pPr>
              <w:widowControl w:val="0"/>
              <w:rPr>
                <w:rFonts w:ascii="Arial" w:hAnsi="Arial" w:cs="Arial"/>
              </w:rPr>
            </w:pPr>
          </w:p>
          <w:p w:rsidRPr="00AF42D9" w:rsidR="00B0215A" w:rsidP="00170A61" w:rsidRDefault="00B0215A" w14:paraId="19FEB760" w14:textId="77777777">
            <w:pPr>
              <w:pStyle w:val="Tabletext"/>
            </w:pPr>
            <w:r w:rsidRPr="00AF42D9">
              <w:t xml:space="preserve">Serious adverse effects - these are less </w:t>
            </w:r>
            <w:proofErr w:type="gramStart"/>
            <w:r w:rsidRPr="00AF42D9">
              <w:t>common</w:t>
            </w:r>
            <w:proofErr w:type="gramEnd"/>
            <w:r w:rsidRPr="00AF42D9">
              <w:t xml:space="preserve"> but the risks should be discussed with the individual:</w:t>
            </w:r>
          </w:p>
          <w:p w:rsidRPr="00C9363A" w:rsidR="00B0215A" w:rsidP="00170A61" w:rsidRDefault="00B0215A" w14:paraId="5BCDA1D5" w14:textId="77777777">
            <w:pPr>
              <w:pStyle w:val="Bulletindent1"/>
            </w:pPr>
            <w:r w:rsidRPr="00AF42D9">
              <w:t xml:space="preserve">Venous </w:t>
            </w:r>
            <w:r w:rsidRPr="00C9363A">
              <w:t>thromboembolic events</w:t>
            </w:r>
          </w:p>
          <w:p w:rsidRPr="001A0E05" w:rsidR="00B0215A" w:rsidP="00170A61" w:rsidRDefault="00B0215A" w14:paraId="7AC65EEA" w14:textId="77777777">
            <w:pPr>
              <w:pStyle w:val="Bulletindent1"/>
            </w:pPr>
            <w:r w:rsidRPr="001A0E05">
              <w:t>Arterial thromboembolic disorders</w:t>
            </w:r>
            <w:r>
              <w:t xml:space="preserve"> (including ischaemic heart disease)</w:t>
            </w:r>
          </w:p>
          <w:p w:rsidRPr="001A0E05" w:rsidR="00B0215A" w:rsidP="00170A61" w:rsidRDefault="00B0215A" w14:paraId="27341E7C" w14:textId="77777777">
            <w:pPr>
              <w:pStyle w:val="Bulletindent1"/>
            </w:pPr>
            <w:r w:rsidRPr="001A0E05">
              <w:t>Strokes (e.g. transient ischaemic attack, ischaemic stroke, haemorrhagic stroke)</w:t>
            </w:r>
          </w:p>
          <w:p w:rsidR="008039DB" w:rsidP="00170A61" w:rsidRDefault="00B0215A" w14:paraId="59A213F4" w14:textId="15824F0B">
            <w:pPr>
              <w:pStyle w:val="Bulletindent1"/>
            </w:pPr>
            <w:r w:rsidRPr="00AF42D9">
              <w:t>Hypertension</w:t>
            </w:r>
          </w:p>
        </w:tc>
      </w:tr>
      <w:tr w:rsidR="008039DB" w:rsidTr="00EE1A3A" w14:paraId="08C3469A" w14:textId="77777777">
        <w:tc>
          <w:tcPr>
            <w:tcW w:w="3397" w:type="dxa"/>
          </w:tcPr>
          <w:p w:rsidRPr="005A6168" w:rsidR="008039DB" w:rsidP="008039DB" w:rsidRDefault="008039DB" w14:paraId="0980B18E" w14:textId="77777777">
            <w:pPr>
              <w:rPr>
                <w:rStyle w:val="TableHeaderColumn"/>
              </w:rPr>
            </w:pPr>
            <w:r>
              <w:rPr>
                <w:rStyle w:val="TableHeaderColumn"/>
              </w:rPr>
              <w:t>Management of and reporting procedures for adverse reactions</w:t>
            </w:r>
          </w:p>
        </w:tc>
        <w:tc>
          <w:tcPr>
            <w:tcW w:w="5245" w:type="dxa"/>
          </w:tcPr>
          <w:p w:rsidRPr="008D2560" w:rsidR="008039DB" w:rsidP="008039DB" w:rsidRDefault="008039DB" w14:paraId="536C00C7" w14:textId="6FDC1F3F">
            <w:pPr>
              <w:pStyle w:val="Bulletindent1"/>
              <w:rPr>
                <w:rFonts w:eastAsia="Arial"/>
              </w:rPr>
            </w:pPr>
            <w:r w:rsidRPr="008D2560">
              <w:rPr>
                <w:rFonts w:eastAsia="Arial"/>
              </w:rPr>
              <w:t>Healthcare</w:t>
            </w:r>
            <w:r w:rsidRPr="008D2560">
              <w:rPr>
                <w:rFonts w:eastAsia="Arial"/>
                <w:spacing w:val="26"/>
              </w:rPr>
              <w:t xml:space="preserve"> </w:t>
            </w:r>
            <w:r w:rsidRPr="008D2560">
              <w:rPr>
                <w:rFonts w:eastAsia="Arial"/>
              </w:rPr>
              <w:t>professionals</w:t>
            </w:r>
            <w:r w:rsidRPr="008D2560">
              <w:rPr>
                <w:rFonts w:eastAsia="Arial"/>
                <w:spacing w:val="24"/>
              </w:rPr>
              <w:t xml:space="preserve"> </w:t>
            </w:r>
            <w:r w:rsidRPr="008D2560">
              <w:rPr>
                <w:rFonts w:eastAsia="Arial"/>
              </w:rPr>
              <w:t>and</w:t>
            </w:r>
            <w:r w:rsidRPr="008D2560">
              <w:rPr>
                <w:rFonts w:eastAsia="Arial"/>
                <w:spacing w:val="14"/>
              </w:rPr>
              <w:t xml:space="preserve"> </w:t>
            </w:r>
            <w:r>
              <w:rPr>
                <w:rFonts w:eastAsia="Arial"/>
              </w:rPr>
              <w:t>individuals</w:t>
            </w:r>
            <w:r w:rsidRPr="008D2560">
              <w:rPr>
                <w:rFonts w:eastAsia="Arial"/>
              </w:rPr>
              <w:t>/carers are</w:t>
            </w:r>
            <w:r w:rsidRPr="008D2560">
              <w:rPr>
                <w:rFonts w:eastAsia="Arial"/>
                <w:spacing w:val="10"/>
              </w:rPr>
              <w:t xml:space="preserve"> </w:t>
            </w:r>
            <w:r w:rsidRPr="008D2560">
              <w:rPr>
                <w:rFonts w:eastAsia="Arial"/>
              </w:rPr>
              <w:t>encouraged</w:t>
            </w:r>
            <w:r w:rsidRPr="008D2560">
              <w:rPr>
                <w:rFonts w:eastAsia="Arial"/>
                <w:spacing w:val="25"/>
              </w:rPr>
              <w:t xml:space="preserve"> </w:t>
            </w:r>
            <w:r w:rsidRPr="008D2560">
              <w:rPr>
                <w:rFonts w:eastAsia="Arial"/>
              </w:rPr>
              <w:t>to</w:t>
            </w:r>
            <w:r w:rsidRPr="008D2560">
              <w:rPr>
                <w:rFonts w:eastAsia="Arial"/>
                <w:spacing w:val="21"/>
              </w:rPr>
              <w:t xml:space="preserve"> </w:t>
            </w:r>
            <w:r w:rsidRPr="008D2560">
              <w:rPr>
                <w:rFonts w:eastAsia="Arial"/>
              </w:rPr>
              <w:t>report</w:t>
            </w:r>
            <w:r w:rsidRPr="008D2560">
              <w:rPr>
                <w:rFonts w:eastAsia="Arial"/>
                <w:spacing w:val="13"/>
              </w:rPr>
              <w:t xml:space="preserve"> </w:t>
            </w:r>
            <w:r w:rsidRPr="008D2560">
              <w:rPr>
                <w:rFonts w:eastAsia="Arial"/>
              </w:rPr>
              <w:t>suspected</w:t>
            </w:r>
            <w:r w:rsidRPr="008D2560">
              <w:rPr>
                <w:rFonts w:eastAsia="Arial"/>
                <w:spacing w:val="18"/>
              </w:rPr>
              <w:t xml:space="preserve"> </w:t>
            </w:r>
            <w:r w:rsidRPr="008D2560">
              <w:rPr>
                <w:rFonts w:eastAsia="Arial"/>
              </w:rPr>
              <w:t>adverse</w:t>
            </w:r>
            <w:r w:rsidRPr="008D2560">
              <w:rPr>
                <w:rFonts w:eastAsia="Arial"/>
                <w:spacing w:val="29"/>
              </w:rPr>
              <w:t xml:space="preserve"> </w:t>
            </w:r>
            <w:r w:rsidRPr="008D2560">
              <w:rPr>
                <w:rFonts w:eastAsia="Arial"/>
              </w:rPr>
              <w:t>reactions</w:t>
            </w:r>
            <w:r w:rsidRPr="008D2560">
              <w:rPr>
                <w:rFonts w:eastAsia="Arial"/>
                <w:spacing w:val="10"/>
              </w:rPr>
              <w:t xml:space="preserve"> </w:t>
            </w:r>
            <w:r w:rsidRPr="008D2560">
              <w:rPr>
                <w:rFonts w:eastAsia="Arial"/>
              </w:rPr>
              <w:t>to</w:t>
            </w:r>
            <w:r w:rsidRPr="008D2560">
              <w:rPr>
                <w:rFonts w:eastAsia="Arial"/>
                <w:spacing w:val="14"/>
              </w:rPr>
              <w:t xml:space="preserve"> </w:t>
            </w:r>
            <w:r w:rsidRPr="008D2560">
              <w:rPr>
                <w:rFonts w:eastAsia="Arial"/>
              </w:rPr>
              <w:t>the</w:t>
            </w:r>
            <w:r w:rsidRPr="008D2560">
              <w:rPr>
                <w:rFonts w:eastAsia="Arial"/>
                <w:w w:val="98"/>
              </w:rPr>
              <w:t xml:space="preserve"> </w:t>
            </w:r>
            <w:hyperlink w:history="1" r:id="rId33">
              <w:r w:rsidRPr="00F6120B">
                <w:rPr>
                  <w:rStyle w:val="Hyperlink"/>
                </w:rPr>
                <w:t>MHRA's Yellow Card Scheme</w:t>
              </w:r>
            </w:hyperlink>
            <w:r>
              <w:t xml:space="preserve"> </w:t>
            </w:r>
            <w:r w:rsidRPr="00AC0BE9">
              <w:t>[</w:t>
            </w:r>
            <w:r w:rsidRPr="00504FB7">
              <w:rPr>
                <w:highlight w:val="cyan"/>
              </w:rPr>
              <w:t>follow organisation policy (include link and any further detail required)</w:t>
            </w:r>
            <w:r w:rsidRPr="00AC0BE9">
              <w:t>]</w:t>
            </w:r>
            <w:r w:rsidR="00A20DDD">
              <w:t>.</w:t>
            </w:r>
          </w:p>
          <w:p w:rsidRPr="008D2560" w:rsidR="008039DB" w:rsidP="008039DB" w:rsidRDefault="008039DB" w14:paraId="7166A1A4" w14:textId="77777777">
            <w:pPr>
              <w:pStyle w:val="Bulletindent1"/>
            </w:pPr>
            <w:r w:rsidRPr="008D2560">
              <w:t xml:space="preserve">Record all adverse drug reactions (ADRs) in the </w:t>
            </w:r>
            <w:r>
              <w:t>individual’s clinical record.</w:t>
            </w:r>
          </w:p>
          <w:p w:rsidRPr="00504FB7" w:rsidR="008039DB" w:rsidP="00170A61" w:rsidRDefault="008039DB" w14:paraId="292843F1" w14:textId="746C4A31">
            <w:pPr>
              <w:pStyle w:val="Bulletindent1"/>
            </w:pPr>
            <w:r w:rsidRPr="00AC0BE9">
              <w:t>[</w:t>
            </w:r>
            <w:r w:rsidRPr="00802041">
              <w:rPr>
                <w:highlight w:val="cyan"/>
              </w:rPr>
              <w:t>Report via organisation incident policy (include link and any further detail required)</w:t>
            </w:r>
            <w:r w:rsidRPr="00AC0BE9">
              <w:t>]</w:t>
            </w:r>
            <w:r w:rsidR="00A20DDD">
              <w:t>.</w:t>
            </w:r>
          </w:p>
        </w:tc>
      </w:tr>
      <w:tr w:rsidR="00170A61" w:rsidTr="00EE1A3A" w14:paraId="2D254ACF" w14:textId="77777777">
        <w:tc>
          <w:tcPr>
            <w:tcW w:w="3397" w:type="dxa"/>
          </w:tcPr>
          <w:p w:rsidRPr="005A6168" w:rsidR="00170A61" w:rsidP="00170A61" w:rsidRDefault="00170A61" w14:paraId="4807EA10" w14:textId="15F96C63">
            <w:pPr>
              <w:rPr>
                <w:rStyle w:val="TableHeaderColumn"/>
              </w:rPr>
            </w:pPr>
            <w:bookmarkStart w:name="Advice" w:id="8"/>
            <w:bookmarkEnd w:id="8"/>
            <w:r w:rsidRPr="005A6168">
              <w:rPr>
                <w:rStyle w:val="TableHeaderColumn"/>
              </w:rPr>
              <w:t>Written information</w:t>
            </w:r>
            <w:r>
              <w:rPr>
                <w:rStyle w:val="TableHeaderColumn"/>
              </w:rPr>
              <w:t xml:space="preserve"> and further advice </w:t>
            </w:r>
            <w:r w:rsidRPr="005A6168">
              <w:rPr>
                <w:rStyle w:val="TableHeaderColumn"/>
              </w:rPr>
              <w:t>to be given to individual or carer</w:t>
            </w:r>
          </w:p>
        </w:tc>
        <w:tc>
          <w:tcPr>
            <w:tcW w:w="5245" w:type="dxa"/>
          </w:tcPr>
          <w:p w:rsidRPr="00AF42D9" w:rsidR="00170A61" w:rsidP="00170A61" w:rsidRDefault="00170A61" w14:paraId="7D76D3A4" w14:textId="77777777">
            <w:pPr>
              <w:pStyle w:val="Bulletindent1"/>
              <w:rPr>
                <w:rFonts w:eastAsia="Arial"/>
              </w:rPr>
            </w:pPr>
            <w:r w:rsidRPr="00AF42D9">
              <w:rPr>
                <w:rFonts w:eastAsia="Arial"/>
              </w:rPr>
              <w:t xml:space="preserve">Provide patient information leaflet (PIL) provided with the original pack. </w:t>
            </w:r>
          </w:p>
          <w:p w:rsidRPr="00AF42D9" w:rsidR="00170A61" w:rsidP="00170A61" w:rsidRDefault="00170A61" w14:paraId="52A23409" w14:textId="77777777">
            <w:pPr>
              <w:pStyle w:val="Bulletindent1"/>
              <w:rPr>
                <w:rFonts w:eastAsia="Arial"/>
              </w:rPr>
            </w:pPr>
            <w:r w:rsidRPr="00AF42D9">
              <w:rPr>
                <w:rFonts w:eastAsia="Arial"/>
              </w:rPr>
              <w:t>Individuals should be informed about the superior effectiveness of LARC.</w:t>
            </w:r>
          </w:p>
          <w:p w:rsidRPr="00AF42D9" w:rsidR="00170A61" w:rsidP="00170A61" w:rsidRDefault="00170A61" w14:paraId="33B3280B" w14:textId="77777777">
            <w:pPr>
              <w:pStyle w:val="Bulletindent1"/>
              <w:rPr>
                <w:rFonts w:eastAsia="Arial"/>
              </w:rPr>
            </w:pPr>
            <w:r w:rsidRPr="00AF42D9">
              <w:rPr>
                <w:rFonts w:eastAsia="Arial"/>
              </w:rPr>
              <w:t>Individuals should be provided with written information or a link to a trusted online resource to support safe, effective COC us</w:t>
            </w:r>
            <w:r>
              <w:rPr>
                <w:rFonts w:eastAsia="Arial"/>
              </w:rPr>
              <w:t xml:space="preserve">e. </w:t>
            </w:r>
          </w:p>
          <w:p w:rsidRPr="00AF42D9" w:rsidR="00170A61" w:rsidP="00170A61" w:rsidRDefault="00170A61" w14:paraId="7B14019D" w14:textId="77777777">
            <w:pPr>
              <w:pStyle w:val="Bulletindent1"/>
              <w:rPr>
                <w:rFonts w:eastAsia="Arial"/>
              </w:rPr>
            </w:pPr>
            <w:r w:rsidRPr="00AF42D9">
              <w:rPr>
                <w:rFonts w:eastAsia="Arial"/>
              </w:rPr>
              <w:t>Explain mode of action, side effects, and benefits of the medicine</w:t>
            </w:r>
            <w:r>
              <w:rPr>
                <w:rFonts w:eastAsia="Arial"/>
              </w:rPr>
              <w:t>.</w:t>
            </w:r>
          </w:p>
          <w:p w:rsidRPr="00D771A9" w:rsidR="00170A61" w:rsidP="00170A61" w:rsidRDefault="00170A61" w14:paraId="498ED926" w14:textId="77777777">
            <w:pPr>
              <w:pStyle w:val="Bulletindent1"/>
              <w:rPr>
                <w:rFonts w:eastAsia="Arial"/>
              </w:rPr>
            </w:pPr>
            <w:r w:rsidRPr="00AF42D9">
              <w:rPr>
                <w:rFonts w:eastAsia="Arial"/>
              </w:rPr>
              <w:t>Advise about the risks of the medication</w:t>
            </w:r>
            <w:r>
              <w:rPr>
                <w:rFonts w:eastAsia="Arial"/>
              </w:rPr>
              <w:t>,</w:t>
            </w:r>
            <w:r w:rsidRPr="00AF42D9">
              <w:rPr>
                <w:rFonts w:eastAsia="Arial"/>
              </w:rPr>
              <w:t xml:space="preserve"> including failure rates and serious side effects and the actions to be taken noting that the risks of using COC could outweigh the benefits.</w:t>
            </w:r>
          </w:p>
          <w:p w:rsidRPr="00AF42D9" w:rsidR="00170A61" w:rsidP="00170A61" w:rsidRDefault="00170A61" w14:paraId="082D5D0D" w14:textId="77777777">
            <w:pPr>
              <w:pStyle w:val="Bulletindent1"/>
              <w:rPr>
                <w:rFonts w:eastAsia="Arial"/>
              </w:rPr>
            </w:pPr>
            <w:r w:rsidRPr="00AF42D9">
              <w:rPr>
                <w:rFonts w:eastAsia="Arial"/>
                <w:b/>
              </w:rPr>
              <w:t xml:space="preserve">Serious symptoms: </w:t>
            </w:r>
            <w:r w:rsidRPr="00AF42D9">
              <w:rPr>
                <w:rFonts w:eastAsia="Arial"/>
              </w:rPr>
              <w:t>the individual should stop taking the COC and seek medical help urgently if they experience calf swelling, heat or pain in the calf, shortness of breath, chest pain or haemoptysis.  The individual should seek advice if they experience their first ever migraine or develops aura with existing migraine.</w:t>
            </w:r>
          </w:p>
          <w:p w:rsidRPr="00AF42D9" w:rsidR="00170A61" w:rsidP="00170A61" w:rsidRDefault="00170A61" w14:paraId="4F5771D2" w14:textId="3E11208F">
            <w:pPr>
              <w:pStyle w:val="Bulletindent1"/>
              <w:rPr>
                <w:rFonts w:eastAsia="Arial"/>
              </w:rPr>
            </w:pPr>
            <w:r w:rsidRPr="00AF42D9">
              <w:rPr>
                <w:rFonts w:eastAsia="Arial"/>
              </w:rPr>
              <w:t>Individuals should be advised that current use of COC is associated with a small increased risk of breast cancer which reduces with time after stopping COC</w:t>
            </w:r>
            <w:r w:rsidR="00A20DDD">
              <w:rPr>
                <w:rFonts w:eastAsia="Arial"/>
              </w:rPr>
              <w:t>.</w:t>
            </w:r>
          </w:p>
          <w:p w:rsidR="00170A61" w:rsidP="00170A61" w:rsidRDefault="00170A61" w14:paraId="68B664AC" w14:textId="77777777">
            <w:pPr>
              <w:pStyle w:val="Bulletindent1"/>
              <w:rPr>
                <w:rFonts w:eastAsia="Arial"/>
              </w:rPr>
            </w:pPr>
            <w:r w:rsidRPr="00C9363A">
              <w:rPr>
                <w:rFonts w:eastAsia="Arial"/>
              </w:rPr>
              <w:t xml:space="preserve">Individuals should be advised that current use of COC for more than 5 years is associated with a small increased risk of cervical cancer; </w:t>
            </w:r>
            <w:r>
              <w:rPr>
                <w:rFonts w:eastAsia="Arial"/>
              </w:rPr>
              <w:t xml:space="preserve">the </w:t>
            </w:r>
            <w:r w:rsidRPr="00C9363A">
              <w:rPr>
                <w:rFonts w:eastAsia="Arial"/>
              </w:rPr>
              <w:t xml:space="preserve">risk </w:t>
            </w:r>
            <w:r>
              <w:rPr>
                <w:rFonts w:eastAsia="Arial"/>
              </w:rPr>
              <w:t xml:space="preserve">of </w:t>
            </w:r>
            <w:r w:rsidRPr="00C9363A">
              <w:rPr>
                <w:rFonts w:eastAsia="Arial"/>
              </w:rPr>
              <w:t>which reduces over time after stopping COC and is no longer increased by about 10 years after stopping.</w:t>
            </w:r>
          </w:p>
          <w:p w:rsidRPr="00E715C2" w:rsidR="00170A61" w:rsidP="00170A61" w:rsidRDefault="00170A61" w14:paraId="3840FD17" w14:textId="77777777">
            <w:pPr>
              <w:pStyle w:val="Bulletindent1"/>
              <w:rPr>
                <w:rFonts w:eastAsia="Arial"/>
              </w:rPr>
            </w:pPr>
            <w:r w:rsidRPr="00C9363A">
              <w:rPr>
                <w:rFonts w:eastAsia="Arial"/>
              </w:rPr>
              <w:t>Individuals should be advised that current use of COC is associated with an increased risk of VTE/ATE.</w:t>
            </w:r>
          </w:p>
          <w:p w:rsidRPr="00C9363A" w:rsidR="00170A61" w:rsidP="00170A61" w:rsidRDefault="00170A61" w14:paraId="303A36B2" w14:textId="77777777">
            <w:pPr>
              <w:pStyle w:val="Bulletindent1"/>
              <w:rPr>
                <w:rFonts w:eastAsia="Arial"/>
              </w:rPr>
            </w:pPr>
            <w:r w:rsidRPr="00C9363A">
              <w:rPr>
                <w:rFonts w:eastAsia="Arial"/>
              </w:rPr>
              <w:t>Individuals using C</w:t>
            </w:r>
            <w:r>
              <w:rPr>
                <w:rFonts w:eastAsia="Arial"/>
              </w:rPr>
              <w:t>O</w:t>
            </w:r>
            <w:r w:rsidRPr="00C9363A">
              <w:rPr>
                <w:rFonts w:eastAsia="Arial"/>
              </w:rPr>
              <w:t>C should be advised about reducing periods of immobility during travel.</w:t>
            </w:r>
          </w:p>
          <w:p w:rsidRPr="00C9363A" w:rsidR="00170A61" w:rsidP="00170A61" w:rsidRDefault="00170A61" w14:paraId="44510E40" w14:textId="77777777">
            <w:pPr>
              <w:pStyle w:val="Bulletindent1"/>
              <w:rPr>
                <w:rFonts w:eastAsia="Arial"/>
              </w:rPr>
            </w:pPr>
            <w:r w:rsidRPr="00C9363A">
              <w:rPr>
                <w:rFonts w:eastAsia="Arial"/>
              </w:rPr>
              <w:t>Individuals trekking to high altitudes (above 4500m or 14500 feet) for periods of more than 1 week may be advised to consider switching to a safer alternative contraceptive method.</w:t>
            </w:r>
          </w:p>
          <w:p w:rsidRPr="00E269B0" w:rsidR="00170A61" w:rsidP="00170A61" w:rsidRDefault="00170A61" w14:paraId="749C80F1" w14:textId="024437AB">
            <w:pPr>
              <w:pStyle w:val="Bulletindent1"/>
              <w:rPr>
                <w:rFonts w:eastAsia="Arial"/>
              </w:rPr>
            </w:pPr>
            <w:r w:rsidRPr="00C9363A">
              <w:rPr>
                <w:rFonts w:eastAsia="Arial"/>
              </w:rPr>
              <w:t>Individuals should be advised to stop C</w:t>
            </w:r>
            <w:r>
              <w:rPr>
                <w:rFonts w:eastAsia="Arial"/>
              </w:rPr>
              <w:t>O</w:t>
            </w:r>
            <w:r w:rsidRPr="00C9363A">
              <w:rPr>
                <w:rFonts w:eastAsia="Arial"/>
              </w:rPr>
              <w:t xml:space="preserve">C and to switch to an alternative contraceptive </w:t>
            </w:r>
            <w:r w:rsidRPr="00C9363A">
              <w:rPr>
                <w:rFonts w:eastAsia="Arial"/>
              </w:rPr>
              <w:t>method at least 4 weeks prior to planned major surgery or</w:t>
            </w:r>
            <w:r w:rsidR="00A20DDD">
              <w:rPr>
                <w:rFonts w:eastAsia="Arial"/>
              </w:rPr>
              <w:t xml:space="preserve"> </w:t>
            </w:r>
            <w:r w:rsidRPr="00C9363A">
              <w:rPr>
                <w:rFonts w:eastAsia="Arial"/>
              </w:rPr>
              <w:t>expected period</w:t>
            </w:r>
            <w:r>
              <w:rPr>
                <w:rFonts w:eastAsia="Arial"/>
              </w:rPr>
              <w:t>s</w:t>
            </w:r>
            <w:r w:rsidRPr="00C9363A">
              <w:rPr>
                <w:rFonts w:eastAsia="Arial"/>
              </w:rPr>
              <w:t xml:space="preserve"> of limited mobility.</w:t>
            </w:r>
          </w:p>
          <w:p w:rsidRPr="00E269B0" w:rsidR="00170A61" w:rsidP="00170A61" w:rsidRDefault="00170A61" w14:paraId="330B99A2" w14:textId="23E90DDA">
            <w:pPr>
              <w:pStyle w:val="Bulletindent1"/>
              <w:rPr>
                <w:rFonts w:eastAsia="Arial"/>
              </w:rPr>
            </w:pPr>
            <w:bookmarkStart w:name="_Hlk213254162" w:id="9"/>
            <w:r w:rsidRPr="00C9363A">
              <w:rPr>
                <w:rFonts w:eastAsia="Arial"/>
              </w:rPr>
              <w:t>Advise on action if vomiting or severe diarrhoea</w:t>
            </w:r>
            <w:r w:rsidRPr="00AF42D9">
              <w:rPr>
                <w:rFonts w:eastAsia="Arial"/>
              </w:rPr>
              <w:t xml:space="preserve"> occurs and missed pill advice- see </w:t>
            </w:r>
            <w:hyperlink w:history="1" r:id="rId34">
              <w:r w:rsidR="002E3EBF">
                <w:rPr>
                  <w:rFonts w:eastAsia="Arial"/>
                  <w:color w:val="0000FF"/>
                  <w:u w:val="single"/>
                </w:rPr>
                <w:t>FSRH Clinical Guideline: Combined Hormonal Contraception (January 2019, amended October 2023) | CoSRH</w:t>
              </w:r>
            </w:hyperlink>
            <w:bookmarkEnd w:id="9"/>
            <w:r w:rsidRPr="00AF42D9">
              <w:rPr>
                <w:rFonts w:eastAsia="Arial"/>
              </w:rPr>
              <w:t>.</w:t>
            </w:r>
          </w:p>
          <w:p w:rsidRPr="00B315F8" w:rsidR="00170A61" w:rsidP="00170A61" w:rsidRDefault="00170A61" w14:paraId="5F11ADE5" w14:textId="77777777">
            <w:pPr>
              <w:pStyle w:val="Bulletindent1"/>
              <w:rPr>
                <w:rFonts w:eastAsia="Arial"/>
              </w:rPr>
            </w:pPr>
            <w:r w:rsidRPr="00AF42D9">
              <w:rPr>
                <w:rFonts w:eastAsia="Arial"/>
              </w:rPr>
              <w:t xml:space="preserve">Advise that non enzyme inducing antibiotics do not interact with COC and if </w:t>
            </w:r>
            <w:r w:rsidRPr="00B315F8">
              <w:rPr>
                <w:rFonts w:eastAsia="Arial"/>
              </w:rPr>
              <w:t xml:space="preserve">these are prescribed COC should be continued as normal with no additional precautions required.  </w:t>
            </w:r>
          </w:p>
          <w:p w:rsidRPr="00B315F8" w:rsidR="00170A61" w:rsidP="00170A61" w:rsidRDefault="00170A61" w14:paraId="4449266C" w14:textId="77777777">
            <w:pPr>
              <w:pStyle w:val="Bulletindent1"/>
              <w:rPr>
                <w:rFonts w:eastAsia="Arial"/>
              </w:rPr>
            </w:pPr>
            <w:r w:rsidRPr="00B315F8">
              <w:rPr>
                <w:rFonts w:eastAsia="Arial"/>
              </w:rPr>
              <w:t xml:space="preserve">Provide </w:t>
            </w:r>
            <w:r>
              <w:rPr>
                <w:rFonts w:eastAsia="Arial"/>
              </w:rPr>
              <w:t>Co</w:t>
            </w:r>
            <w:r w:rsidRPr="00B315F8">
              <w:rPr>
                <w:rFonts w:eastAsia="Arial"/>
              </w:rPr>
              <w:t>SRH PIL on GLP-1 agonists and contraception as appropriate (see cautions).</w:t>
            </w:r>
          </w:p>
          <w:p w:rsidRPr="00AF42D9" w:rsidR="00170A61" w:rsidP="00170A61" w:rsidRDefault="00170A61" w14:paraId="4553DD38" w14:textId="77777777">
            <w:pPr>
              <w:pStyle w:val="Bulletindent1"/>
              <w:rPr>
                <w:rFonts w:eastAsia="Arial"/>
              </w:rPr>
            </w:pPr>
            <w:r w:rsidRPr="00B315F8">
              <w:rPr>
                <w:rFonts w:eastAsia="Arial"/>
              </w:rPr>
              <w:t xml:space="preserve">Offer condoms and advice on </w:t>
            </w:r>
            <w:r w:rsidRPr="00AF42D9">
              <w:rPr>
                <w:rFonts w:eastAsia="Arial"/>
              </w:rPr>
              <w:t xml:space="preserve">safer sex practices and possible need for screening for sexually transmitted infections (STIs) </w:t>
            </w:r>
          </w:p>
          <w:p w:rsidR="00170A61" w:rsidP="00170A61" w:rsidRDefault="00170A61" w14:paraId="3D5A7AF8" w14:textId="77777777">
            <w:pPr>
              <w:pStyle w:val="Bulletindent1"/>
              <w:rPr>
                <w:rFonts w:eastAsia="Arial"/>
              </w:rPr>
            </w:pPr>
            <w:r w:rsidRPr="00AF42D9">
              <w:rPr>
                <w:rFonts w:eastAsia="Arial"/>
              </w:rPr>
              <w:t>Ensure the individual has contact details of local service</w:t>
            </w:r>
            <w:r>
              <w:rPr>
                <w:rFonts w:eastAsia="Arial"/>
              </w:rPr>
              <w:t>s</w:t>
            </w:r>
            <w:r w:rsidRPr="00AF42D9">
              <w:rPr>
                <w:rFonts w:eastAsia="Arial"/>
              </w:rPr>
              <w:t>/sexual health services.</w:t>
            </w:r>
          </w:p>
          <w:p w:rsidR="00170A61" w:rsidP="00170A61" w:rsidRDefault="00170A61" w14:paraId="72AB3536" w14:textId="532C5CD3">
            <w:pPr>
              <w:pStyle w:val="Bulletindent1"/>
            </w:pPr>
            <w:r w:rsidRPr="00885080">
              <w:rPr>
                <w:rFonts w:eastAsia="Arial"/>
              </w:rPr>
              <w:t>Advise individual to seek advice from a pharmacist, doctor or other prescriber before starting any new medications including those purchased.</w:t>
            </w:r>
          </w:p>
        </w:tc>
      </w:tr>
      <w:tr w:rsidR="00170A61" w:rsidTr="00EE1A3A" w14:paraId="09A371CA" w14:textId="77777777">
        <w:tc>
          <w:tcPr>
            <w:tcW w:w="3397" w:type="dxa"/>
          </w:tcPr>
          <w:p w:rsidRPr="005A6168" w:rsidR="00170A61" w:rsidP="00170A61" w:rsidRDefault="00170A61" w14:paraId="0AB3BA26" w14:textId="37AA2466">
            <w:pPr>
              <w:rPr>
                <w:rStyle w:val="TableHeaderColumn"/>
              </w:rPr>
            </w:pPr>
            <w:r>
              <w:rPr>
                <w:rStyle w:val="TableHeaderColumn"/>
              </w:rPr>
              <w:t xml:space="preserve">Advice / </w:t>
            </w:r>
            <w:r w:rsidRPr="005A6168">
              <w:rPr>
                <w:rStyle w:val="TableHeaderColumn"/>
              </w:rPr>
              <w:t xml:space="preserve">Follow-up </w:t>
            </w:r>
            <w:r>
              <w:rPr>
                <w:rStyle w:val="TableHeaderColumn"/>
              </w:rPr>
              <w:t>treatment</w:t>
            </w:r>
          </w:p>
        </w:tc>
        <w:tc>
          <w:tcPr>
            <w:tcW w:w="5245" w:type="dxa"/>
          </w:tcPr>
          <w:p w:rsidRPr="00C9363A" w:rsidR="00170A61" w:rsidP="00170A61" w:rsidRDefault="00170A61" w14:paraId="0A48E051" w14:textId="77777777">
            <w:pPr>
              <w:pStyle w:val="Bulletindent1"/>
              <w:rPr>
                <w:rFonts w:eastAsia="Arial"/>
              </w:rPr>
            </w:pPr>
            <w:r w:rsidRPr="00AF42D9">
              <w:rPr>
                <w:rFonts w:eastAsia="Arial"/>
              </w:rPr>
              <w:t xml:space="preserve">The individual should be advised to seek medical advice in the event of an </w:t>
            </w:r>
            <w:r w:rsidRPr="00C9363A">
              <w:rPr>
                <w:rFonts w:eastAsia="Arial"/>
              </w:rPr>
              <w:t>adverse reaction.</w:t>
            </w:r>
          </w:p>
          <w:p w:rsidRPr="00C9363A" w:rsidR="00170A61" w:rsidP="00170A61" w:rsidRDefault="00170A61" w14:paraId="28D23C4C" w14:textId="77777777">
            <w:pPr>
              <w:pStyle w:val="Bulletindent1"/>
              <w:rPr>
                <w:rFonts w:eastAsia="Arial"/>
              </w:rPr>
            </w:pPr>
            <w:r>
              <w:rPr>
                <w:rFonts w:eastAsia="Arial"/>
              </w:rPr>
              <w:t>The i</w:t>
            </w:r>
            <w:r w:rsidRPr="00C9363A">
              <w:rPr>
                <w:rFonts w:eastAsia="Arial"/>
              </w:rPr>
              <w:t xml:space="preserve">ndividual should be encouraged to tell all clinicians that they are taking the supplied medication in the event of other medication/s being prescribed.  </w:t>
            </w:r>
          </w:p>
          <w:p w:rsidRPr="00C9363A" w:rsidR="00170A61" w:rsidP="00170A61" w:rsidRDefault="00170A61" w14:paraId="24600448" w14:textId="77777777">
            <w:pPr>
              <w:pStyle w:val="Bulletindent1"/>
              <w:rPr>
                <w:rFonts w:eastAsia="Arial"/>
              </w:rPr>
            </w:pPr>
            <w:r>
              <w:rPr>
                <w:rFonts w:eastAsia="Arial"/>
              </w:rPr>
              <w:t>The i</w:t>
            </w:r>
            <w:r w:rsidRPr="00C9363A">
              <w:rPr>
                <w:rFonts w:eastAsia="Arial"/>
              </w:rPr>
              <w:t xml:space="preserve">ndividual </w:t>
            </w:r>
            <w:r>
              <w:rPr>
                <w:rFonts w:eastAsia="Arial"/>
              </w:rPr>
              <w:t>should</w:t>
            </w:r>
            <w:r w:rsidRPr="00C9363A">
              <w:rPr>
                <w:rFonts w:eastAsia="Arial"/>
              </w:rPr>
              <w:t xml:space="preserve"> seek further advice if they have any concerns</w:t>
            </w:r>
            <w:r>
              <w:rPr>
                <w:rFonts w:eastAsia="Arial"/>
              </w:rPr>
              <w:t>.</w:t>
            </w:r>
          </w:p>
          <w:p w:rsidRPr="00D54EC6" w:rsidR="00170A61" w:rsidP="00170A61" w:rsidRDefault="00170A61" w14:paraId="2BF8FA34" w14:textId="1290FB60">
            <w:pPr>
              <w:pStyle w:val="Bulletindent1"/>
            </w:pPr>
            <w:r w:rsidRPr="00C9363A">
              <w:rPr>
                <w:rFonts w:eastAsia="Arial"/>
              </w:rPr>
              <w:t>Review annually.</w:t>
            </w:r>
          </w:p>
        </w:tc>
      </w:tr>
      <w:tr w:rsidR="00170A61" w:rsidTr="00EE1A3A" w14:paraId="589EF44D" w14:textId="77777777">
        <w:tc>
          <w:tcPr>
            <w:tcW w:w="3397" w:type="dxa"/>
          </w:tcPr>
          <w:p w:rsidRPr="005A6168" w:rsidR="00170A61" w:rsidP="00170A61" w:rsidRDefault="00170A61" w14:paraId="0194F7E0" w14:textId="7E52FBD6">
            <w:pPr>
              <w:rPr>
                <w:rStyle w:val="TableHeaderColumn"/>
              </w:rPr>
            </w:pPr>
            <w:r w:rsidRPr="005A6168">
              <w:rPr>
                <w:rStyle w:val="TableHeaderColumn"/>
              </w:rPr>
              <w:t>Records to be kept</w:t>
            </w:r>
          </w:p>
        </w:tc>
        <w:tc>
          <w:tcPr>
            <w:tcW w:w="5245" w:type="dxa"/>
          </w:tcPr>
          <w:p w:rsidRPr="00A05022" w:rsidR="00170A61" w:rsidP="00170A61" w:rsidRDefault="00170A61" w14:paraId="063A2DEB" w14:textId="77777777">
            <w:pPr>
              <w:pStyle w:val="Bulletindent1"/>
            </w:pPr>
            <w:r w:rsidRPr="00A05022">
              <w:t>The consent of the individual and</w:t>
            </w:r>
          </w:p>
          <w:p w:rsidR="00170A61" w:rsidP="00170A61" w:rsidRDefault="00170A61" w14:paraId="5FD64ED8" w14:textId="77777777">
            <w:pPr>
              <w:pStyle w:val="Bulletindent1"/>
              <w:numPr>
                <w:ilvl w:val="1"/>
                <w:numId w:val="15"/>
              </w:numPr>
              <w:rPr>
                <w:rFonts w:eastAsiaTheme="minorHAnsi"/>
                <w:kern w:val="2"/>
                <w14:ligatures w14:val="standardContextual"/>
              </w:rPr>
            </w:pPr>
            <w:r>
              <w:t>If individual is under 13 years of age record action taken</w:t>
            </w:r>
          </w:p>
          <w:p w:rsidRPr="00A05022" w:rsidR="00170A61" w:rsidP="00170A61" w:rsidRDefault="00170A61" w14:paraId="01005708" w14:textId="7ECA5F32">
            <w:pPr>
              <w:pStyle w:val="Bulletindent1"/>
              <w:numPr>
                <w:ilvl w:val="1"/>
                <w:numId w:val="15"/>
              </w:numPr>
            </w:pPr>
            <w:r w:rsidRPr="00A05022">
              <w:t xml:space="preserve">If individual is under 16 years of age document capacity using Fraser guidelines.  If </w:t>
            </w:r>
            <w:proofErr w:type="gramStart"/>
            <w:r w:rsidRPr="00A05022">
              <w:t>not</w:t>
            </w:r>
            <w:proofErr w:type="gramEnd"/>
            <w:r w:rsidRPr="00A05022">
              <w:t xml:space="preserve"> competent record action taken.  </w:t>
            </w:r>
          </w:p>
          <w:p w:rsidRPr="00A05022" w:rsidR="00170A61" w:rsidP="00170A61" w:rsidRDefault="00170A61" w14:paraId="05178C66" w14:textId="77777777">
            <w:pPr>
              <w:pStyle w:val="Bulletindent1"/>
              <w:numPr>
                <w:ilvl w:val="1"/>
                <w:numId w:val="15"/>
              </w:numPr>
            </w:pPr>
            <w:r w:rsidRPr="00A05022">
              <w:t>If individual over 16 years of age and not competent, record action taken</w:t>
            </w:r>
          </w:p>
          <w:p w:rsidRPr="00BF373C" w:rsidR="00170A61" w:rsidP="00170A61" w:rsidRDefault="00170A61" w14:paraId="7058F863" w14:textId="77777777">
            <w:pPr>
              <w:pStyle w:val="Bulletindent1"/>
            </w:pPr>
            <w:r w:rsidRPr="00BF373C">
              <w:t>If individual not treated under PGD record action taken</w:t>
            </w:r>
          </w:p>
          <w:p w:rsidR="00170A61" w:rsidP="00170A61" w:rsidRDefault="00170A61" w14:paraId="25729A1E" w14:textId="2F639579">
            <w:pPr>
              <w:pStyle w:val="Bulletindent1"/>
              <w:rPr>
                <w:rFonts w:eastAsia="Calibri"/>
                <w:kern w:val="2"/>
                <w14:ligatures w14:val="standardContextual"/>
              </w:rPr>
            </w:pPr>
            <w:r>
              <w:rPr>
                <w:rFonts w:eastAsia="Calibri"/>
              </w:rPr>
              <w:t xml:space="preserve">Name of individual, address, date of birth </w:t>
            </w:r>
          </w:p>
          <w:p w:rsidR="00170A61" w:rsidP="00170A61" w:rsidRDefault="00170A61" w14:paraId="388F2DF7" w14:textId="77777777">
            <w:pPr>
              <w:pStyle w:val="Bulletindent1"/>
              <w:rPr>
                <w:rFonts w:eastAsia="Calibri"/>
                <w:strike/>
              </w:rPr>
            </w:pPr>
            <w:r>
              <w:rPr>
                <w:rFonts w:eastAsia="Calibri"/>
              </w:rPr>
              <w:t>GP contact details where appropriate</w:t>
            </w:r>
          </w:p>
          <w:p w:rsidRPr="00BF373C" w:rsidR="00170A61" w:rsidP="00170A61" w:rsidRDefault="00170A61" w14:paraId="2E4F959D" w14:textId="77777777">
            <w:pPr>
              <w:pStyle w:val="Bulletindent1"/>
            </w:pPr>
            <w:r w:rsidRPr="00BF373C">
              <w:t xml:space="preserve">Relevant past and present medical and sexual history, including medication history. </w:t>
            </w:r>
          </w:p>
          <w:p w:rsidRPr="00BF373C" w:rsidR="00170A61" w:rsidP="00170A61" w:rsidRDefault="00170A61" w14:paraId="7364D8F8" w14:textId="77777777">
            <w:pPr>
              <w:pStyle w:val="Bulletindent1"/>
            </w:pPr>
            <w:r w:rsidRPr="00BF373C">
              <w:t xml:space="preserve">Examination or microbiology finding/s where relevant.  </w:t>
            </w:r>
          </w:p>
          <w:p w:rsidRPr="00170A61" w:rsidR="00170A61" w:rsidP="00170A61" w:rsidRDefault="00170A61" w14:paraId="324E5C7E" w14:textId="77777777">
            <w:pPr>
              <w:pStyle w:val="Bulletindent1"/>
              <w:rPr>
                <w:rFonts w:eastAsia="Calibri"/>
              </w:rPr>
            </w:pPr>
            <w:r w:rsidRPr="00170A61">
              <w:rPr>
                <w:rFonts w:eastAsia="Calibri"/>
              </w:rPr>
              <w:t xml:space="preserve">Any known allergies and nature of reaction </w:t>
            </w:r>
          </w:p>
          <w:p w:rsidR="00170A61" w:rsidP="00170A61" w:rsidRDefault="00170A61" w14:paraId="66AC0B6D" w14:textId="77777777">
            <w:pPr>
              <w:pStyle w:val="Bulletindent1"/>
              <w:rPr>
                <w:rFonts w:eastAsia="Calibri"/>
              </w:rPr>
            </w:pPr>
            <w:r>
              <w:rPr>
                <w:rFonts w:eastAsia="Calibri"/>
              </w:rPr>
              <w:t>Name of registered health professional operating under the PGD</w:t>
            </w:r>
          </w:p>
          <w:p w:rsidR="00170A61" w:rsidP="00170A61" w:rsidRDefault="00170A61" w14:paraId="713F504D" w14:textId="77777777">
            <w:pPr>
              <w:pStyle w:val="Bulletindent1"/>
              <w:rPr>
                <w:rFonts w:eastAsia="Calibri"/>
              </w:rPr>
            </w:pPr>
            <w:r>
              <w:rPr>
                <w:rFonts w:eastAsia="Calibri"/>
              </w:rPr>
              <w:t xml:space="preserve">Name of medication supplied </w:t>
            </w:r>
          </w:p>
          <w:p w:rsidR="00170A61" w:rsidP="00170A61" w:rsidRDefault="00170A61" w14:paraId="24F895E8" w14:textId="77777777">
            <w:pPr>
              <w:pStyle w:val="Bulletindent1"/>
              <w:rPr>
                <w:rFonts w:eastAsia="Calibri"/>
              </w:rPr>
            </w:pPr>
            <w:r>
              <w:rPr>
                <w:rFonts w:eastAsia="Calibri"/>
              </w:rPr>
              <w:t>Date of supply</w:t>
            </w:r>
          </w:p>
          <w:p w:rsidRPr="00224BA3" w:rsidR="00170A61" w:rsidP="00170A61" w:rsidRDefault="00170A61" w14:paraId="6F9BA98A" w14:textId="77777777">
            <w:pPr>
              <w:pStyle w:val="Bulletindent1"/>
              <w:rPr>
                <w:rFonts w:eastAsia="Calibri"/>
                <w:strike/>
              </w:rPr>
            </w:pPr>
            <w:r>
              <w:rPr>
                <w:rFonts w:eastAsia="Calibri"/>
              </w:rPr>
              <w:t>Dose supplied</w:t>
            </w:r>
          </w:p>
          <w:p w:rsidR="00170A61" w:rsidP="00170A61" w:rsidRDefault="00170A61" w14:paraId="41C3FF2E" w14:textId="154324EA">
            <w:pPr>
              <w:pStyle w:val="Bulletindent1"/>
              <w:rPr>
                <w:rFonts w:eastAsia="Calibri"/>
                <w:highlight w:val="cyan"/>
              </w:rPr>
            </w:pPr>
            <w:r>
              <w:rPr>
                <w:rFonts w:eastAsia="Calibri"/>
                <w:highlight w:val="cyan"/>
              </w:rPr>
              <w:t xml:space="preserve">[Quantity supplied including batch number and expiry date in line with local procedures.] </w:t>
            </w:r>
          </w:p>
          <w:p w:rsidRPr="00170A61" w:rsidR="00170A61" w:rsidP="00170A61" w:rsidRDefault="00170A61" w14:paraId="2F958DDB" w14:textId="77777777">
            <w:pPr>
              <w:pStyle w:val="Bulletindent1"/>
              <w:rPr>
                <w:rFonts w:eastAsia="Calibri"/>
              </w:rPr>
            </w:pPr>
            <w:r w:rsidRPr="00170A61">
              <w:rPr>
                <w:rFonts w:eastAsia="Calibri"/>
              </w:rPr>
              <w:t xml:space="preserve">Advice given about the medication including side effects, benefits, and when and what to do if any concerns  </w:t>
            </w:r>
          </w:p>
          <w:p w:rsidRPr="00170A61" w:rsidR="00170A61" w:rsidP="00170A61" w:rsidRDefault="00170A61" w14:paraId="176FD08B" w14:textId="77777777">
            <w:pPr>
              <w:pStyle w:val="Bulletindent1"/>
              <w:rPr>
                <w:rFonts w:eastAsia="Calibri"/>
              </w:rPr>
            </w:pPr>
            <w:r w:rsidRPr="00170A61">
              <w:rPr>
                <w:rFonts w:eastAsia="Calibri"/>
              </w:rPr>
              <w:t>Advice given, including advice given if excluded or declines treatment</w:t>
            </w:r>
          </w:p>
          <w:p w:rsidRPr="00170A61" w:rsidR="00170A61" w:rsidP="00170A61" w:rsidRDefault="00170A61" w14:paraId="37A03100" w14:textId="77777777">
            <w:pPr>
              <w:pStyle w:val="Bulletindent1"/>
              <w:rPr>
                <w:rFonts w:eastAsia="Calibri"/>
              </w:rPr>
            </w:pPr>
            <w:r w:rsidRPr="00170A61">
              <w:rPr>
                <w:rFonts w:eastAsia="Calibri"/>
              </w:rPr>
              <w:t>Details of any adverse drug reactions and actions taken</w:t>
            </w:r>
          </w:p>
          <w:p w:rsidRPr="00170A61" w:rsidR="00170A61" w:rsidP="00170A61" w:rsidRDefault="00170A61" w14:paraId="178491F0" w14:textId="77777777">
            <w:pPr>
              <w:pStyle w:val="Bulletindent1"/>
              <w:rPr>
                <w:rFonts w:eastAsia="Calibri"/>
              </w:rPr>
            </w:pPr>
            <w:r w:rsidRPr="00170A61">
              <w:rPr>
                <w:rFonts w:eastAsia="Calibri"/>
              </w:rPr>
              <w:t>Any referral arrangements made</w:t>
            </w:r>
          </w:p>
          <w:p w:rsidRPr="00170A61" w:rsidR="00170A61" w:rsidP="00170A61" w:rsidRDefault="00170A61" w14:paraId="53DF5BDC" w14:textId="77777777">
            <w:pPr>
              <w:pStyle w:val="Bulletindent1"/>
              <w:rPr>
                <w:rFonts w:eastAsia="Calibri"/>
              </w:rPr>
            </w:pPr>
            <w:r w:rsidRPr="00170A61">
              <w:rPr>
                <w:rFonts w:eastAsia="Calibri"/>
              </w:rPr>
              <w:t>Any supply outside the terms of the product marketing authorisation</w:t>
            </w:r>
          </w:p>
          <w:p w:rsidRPr="00170A61" w:rsidR="00170A61" w:rsidP="00170A61" w:rsidRDefault="00170A61" w14:paraId="3AD3DF30" w14:textId="77777777">
            <w:pPr>
              <w:pStyle w:val="Bulletindent1"/>
              <w:rPr>
                <w:rFonts w:eastAsia="Calibri"/>
              </w:rPr>
            </w:pPr>
            <w:r w:rsidRPr="00170A61">
              <w:rPr>
                <w:rFonts w:eastAsia="Calibri"/>
              </w:rPr>
              <w:t>Recorded that supplied via Patient Group Direction (PGD)</w:t>
            </w:r>
          </w:p>
          <w:p w:rsidRPr="00A05022" w:rsidR="00170A61" w:rsidP="00170A61" w:rsidRDefault="00170A61" w14:paraId="54D17A0F" w14:textId="1B651A06">
            <w:pPr>
              <w:pStyle w:val="Tabletext"/>
              <w:rPr>
                <w:lang w:val="en-GB"/>
              </w:rPr>
            </w:pPr>
            <w:r w:rsidRPr="00A05022">
              <w:rPr>
                <w:lang w:val="en-GB"/>
              </w:rPr>
              <w:t xml:space="preserve">Records should be signed and dated (or </w:t>
            </w:r>
            <w:proofErr w:type="gramStart"/>
            <w:r w:rsidRPr="00A05022">
              <w:rPr>
                <w:lang w:val="en-GB"/>
              </w:rPr>
              <w:t>password controlled</w:t>
            </w:r>
            <w:proofErr w:type="gramEnd"/>
            <w:r w:rsidRPr="00A05022">
              <w:rPr>
                <w:lang w:val="en-GB"/>
              </w:rPr>
              <w:t xml:space="preserve"> e-records) and securely kept for a defined period in line with local policy. </w:t>
            </w:r>
          </w:p>
          <w:p w:rsidRPr="00A05022" w:rsidR="00170A61" w:rsidP="00170A61" w:rsidRDefault="00170A61" w14:paraId="03447662" w14:textId="77777777">
            <w:pPr>
              <w:pStyle w:val="Tabletext"/>
              <w:rPr>
                <w:lang w:val="en-GB"/>
              </w:rPr>
            </w:pPr>
          </w:p>
          <w:p w:rsidRPr="00A05022" w:rsidR="00170A61" w:rsidP="00170A61" w:rsidRDefault="00170A61" w14:paraId="747E3469" w14:textId="77777777">
            <w:pPr>
              <w:pStyle w:val="Tabletext"/>
              <w:rPr>
                <w:lang w:val="en-GB"/>
              </w:rPr>
            </w:pPr>
            <w:r w:rsidRPr="00A05022">
              <w:rPr>
                <w:lang w:val="en-GB"/>
              </w:rPr>
              <w:t>All records should be clear, legible and contemporaneous.</w:t>
            </w:r>
          </w:p>
          <w:p w:rsidRPr="00A05022" w:rsidR="00170A61" w:rsidP="00170A61" w:rsidRDefault="00170A61" w14:paraId="28ADA3CC" w14:textId="77777777">
            <w:pPr>
              <w:pStyle w:val="Tabletext"/>
              <w:rPr>
                <w:lang w:val="en-GB"/>
              </w:rPr>
            </w:pPr>
          </w:p>
          <w:p w:rsidR="00170A61" w:rsidP="00170A61" w:rsidRDefault="00170A61" w14:paraId="4AF5F403" w14:textId="4B51D55D">
            <w:pPr>
              <w:pStyle w:val="Tabletext"/>
            </w:pPr>
            <w:r w:rsidRPr="00A05022">
              <w:t>A record of all individuals receiving treatment under this PGD should also be kept for audit purposes in accordance with local policy.</w:t>
            </w:r>
          </w:p>
        </w:tc>
      </w:tr>
    </w:tbl>
    <w:p w:rsidRPr="00BB2599" w:rsidR="00BB2599" w:rsidP="005A6168" w:rsidRDefault="00BB2599" w14:paraId="53B0192F" w14:textId="77777777">
      <w:pPr>
        <w:pStyle w:val="PGDNormal"/>
      </w:pPr>
    </w:p>
    <w:bookmarkEnd w:id="3"/>
    <w:p w:rsidR="00170A61" w:rsidP="00170A61" w:rsidRDefault="00725927" w14:paraId="0E6FB204" w14:textId="22F47DC8">
      <w:pPr>
        <w:pStyle w:val="Heading1"/>
      </w:pPr>
      <w:r w:rsidRPr="00DF77C7">
        <w:t xml:space="preserve">Key references </w:t>
      </w:r>
      <w:r w:rsidR="00170A61">
        <w:t>(</w:t>
      </w:r>
      <w:r w:rsidRPr="00170A61" w:rsidR="00170A61">
        <w:t>accessed September 2022, September 2023, February 2025, March 2025, July 2025)</w:t>
      </w:r>
    </w:p>
    <w:p w:rsidRPr="00C640C0" w:rsidR="00CE7FFC" w:rsidP="00170A61" w:rsidRDefault="00C640C0" w14:paraId="50E4146D" w14:textId="50B4416A">
      <w:pPr>
        <w:pStyle w:val="Bulletindent1"/>
        <w:rPr>
          <w:rStyle w:val="Hyperlink"/>
        </w:rPr>
      </w:pPr>
      <w:hyperlink w:history="1" r:id="rId35">
        <w:r w:rsidRPr="00C640C0">
          <w:rPr>
            <w:rStyle w:val="Hyperlink"/>
          </w:rPr>
          <w:t xml:space="preserve">Electronic Medicines Compendium </w:t>
        </w:r>
      </w:hyperlink>
    </w:p>
    <w:p w:rsidRPr="00C640C0" w:rsidR="00CE7FFC" w:rsidP="00877396" w:rsidRDefault="00CE7FFC" w14:paraId="78F36D10" w14:textId="4B2188E0">
      <w:pPr>
        <w:pStyle w:val="Bulletindent1"/>
        <w:rPr>
          <w:rStyle w:val="Hyperlink"/>
        </w:rPr>
      </w:pPr>
      <w:hyperlink w:history="1" r:id="rId36">
        <w:r w:rsidRPr="00C640C0">
          <w:rPr>
            <w:rStyle w:val="Hyperlink"/>
          </w:rPr>
          <w:t>Current edition of British National Formulary</w:t>
        </w:r>
      </w:hyperlink>
    </w:p>
    <w:p w:rsidRPr="00C640C0" w:rsidR="00A05022" w:rsidP="00A05022" w:rsidRDefault="00A05022" w14:paraId="0360EE5F" w14:textId="1E215AA2">
      <w:pPr>
        <w:pStyle w:val="Bulletindent1"/>
        <w:rPr>
          <w:rStyle w:val="Hyperlink"/>
        </w:rPr>
      </w:pPr>
      <w:hyperlink w:history="1" r:id="rId37">
        <w:r w:rsidRPr="00C640C0">
          <w:rPr>
            <w:rStyle w:val="Hyperlink"/>
          </w:rPr>
          <w:t>NICE Medicines practice guideline MPG2 - Patient Group Directions - Last Updated 27 March 2017</w:t>
        </w:r>
      </w:hyperlink>
    </w:p>
    <w:p w:rsidRPr="00C640C0" w:rsidR="00C640C0" w:rsidP="00C640C0" w:rsidRDefault="00C640C0" w14:paraId="681CC3A9" w14:textId="49296C83">
      <w:pPr>
        <w:pStyle w:val="Bulletindent1"/>
        <w:rPr>
          <w:rStyle w:val="Hyperlink"/>
        </w:rPr>
      </w:pPr>
      <w:hyperlink w:history="1" r:id="rId38">
        <w:r w:rsidRPr="00C640C0">
          <w:rPr>
            <w:rStyle w:val="Hyperlink"/>
          </w:rPr>
          <w:t>College of Sexual and Reproductive Healthcare (2019, amended 2020) Combined Hormonal Contraception</w:t>
        </w:r>
      </w:hyperlink>
      <w:r w:rsidRPr="00C640C0">
        <w:rPr>
          <w:rStyle w:val="Hyperlink"/>
        </w:rPr>
        <w:t xml:space="preserve"> </w:t>
      </w:r>
    </w:p>
    <w:p w:rsidRPr="00C640C0" w:rsidR="00C640C0" w:rsidP="00C640C0" w:rsidRDefault="00C640C0" w14:paraId="487F0912" w14:textId="77583478">
      <w:pPr>
        <w:pStyle w:val="Bulletindent1"/>
        <w:rPr>
          <w:rStyle w:val="Hyperlink"/>
        </w:rPr>
      </w:pPr>
      <w:hyperlink w:history="1" r:id="rId39">
        <w:r w:rsidRPr="00C640C0">
          <w:rPr>
            <w:rStyle w:val="Hyperlink"/>
            <w:lang w:val="en-US"/>
          </w:rPr>
          <w:t>College of Sexual and Reproductive Health Drug Interactions with Hormonal Contraception – May 2022</w:t>
        </w:r>
      </w:hyperlink>
      <w:r w:rsidRPr="00C640C0">
        <w:rPr>
          <w:rStyle w:val="Hyperlink"/>
        </w:rPr>
        <w:t xml:space="preserve"> </w:t>
      </w:r>
    </w:p>
    <w:p w:rsidRPr="00C640C0" w:rsidR="00C640C0" w:rsidP="00C640C0" w:rsidRDefault="00C640C0" w14:paraId="093A1FF6" w14:textId="2761D359">
      <w:pPr>
        <w:pStyle w:val="Bulletindent1"/>
        <w:rPr>
          <w:rStyle w:val="Hyperlink"/>
        </w:rPr>
      </w:pPr>
      <w:hyperlink w:history="1" r:id="rId40">
        <w:r w:rsidRPr="00C640C0">
          <w:rPr>
            <w:rStyle w:val="Hyperlink"/>
          </w:rPr>
          <w:t>College of Sexual and Reproductive Healthcare (2016) UK Medical Eligibility Criteria for Contraceptive Use.</w:t>
        </w:r>
      </w:hyperlink>
    </w:p>
    <w:p w:rsidRPr="00C640C0" w:rsidR="00C640C0" w:rsidP="00C640C0" w:rsidRDefault="00C640C0" w14:paraId="0DAAE0B7" w14:textId="38560309">
      <w:pPr>
        <w:pStyle w:val="Bulletindent1"/>
        <w:rPr>
          <w:rStyle w:val="Hyperlink"/>
        </w:rPr>
      </w:pPr>
      <w:hyperlink w:history="1" r:id="rId41">
        <w:r w:rsidRPr="00C640C0">
          <w:rPr>
            <w:rStyle w:val="Hyperlink"/>
          </w:rPr>
          <w:t>College of Sexual and Reproductive Healthcare Clinical Guideline: Quick Starting Contraception (April 2017)</w:t>
        </w:r>
      </w:hyperlink>
      <w:r w:rsidRPr="00C640C0">
        <w:rPr>
          <w:rStyle w:val="Hyperlink"/>
        </w:rPr>
        <w:t xml:space="preserve"> </w:t>
      </w:r>
    </w:p>
    <w:p w:rsidRPr="00C640C0" w:rsidR="00C640C0" w:rsidP="00A05022" w:rsidRDefault="00C640C0" w14:paraId="13EC0989" w14:textId="70F61001">
      <w:pPr>
        <w:pStyle w:val="Bulletindent1"/>
        <w:rPr>
          <w:rStyle w:val="Hyperlink"/>
        </w:rPr>
      </w:pPr>
      <w:hyperlink w:history="1" r:id="rId42">
        <w:r w:rsidRPr="00C640C0">
          <w:rPr>
            <w:rStyle w:val="Hyperlink"/>
            <w:lang w:val="en-US"/>
          </w:rPr>
          <w:t>CoSRH Clinical Guideline: Problematic Bleeding with Hormonal Contraception (July 2015)</w:t>
        </w:r>
      </w:hyperlink>
    </w:p>
    <w:p w:rsidRPr="00C640C0" w:rsidR="00C640C0" w:rsidP="00C640C0" w:rsidRDefault="00C640C0" w14:paraId="437F432A" w14:textId="348B9D51">
      <w:pPr>
        <w:pStyle w:val="Bulletindent1"/>
        <w:rPr>
          <w:rStyle w:val="Hyperlink"/>
        </w:rPr>
      </w:pPr>
      <w:hyperlink w:history="1" r:id="rId43">
        <w:r w:rsidRPr="00C640C0">
          <w:rPr>
            <w:rStyle w:val="Hyperlink"/>
          </w:rPr>
          <w:t>CoSRH CEU Statement: Response to Recent Publication Regarding Banh, et al. (November 2020)</w:t>
        </w:r>
      </w:hyperlink>
      <w:r w:rsidRPr="00C640C0">
        <w:rPr>
          <w:rStyle w:val="Hyperlink"/>
        </w:rPr>
        <w:t xml:space="preserve"> </w:t>
      </w:r>
    </w:p>
    <w:p w:rsidRPr="00C640C0" w:rsidR="00C640C0" w:rsidP="00C640C0" w:rsidRDefault="00C640C0" w14:paraId="34A4D8EE" w14:textId="13E6C757">
      <w:pPr>
        <w:pStyle w:val="Bulletindent1"/>
        <w:rPr>
          <w:rStyle w:val="Hyperlink"/>
        </w:rPr>
      </w:pPr>
      <w:hyperlink w:history="1" r:id="rId44">
        <w:r w:rsidRPr="00C640C0">
          <w:rPr>
            <w:rStyle w:val="Hyperlink"/>
          </w:rPr>
          <w:t>CoSRH statement: Glucagon-like peptide-1 (GLP-1) agonists and oral contraception (January 2025</w:t>
        </w:r>
      </w:hyperlink>
      <w:r w:rsidRPr="00C640C0">
        <w:rPr>
          <w:rStyle w:val="Hyperlink"/>
        </w:rPr>
        <w:t>)</w:t>
      </w:r>
    </w:p>
    <w:p w:rsidRPr="00C640C0" w:rsidR="00C640C0" w:rsidP="00C640C0" w:rsidRDefault="00C640C0" w14:paraId="70F9DD8E" w14:textId="48CBBCE0">
      <w:pPr>
        <w:pStyle w:val="Bulletindent1"/>
        <w:rPr>
          <w:rStyle w:val="Hyperlink"/>
        </w:rPr>
      </w:pPr>
      <w:hyperlink w:history="1" r:id="rId45">
        <w:r w:rsidRPr="00C640C0">
          <w:rPr>
            <w:rStyle w:val="Hyperlink"/>
          </w:rPr>
          <w:t>CoSRH CEU statement: Use of desogestrel and risk of intracranial meningioma (July 2025)</w:t>
        </w:r>
      </w:hyperlink>
    </w:p>
    <w:p w:rsidRPr="00C640C0" w:rsidR="00C640C0" w:rsidP="00C640C0" w:rsidRDefault="00C640C0" w14:paraId="088B7E39" w14:textId="3CCCFDCE">
      <w:pPr>
        <w:pStyle w:val="Bulletindent1"/>
        <w:rPr>
          <w:rStyle w:val="Hyperlink"/>
        </w:rPr>
      </w:pPr>
      <w:hyperlink w:history="1" r:id="rId46">
        <w:r w:rsidRPr="00C640C0">
          <w:rPr>
            <w:rStyle w:val="Hyperlink"/>
          </w:rPr>
          <w:t>CoSRH: GLP-1 agonists and contraception Patient information leaflet (February 2025)</w:t>
        </w:r>
      </w:hyperlink>
    </w:p>
    <w:p w:rsidR="00C640C0" w:rsidP="00C640C0" w:rsidRDefault="00C640C0" w14:paraId="2D05F0A2" w14:textId="77777777">
      <w:pPr>
        <w:pStyle w:val="Bulletindent1"/>
        <w:numPr>
          <w:ilvl w:val="0"/>
          <w:numId w:val="0"/>
        </w:numPr>
        <w:ind w:left="720" w:hanging="360"/>
        <w:rPr>
          <w:rFonts w:cs="Arial"/>
          <w:lang w:val="en-US"/>
        </w:rPr>
      </w:pPr>
    </w:p>
    <w:p w:rsidRPr="00533F89" w:rsidR="00533F89" w:rsidP="000C1FB9" w:rsidRDefault="007A1448" w14:paraId="068AB94A" w14:textId="1C0F224D">
      <w:pPr>
        <w:pStyle w:val="Bulletindent1"/>
        <w:numPr>
          <w:ilvl w:val="0"/>
          <w:numId w:val="0"/>
        </w:numPr>
        <w:ind w:left="720"/>
      </w:pPr>
      <w:r w:rsidRPr="00877396">
        <w:rPr>
          <w:rStyle w:val="Hyperlink"/>
        </w:rPr>
        <w:br w:type="page"/>
      </w:r>
      <w:bookmarkEnd w:id="0"/>
      <w:bookmarkEnd w:id="1"/>
      <w:bookmarkEnd w:id="2"/>
      <w:r w:rsidRPr="00533F89" w:rsidR="00510425">
        <w:t xml:space="preserve">Appendices </w:t>
      </w:r>
    </w:p>
    <w:p w:rsidRPr="00DF77C7" w:rsidR="00510425" w:rsidP="00533F89" w:rsidRDefault="00B154E7" w14:paraId="14498D21" w14:textId="05B45152">
      <w:pPr>
        <w:pStyle w:val="PGDNormal"/>
      </w:pPr>
      <w:r w:rsidRPr="00AC0BE9">
        <w:t>[[</w:t>
      </w:r>
      <w:r w:rsidRPr="00DF77C7" w:rsidR="00510425">
        <w:rPr>
          <w:highlight w:val="yellow"/>
        </w:rPr>
        <w:t>(appendices may be added as agreed locally including relevant patient questionnaires, links to protocols and any patient information)</w:t>
      </w:r>
      <w:r>
        <w:t>]]</w:t>
      </w:r>
    </w:p>
    <w:p w:rsidRPr="00226222" w:rsidR="00592D87" w:rsidP="00226222" w:rsidRDefault="00510425" w14:paraId="376D0D71" w14:textId="77777777">
      <w:pPr>
        <w:pStyle w:val="Heading2"/>
      </w:pPr>
      <w:r w:rsidRPr="00226222">
        <w:t xml:space="preserve">Appendix A - Registered health professional authorisation sheet </w:t>
      </w:r>
    </w:p>
    <w:p w:rsidRPr="00DF77C7" w:rsidR="00510425" w:rsidP="00592D87" w:rsidRDefault="00B154E7" w14:paraId="64B7E49B" w14:textId="556758D8">
      <w:pPr>
        <w:pStyle w:val="PGDNormal"/>
      </w:pPr>
      <w:r w:rsidRPr="00AC0BE9">
        <w:t>[[</w:t>
      </w:r>
      <w:r w:rsidRPr="00DF77C7" w:rsidR="00510425">
        <w:rPr>
          <w:highlight w:val="yellow"/>
        </w:rPr>
        <w:t>(example – local versions/electronic systems may be used)</w:t>
      </w:r>
      <w:r>
        <w:t>]]</w:t>
      </w:r>
    </w:p>
    <w:p w:rsidRPr="00ED232C" w:rsidR="00510425" w:rsidP="00ED232C" w:rsidRDefault="00510425" w14:paraId="7DCA024B" w14:textId="77777777">
      <w:pPr>
        <w:rPr>
          <w:rStyle w:val="PGDNormalBold"/>
        </w:rPr>
      </w:pPr>
      <w:r w:rsidRPr="00ED232C">
        <w:rPr>
          <w:rStyle w:val="PGDNormalBold"/>
        </w:rPr>
        <w:t xml:space="preserve">PGD Name/Version            Valid from:                       Expiry:  </w:t>
      </w:r>
    </w:p>
    <w:p w:rsidRPr="00DF77C7" w:rsidR="00510425" w:rsidP="00510425" w:rsidRDefault="00510425" w14:paraId="49C6FE57" w14:textId="77777777">
      <w:pPr>
        <w:rPr>
          <w:rStyle w:val="PGDNormalBold"/>
        </w:rPr>
      </w:pPr>
    </w:p>
    <w:p w:rsidRPr="000411B7" w:rsidR="00510425" w:rsidP="007D47D1" w:rsidRDefault="00510425" w14:paraId="26DAAAFB" w14:textId="173EA2FC">
      <w:pPr>
        <w:pStyle w:val="PGDNormal"/>
      </w:pPr>
      <w:r w:rsidRPr="00DF77C7">
        <w:t xml:space="preserve">Before signing this PGD, check that the document </w:t>
      </w:r>
      <w:proofErr w:type="gramStart"/>
      <w:r w:rsidRPr="00DF77C7">
        <w:t>has had</w:t>
      </w:r>
      <w:proofErr w:type="gramEnd"/>
      <w:r w:rsidRPr="00DF77C7">
        <w:t xml:space="preserve"> the necessary authorisations. Without these, this PGD is not lawfully valid.</w:t>
      </w:r>
    </w:p>
    <w:p w:rsidRPr="00580EBB" w:rsidR="00510425" w:rsidP="00580EBB" w:rsidRDefault="00510425" w14:paraId="2DDE258B" w14:textId="77777777">
      <w:pPr>
        <w:pStyle w:val="Heading3"/>
      </w:pPr>
      <w:r w:rsidRPr="00580EBB">
        <w:t>Registered health professional</w:t>
      </w:r>
    </w:p>
    <w:p w:rsidR="00CA77CF" w:rsidP="002A6CB8" w:rsidRDefault="00510425" w14:paraId="55CAE467" w14:textId="3F801116">
      <w:pPr>
        <w:pStyle w:val="PGDNormal"/>
      </w:pPr>
      <w:r w:rsidRPr="00DF77C7">
        <w:t xml:space="preserve">By signing this patient group </w:t>
      </w:r>
      <w:r w:rsidRPr="00DF77C7" w:rsidR="005A6885">
        <w:t>direction,</w:t>
      </w:r>
      <w:r w:rsidRPr="00DF77C7">
        <w:t xml:space="preserve"> you </w:t>
      </w:r>
      <w:proofErr w:type="gramStart"/>
      <w:r w:rsidRPr="00DF77C7">
        <w:t>are indicating</w:t>
      </w:r>
      <w:proofErr w:type="gramEnd"/>
      <w:r w:rsidRPr="00DF77C7">
        <w:t xml:space="preserve"> that you agree to its contents and that you will work within it</w:t>
      </w:r>
      <w:r w:rsidR="006C2CDE">
        <w:t xml:space="preserve"> and agree with the following statement: </w:t>
      </w:r>
    </w:p>
    <w:p w:rsidRPr="00DF77C7" w:rsidR="00510425" w:rsidP="002A6CB8" w:rsidRDefault="00CA77CF" w14:paraId="3E530E7A" w14:textId="47B317A0">
      <w:pPr>
        <w:pStyle w:val="PGDNormal"/>
      </w:pPr>
      <w:r>
        <w:t>‘</w:t>
      </w:r>
      <w:r w:rsidRPr="00F57606" w:rsidR="006C2CDE">
        <w:t>I confirm that I have read and understood the content of this Patient Group Direction and that I am willing and competent to work to it within my professional code of conduct</w:t>
      </w:r>
      <w:r w:rsidRPr="00DE5424" w:rsidR="006C2CDE">
        <w:t>.</w:t>
      </w:r>
      <w:r>
        <w:t>’</w:t>
      </w:r>
    </w:p>
    <w:p w:rsidRPr="00DF77C7" w:rsidR="00510425" w:rsidP="002A6CB8" w:rsidRDefault="00510425" w14:paraId="135F3504" w14:textId="77777777">
      <w:pPr>
        <w:pStyle w:val="PGDNormal"/>
        <w:rPr>
          <w:rFonts w:cs="Arial"/>
        </w:rPr>
      </w:pPr>
      <w:r w:rsidRPr="00DF77C7">
        <w:rPr>
          <w:rFonts w:cs="Arial"/>
        </w:rPr>
        <w:t>Patient group directions do not remove inherent professional obligations or accountability.</w:t>
      </w:r>
    </w:p>
    <w:p w:rsidR="00510425" w:rsidP="002A6CB8" w:rsidRDefault="00510425" w14:paraId="468193FF" w14:textId="50557E12">
      <w:pPr>
        <w:pStyle w:val="PGDNormal"/>
        <w:rPr>
          <w:rFonts w:cs="Arial"/>
        </w:rPr>
      </w:pPr>
      <w:r w:rsidRPr="00DF77C7">
        <w:rPr>
          <w:rFonts w:cs="Arial"/>
        </w:rPr>
        <w:t xml:space="preserve">It is the responsibility of each professional to </w:t>
      </w:r>
      <w:r w:rsidRPr="00DF77C7" w:rsidR="00825B58">
        <w:rPr>
          <w:rFonts w:cs="Arial"/>
        </w:rPr>
        <w:t>practice</w:t>
      </w:r>
      <w:r w:rsidRPr="00DF77C7">
        <w:rPr>
          <w:rFonts w:cs="Arial"/>
        </w:rPr>
        <w:t xml:space="preserve"> only within the bounds of their own competence and professional code of conduct.</w:t>
      </w:r>
    </w:p>
    <w:p w:rsidRPr="00DF77C7" w:rsidR="00A45A11" w:rsidP="002A6CB8" w:rsidRDefault="00A45A11" w14:paraId="57515B32" w14:textId="11BDB5BB">
      <w:pPr>
        <w:pStyle w:val="PGDNormal"/>
        <w:rPr>
          <w:rFonts w:cs="Arial"/>
        </w:rPr>
      </w:pPr>
    </w:p>
    <w:tbl>
      <w:tblPr>
        <w:tblW w:w="89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Pr="00DF77C7" w:rsidR="00CA77CF" w:rsidTr="00600F2A" w14:paraId="7F978961" w14:textId="77777777">
        <w:trPr>
          <w:tblHeader/>
        </w:trPr>
        <w:tc>
          <w:tcPr>
            <w:tcW w:w="2122" w:type="dxa"/>
          </w:tcPr>
          <w:p w:rsidRPr="00DF77C7" w:rsidR="00CA77CF" w:rsidP="00ED232C" w:rsidRDefault="00CA77CF" w14:paraId="1BE651D3" w14:textId="0A987DF7">
            <w:pPr>
              <w:pStyle w:val="TableHeaderRow"/>
            </w:pPr>
            <w:r w:rsidRPr="00DF77C7">
              <w:t>Name</w:t>
            </w:r>
          </w:p>
        </w:tc>
        <w:tc>
          <w:tcPr>
            <w:tcW w:w="2551" w:type="dxa"/>
          </w:tcPr>
          <w:p w:rsidRPr="00DF77C7" w:rsidR="00CA77CF" w:rsidP="00ED232C" w:rsidRDefault="00CA77CF" w14:paraId="6DDDD4A1" w14:textId="77777777">
            <w:pPr>
              <w:pStyle w:val="TableHeaderRow"/>
            </w:pPr>
            <w:r w:rsidRPr="00DF77C7">
              <w:t>Designation</w:t>
            </w:r>
          </w:p>
        </w:tc>
        <w:tc>
          <w:tcPr>
            <w:tcW w:w="2693" w:type="dxa"/>
          </w:tcPr>
          <w:p w:rsidRPr="00DF77C7" w:rsidR="00CA77CF" w:rsidP="00ED232C" w:rsidRDefault="00CA77CF" w14:paraId="7233218A" w14:textId="77777777">
            <w:pPr>
              <w:pStyle w:val="TableHeaderRow"/>
            </w:pPr>
            <w:r w:rsidRPr="00DF77C7">
              <w:t>Signature</w:t>
            </w:r>
          </w:p>
        </w:tc>
        <w:tc>
          <w:tcPr>
            <w:tcW w:w="1560" w:type="dxa"/>
          </w:tcPr>
          <w:p w:rsidRPr="00DF77C7" w:rsidR="00CA77CF" w:rsidP="00ED232C" w:rsidRDefault="00CA77CF" w14:paraId="2E9AB17B" w14:textId="77777777">
            <w:pPr>
              <w:pStyle w:val="TableHeaderRow"/>
            </w:pPr>
            <w:r w:rsidRPr="00DF77C7">
              <w:t>Date</w:t>
            </w:r>
          </w:p>
        </w:tc>
      </w:tr>
      <w:tr w:rsidRPr="00DF77C7" w:rsidR="00CA77CF" w:rsidTr="00600F2A" w14:paraId="61E63983" w14:textId="77777777">
        <w:tc>
          <w:tcPr>
            <w:tcW w:w="2122" w:type="dxa"/>
          </w:tcPr>
          <w:p w:rsidRPr="00DF77C7" w:rsidR="00CA77CF" w:rsidP="00ED232C" w:rsidRDefault="00CA77CF" w14:paraId="737E5C4D" w14:textId="6548B609">
            <w:pPr>
              <w:pStyle w:val="Tabletext"/>
            </w:pPr>
          </w:p>
          <w:p w:rsidRPr="00DF77C7" w:rsidR="00CA77CF" w:rsidP="00ED232C" w:rsidRDefault="00CA77CF" w14:paraId="51A7DECC" w14:textId="77777777">
            <w:pPr>
              <w:pStyle w:val="Tabletext"/>
            </w:pPr>
          </w:p>
        </w:tc>
        <w:tc>
          <w:tcPr>
            <w:tcW w:w="2551" w:type="dxa"/>
          </w:tcPr>
          <w:p w:rsidRPr="00DF77C7" w:rsidR="00CA77CF" w:rsidP="00ED232C" w:rsidRDefault="00CA77CF" w14:paraId="301B1672" w14:textId="77777777">
            <w:pPr>
              <w:pStyle w:val="Tabletext"/>
            </w:pPr>
          </w:p>
        </w:tc>
        <w:tc>
          <w:tcPr>
            <w:tcW w:w="2693" w:type="dxa"/>
          </w:tcPr>
          <w:p w:rsidRPr="00DF77C7" w:rsidR="00CA77CF" w:rsidP="00ED232C" w:rsidRDefault="00CA77CF" w14:paraId="1A38E131" w14:textId="77777777">
            <w:pPr>
              <w:pStyle w:val="Tabletext"/>
            </w:pPr>
          </w:p>
        </w:tc>
        <w:tc>
          <w:tcPr>
            <w:tcW w:w="1560" w:type="dxa"/>
          </w:tcPr>
          <w:p w:rsidRPr="00DF77C7" w:rsidR="00CA77CF" w:rsidP="00ED232C" w:rsidRDefault="00CA77CF" w14:paraId="1323DD1C" w14:textId="77777777">
            <w:pPr>
              <w:pStyle w:val="Tabletext"/>
            </w:pPr>
          </w:p>
        </w:tc>
      </w:tr>
      <w:tr w:rsidRPr="00DF77C7" w:rsidR="00CA77CF" w:rsidTr="00600F2A" w14:paraId="7C334CD9" w14:textId="77777777">
        <w:tc>
          <w:tcPr>
            <w:tcW w:w="2122" w:type="dxa"/>
          </w:tcPr>
          <w:p w:rsidRPr="00DF77C7" w:rsidR="00CA77CF" w:rsidP="00ED232C" w:rsidRDefault="00CA77CF" w14:paraId="58393539" w14:textId="30038A4B">
            <w:pPr>
              <w:pStyle w:val="Tabletext"/>
            </w:pPr>
          </w:p>
          <w:p w:rsidRPr="00DF77C7" w:rsidR="00CA77CF" w:rsidP="00ED232C" w:rsidRDefault="00CA77CF" w14:paraId="25BBB55C" w14:textId="77777777">
            <w:pPr>
              <w:pStyle w:val="Tabletext"/>
            </w:pPr>
          </w:p>
        </w:tc>
        <w:tc>
          <w:tcPr>
            <w:tcW w:w="2551" w:type="dxa"/>
          </w:tcPr>
          <w:p w:rsidRPr="00DF77C7" w:rsidR="00CA77CF" w:rsidP="00ED232C" w:rsidRDefault="00CA77CF" w14:paraId="2D29423F" w14:textId="77777777">
            <w:pPr>
              <w:pStyle w:val="Tabletext"/>
            </w:pPr>
          </w:p>
        </w:tc>
        <w:tc>
          <w:tcPr>
            <w:tcW w:w="2693" w:type="dxa"/>
          </w:tcPr>
          <w:p w:rsidRPr="00DF77C7" w:rsidR="00CA77CF" w:rsidP="00ED232C" w:rsidRDefault="00CA77CF" w14:paraId="22DF2ABA" w14:textId="77777777">
            <w:pPr>
              <w:pStyle w:val="Tabletext"/>
            </w:pPr>
          </w:p>
        </w:tc>
        <w:tc>
          <w:tcPr>
            <w:tcW w:w="1560" w:type="dxa"/>
          </w:tcPr>
          <w:p w:rsidRPr="00DF77C7" w:rsidR="00CA77CF" w:rsidP="00ED232C" w:rsidRDefault="00CA77CF" w14:paraId="6676F21E" w14:textId="77777777">
            <w:pPr>
              <w:pStyle w:val="Tabletext"/>
            </w:pPr>
          </w:p>
        </w:tc>
      </w:tr>
      <w:tr w:rsidRPr="00DF77C7" w:rsidR="00CA77CF" w:rsidTr="00600F2A" w14:paraId="0F870408" w14:textId="77777777">
        <w:tc>
          <w:tcPr>
            <w:tcW w:w="2122" w:type="dxa"/>
          </w:tcPr>
          <w:p w:rsidRPr="00DF77C7" w:rsidR="00CA77CF" w:rsidP="00ED232C" w:rsidRDefault="00CA77CF" w14:paraId="5CE778EF" w14:textId="243043BE">
            <w:pPr>
              <w:pStyle w:val="Tabletext"/>
            </w:pPr>
          </w:p>
          <w:p w:rsidRPr="00DF77C7" w:rsidR="00CA77CF" w:rsidP="00ED232C" w:rsidRDefault="00CA77CF" w14:paraId="3717604C" w14:textId="77777777">
            <w:pPr>
              <w:pStyle w:val="Tabletext"/>
            </w:pPr>
          </w:p>
        </w:tc>
        <w:tc>
          <w:tcPr>
            <w:tcW w:w="2551" w:type="dxa"/>
          </w:tcPr>
          <w:p w:rsidRPr="00DF77C7" w:rsidR="00CA77CF" w:rsidP="00ED232C" w:rsidRDefault="00CA77CF" w14:paraId="16D62252" w14:textId="77777777">
            <w:pPr>
              <w:pStyle w:val="Tabletext"/>
            </w:pPr>
          </w:p>
        </w:tc>
        <w:tc>
          <w:tcPr>
            <w:tcW w:w="2693" w:type="dxa"/>
          </w:tcPr>
          <w:p w:rsidRPr="00DF77C7" w:rsidR="00CA77CF" w:rsidP="00ED232C" w:rsidRDefault="00CA77CF" w14:paraId="2FEF6E0B" w14:textId="77777777">
            <w:pPr>
              <w:pStyle w:val="Tabletext"/>
            </w:pPr>
          </w:p>
        </w:tc>
        <w:tc>
          <w:tcPr>
            <w:tcW w:w="1560" w:type="dxa"/>
          </w:tcPr>
          <w:p w:rsidRPr="00DF77C7" w:rsidR="00CA77CF" w:rsidP="00ED232C" w:rsidRDefault="00CA77CF" w14:paraId="0F5D7610" w14:textId="77777777">
            <w:pPr>
              <w:pStyle w:val="Tabletext"/>
            </w:pPr>
          </w:p>
        </w:tc>
      </w:tr>
      <w:tr w:rsidRPr="00DF77C7" w:rsidR="00CA77CF" w:rsidTr="00600F2A" w14:paraId="0626E8BC" w14:textId="77777777">
        <w:tc>
          <w:tcPr>
            <w:tcW w:w="2122" w:type="dxa"/>
          </w:tcPr>
          <w:p w:rsidRPr="00DF77C7" w:rsidR="00CA77CF" w:rsidP="00ED232C" w:rsidRDefault="00CA77CF" w14:paraId="49B24D92" w14:textId="7A115BB2">
            <w:pPr>
              <w:pStyle w:val="Tabletext"/>
            </w:pPr>
          </w:p>
          <w:p w:rsidRPr="00DF77C7" w:rsidR="00CA77CF" w:rsidP="00ED232C" w:rsidRDefault="00CA77CF" w14:paraId="5856A963" w14:textId="77777777">
            <w:pPr>
              <w:pStyle w:val="Tabletext"/>
            </w:pPr>
          </w:p>
        </w:tc>
        <w:tc>
          <w:tcPr>
            <w:tcW w:w="2551" w:type="dxa"/>
          </w:tcPr>
          <w:p w:rsidRPr="00DF77C7" w:rsidR="00CA77CF" w:rsidP="00ED232C" w:rsidRDefault="00CA77CF" w14:paraId="0FAD2285" w14:textId="77777777">
            <w:pPr>
              <w:pStyle w:val="Tabletext"/>
            </w:pPr>
          </w:p>
        </w:tc>
        <w:tc>
          <w:tcPr>
            <w:tcW w:w="2693" w:type="dxa"/>
          </w:tcPr>
          <w:p w:rsidRPr="00DF77C7" w:rsidR="00CA77CF" w:rsidP="00ED232C" w:rsidRDefault="00CA77CF" w14:paraId="0011FCD8" w14:textId="77777777">
            <w:pPr>
              <w:pStyle w:val="Tabletext"/>
            </w:pPr>
          </w:p>
        </w:tc>
        <w:tc>
          <w:tcPr>
            <w:tcW w:w="1560" w:type="dxa"/>
          </w:tcPr>
          <w:p w:rsidRPr="00DF77C7" w:rsidR="00CA77CF" w:rsidP="00ED232C" w:rsidRDefault="00CA77CF" w14:paraId="4D1DAA9B" w14:textId="77777777">
            <w:pPr>
              <w:pStyle w:val="Tabletext"/>
            </w:pPr>
          </w:p>
        </w:tc>
      </w:tr>
    </w:tbl>
    <w:p w:rsidR="0056237E" w:rsidP="00AA5A30" w:rsidRDefault="0056237E" w14:paraId="10D15192" w14:textId="77777777">
      <w:pPr>
        <w:pStyle w:val="Heading3"/>
      </w:pPr>
    </w:p>
    <w:p w:rsidR="00510425" w:rsidP="00AA5A30" w:rsidRDefault="00510425" w14:paraId="451FFDD5" w14:textId="4C1D0839">
      <w:pPr>
        <w:pStyle w:val="Heading3"/>
      </w:pPr>
      <w:r w:rsidRPr="00DF77C7">
        <w:t xml:space="preserve">Authorising manager </w:t>
      </w:r>
    </w:p>
    <w:p w:rsidRPr="00825B58" w:rsidR="00825B58" w:rsidP="00825B58" w:rsidRDefault="00825B58" w14:paraId="46C3F1FD" w14:textId="48427119">
      <w:pPr>
        <w:pStyle w:val="PGDNormal"/>
        <w:rPr>
          <w:rFonts w:cs="Arial"/>
        </w:rPr>
      </w:pPr>
      <w:r w:rsidRPr="00825B58">
        <w:rPr>
          <w:rFonts w:cs="Arial"/>
        </w:rPr>
        <w:t>I confirm that the registered health professionals named above have declared themselves suitably trained and competent to work under this PGD. I give authorisation on behalf of</w:t>
      </w:r>
      <w:r w:rsidR="001A11C9">
        <w:rPr>
          <w:rFonts w:cs="Arial"/>
        </w:rPr>
        <w:t xml:space="preserve"> </w:t>
      </w:r>
      <w:proofErr w:type="gramStart"/>
      <w:r w:rsidR="004E03A1">
        <w:rPr>
          <w:rFonts w:cs="Arial"/>
        </w:rPr>
        <w:t xml:space="preserve">[ </w:t>
      </w:r>
      <w:r w:rsidRPr="004E03A1" w:rsidR="004E03A1">
        <w:rPr>
          <w:rFonts w:cs="Arial"/>
          <w:highlight w:val="cyan"/>
        </w:rPr>
        <w:t>insert</w:t>
      </w:r>
      <w:proofErr w:type="gramEnd"/>
      <w:r w:rsidRPr="004E03A1">
        <w:rPr>
          <w:rFonts w:cs="Arial"/>
          <w:highlight w:val="cyan"/>
        </w:rPr>
        <w:t xml:space="preserve"> name </w:t>
      </w:r>
      <w:r w:rsidRPr="001A11C9">
        <w:rPr>
          <w:rFonts w:cs="Arial"/>
          <w:highlight w:val="cyan"/>
        </w:rPr>
        <w:t xml:space="preserve">of </w:t>
      </w:r>
      <w:proofErr w:type="gramStart"/>
      <w:r w:rsidRPr="001A11C9">
        <w:rPr>
          <w:rFonts w:cs="Arial"/>
          <w:highlight w:val="cyan"/>
        </w:rPr>
        <w:t>organisation</w:t>
      </w:r>
      <w:r w:rsidR="001A11C9">
        <w:rPr>
          <w:rFonts w:cs="Arial"/>
        </w:rPr>
        <w:t xml:space="preserve"> ]</w:t>
      </w:r>
      <w:proofErr w:type="gramEnd"/>
      <w:r w:rsidRPr="00825B58">
        <w:rPr>
          <w:rFonts w:cs="Arial"/>
        </w:rPr>
        <w:t xml:space="preserve"> for the above-named health care professionals who have signed the PGD to work under it</w:t>
      </w:r>
    </w:p>
    <w:tbl>
      <w:tblPr>
        <w:tblW w:w="89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Pr="00DF77C7" w:rsidR="00825B58" w:rsidTr="00825B58" w14:paraId="08312120" w14:textId="77777777">
        <w:tc>
          <w:tcPr>
            <w:tcW w:w="2122" w:type="dxa"/>
          </w:tcPr>
          <w:p w:rsidRPr="00DF77C7" w:rsidR="00825B58" w:rsidP="00ED232C" w:rsidRDefault="00825B58" w14:paraId="2F89D8ED" w14:textId="6261413C">
            <w:pPr>
              <w:pStyle w:val="TableHeaderRow"/>
            </w:pPr>
            <w:r w:rsidRPr="00DF77C7">
              <w:t>Name</w:t>
            </w:r>
          </w:p>
        </w:tc>
        <w:tc>
          <w:tcPr>
            <w:tcW w:w="2551" w:type="dxa"/>
          </w:tcPr>
          <w:p w:rsidRPr="00DF77C7" w:rsidR="00825B58" w:rsidP="00ED232C" w:rsidRDefault="00825B58" w14:paraId="5653C12E" w14:textId="77777777">
            <w:pPr>
              <w:pStyle w:val="TableHeaderRow"/>
            </w:pPr>
            <w:r w:rsidRPr="00DF77C7">
              <w:t>Designation</w:t>
            </w:r>
          </w:p>
        </w:tc>
        <w:tc>
          <w:tcPr>
            <w:tcW w:w="2693" w:type="dxa"/>
          </w:tcPr>
          <w:p w:rsidRPr="00DF77C7" w:rsidR="00825B58" w:rsidP="00ED232C" w:rsidRDefault="00825B58" w14:paraId="6626EDAE" w14:textId="77777777">
            <w:pPr>
              <w:pStyle w:val="TableHeaderRow"/>
            </w:pPr>
            <w:r w:rsidRPr="00DF77C7">
              <w:t>Signature</w:t>
            </w:r>
          </w:p>
        </w:tc>
        <w:tc>
          <w:tcPr>
            <w:tcW w:w="1560" w:type="dxa"/>
          </w:tcPr>
          <w:p w:rsidRPr="00DF77C7" w:rsidR="00825B58" w:rsidP="00ED232C" w:rsidRDefault="00825B58" w14:paraId="7E792298" w14:textId="77777777">
            <w:pPr>
              <w:pStyle w:val="TableHeaderRow"/>
            </w:pPr>
            <w:r w:rsidRPr="00DF77C7">
              <w:t>Date</w:t>
            </w:r>
          </w:p>
        </w:tc>
      </w:tr>
      <w:tr w:rsidRPr="00DF77C7" w:rsidR="00825B58" w:rsidTr="00825B58" w14:paraId="0EBDF887" w14:textId="77777777">
        <w:tc>
          <w:tcPr>
            <w:tcW w:w="2122" w:type="dxa"/>
          </w:tcPr>
          <w:p w:rsidRPr="00DF77C7" w:rsidR="00825B58" w:rsidP="00ED232C" w:rsidRDefault="00825B58" w14:paraId="5FD07E7F" w14:textId="1DD65E11">
            <w:pPr>
              <w:pStyle w:val="Tabletext"/>
            </w:pPr>
          </w:p>
          <w:p w:rsidRPr="00DF77C7" w:rsidR="00825B58" w:rsidP="00ED232C" w:rsidRDefault="00825B58" w14:paraId="5C91BEFA" w14:textId="77777777">
            <w:pPr>
              <w:pStyle w:val="Tabletext"/>
            </w:pPr>
          </w:p>
        </w:tc>
        <w:tc>
          <w:tcPr>
            <w:tcW w:w="2551" w:type="dxa"/>
          </w:tcPr>
          <w:p w:rsidRPr="00DF77C7" w:rsidR="00825B58" w:rsidP="00ED232C" w:rsidRDefault="00825B58" w14:paraId="5E586BCA" w14:textId="77777777">
            <w:pPr>
              <w:pStyle w:val="Tabletext"/>
            </w:pPr>
          </w:p>
          <w:p w:rsidRPr="00DF77C7" w:rsidR="00825B58" w:rsidP="00ED232C" w:rsidRDefault="00825B58" w14:paraId="012BFE9A" w14:textId="77777777">
            <w:pPr>
              <w:pStyle w:val="Tabletext"/>
            </w:pPr>
          </w:p>
        </w:tc>
        <w:tc>
          <w:tcPr>
            <w:tcW w:w="2693" w:type="dxa"/>
          </w:tcPr>
          <w:p w:rsidRPr="00DF77C7" w:rsidR="00825B58" w:rsidP="00ED232C" w:rsidRDefault="00825B58" w14:paraId="0FD301BC" w14:textId="77777777">
            <w:pPr>
              <w:pStyle w:val="Tabletext"/>
            </w:pPr>
          </w:p>
          <w:p w:rsidRPr="00DF77C7" w:rsidR="00825B58" w:rsidP="00ED232C" w:rsidRDefault="00825B58" w14:paraId="2CF64E15" w14:textId="77777777">
            <w:pPr>
              <w:pStyle w:val="Tabletext"/>
            </w:pPr>
          </w:p>
        </w:tc>
        <w:tc>
          <w:tcPr>
            <w:tcW w:w="1560" w:type="dxa"/>
          </w:tcPr>
          <w:p w:rsidRPr="00DF77C7" w:rsidR="00825B58" w:rsidP="00ED232C" w:rsidRDefault="00825B58" w14:paraId="001E573C" w14:textId="77777777">
            <w:pPr>
              <w:pStyle w:val="Tabletext"/>
            </w:pPr>
          </w:p>
          <w:p w:rsidRPr="00DF77C7" w:rsidR="00825B58" w:rsidP="00ED232C" w:rsidRDefault="00825B58" w14:paraId="27053B3A" w14:textId="77777777">
            <w:pPr>
              <w:pStyle w:val="Tabletext"/>
            </w:pPr>
          </w:p>
        </w:tc>
      </w:tr>
    </w:tbl>
    <w:p w:rsidR="00600F2A" w:rsidP="00293756" w:rsidRDefault="00600F2A" w14:paraId="7044DAD3" w14:textId="77777777">
      <w:pPr>
        <w:rPr>
          <w:rStyle w:val="PGDNormalBold"/>
        </w:rPr>
      </w:pPr>
    </w:p>
    <w:p w:rsidR="00600F2A" w:rsidP="00293756" w:rsidRDefault="00600F2A" w14:paraId="364647DE" w14:textId="77777777">
      <w:pPr>
        <w:rPr>
          <w:rStyle w:val="PGDNormalBold"/>
        </w:rPr>
      </w:pPr>
    </w:p>
    <w:p w:rsidR="00600F2A" w:rsidP="00293756" w:rsidRDefault="00600F2A" w14:paraId="4A40E55A" w14:textId="0E2A9252">
      <w:pPr>
        <w:rPr>
          <w:rStyle w:val="PGDNormalBold"/>
        </w:rPr>
      </w:pPr>
    </w:p>
    <w:p w:rsidR="00600F2A" w:rsidP="00293756" w:rsidRDefault="00600F2A" w14:paraId="6D72C4D4" w14:textId="77777777">
      <w:pPr>
        <w:rPr>
          <w:rStyle w:val="PGDNormalBold"/>
        </w:rPr>
      </w:pPr>
    </w:p>
    <w:p w:rsidR="00600F2A" w:rsidP="00293756" w:rsidRDefault="00600F2A" w14:paraId="016FF8D2" w14:textId="77777777">
      <w:pPr>
        <w:rPr>
          <w:rStyle w:val="PGDNormalBold"/>
        </w:rPr>
      </w:pPr>
    </w:p>
    <w:p w:rsidRPr="00293756" w:rsidR="00510425" w:rsidP="00293756" w:rsidRDefault="00510425" w14:paraId="28F41219" w14:textId="66F5DEC4">
      <w:pPr>
        <w:rPr>
          <w:rStyle w:val="PGDNormalBold"/>
        </w:rPr>
      </w:pPr>
      <w:r w:rsidRPr="00293756">
        <w:rPr>
          <w:rStyle w:val="PGDNormalBold"/>
        </w:rPr>
        <w:t>Note to authorising manager</w:t>
      </w:r>
    </w:p>
    <w:p w:rsidRPr="00DF77C7" w:rsidR="00510425" w:rsidP="0077187C" w:rsidRDefault="00510425" w14:paraId="36670A02" w14:textId="77777777">
      <w:pPr>
        <w:pStyle w:val="PGDNormal"/>
      </w:pPr>
      <w:r w:rsidRPr="00DF77C7">
        <w:t>Score through unused rows in the list of registered health professionals to prevent additions post managerial authorisation.</w:t>
      </w:r>
    </w:p>
    <w:p w:rsidRPr="00DF77C7" w:rsidR="00510425" w:rsidP="0077187C" w:rsidRDefault="00510425" w14:paraId="29F7C469" w14:textId="77777777">
      <w:pPr>
        <w:pStyle w:val="PGDNormal"/>
      </w:pPr>
      <w:r w:rsidRPr="00DF77C7">
        <w:t>This authorisation sheet should be retained to serve as a record of those registered health professionals authorised to work under this PGD.</w:t>
      </w:r>
    </w:p>
    <w:p w:rsidRPr="00DF77C7" w:rsidR="00510425" w:rsidP="0077187C" w:rsidRDefault="00AC0BE9" w14:paraId="2136AB7D" w14:textId="7514879E">
      <w:pPr>
        <w:pStyle w:val="PGDNormal"/>
      </w:pPr>
      <w:r w:rsidRPr="00AC0BE9">
        <w:t>[</w:t>
      </w:r>
      <w:r w:rsidRPr="00DF77C7" w:rsidR="00510425">
        <w:rPr>
          <w:highlight w:val="cyan"/>
        </w:rPr>
        <w:t>Add details on how this information is to be retained according to organisation PGD policy.</w:t>
      </w:r>
      <w:r>
        <w:t>]</w:t>
      </w:r>
    </w:p>
    <w:p w:rsidR="00E11FE0" w:rsidP="00ED232C" w:rsidRDefault="00E11FE0" w14:paraId="495DAEDB" w14:textId="77777777">
      <w:pPr>
        <w:pStyle w:val="PGDNormal"/>
      </w:pPr>
    </w:p>
    <w:sectPr w:rsidR="00E11FE0" w:rsidSect="00537E57">
      <w:headerReference w:type="even" r:id="rId47"/>
      <w:headerReference w:type="default" r:id="rId48"/>
      <w:footerReference w:type="default" r:id="rId49"/>
      <w:headerReference w:type="first" r:id="rId50"/>
      <w:pgSz w:w="11907" w:h="16840" w:orient="portrait"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DF77C7" w:rsidR="004075B1" w:rsidRDefault="004075B1" w14:paraId="2E9A7434" w14:textId="77777777">
      <w:r w:rsidRPr="00DF77C7">
        <w:separator/>
      </w:r>
    </w:p>
  </w:endnote>
  <w:endnote w:type="continuationSeparator" w:id="0">
    <w:p w:rsidRPr="00DF77C7" w:rsidR="004075B1" w:rsidRDefault="004075B1" w14:paraId="28DBCE4B" w14:textId="77777777">
      <w:r w:rsidRPr="00DF77C7">
        <w:continuationSeparator/>
      </w:r>
    </w:p>
  </w:endnote>
  <w:endnote w:type="continuationNotice" w:id="1">
    <w:p w:rsidR="004075B1" w:rsidRDefault="004075B1" w14:paraId="129205E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72136" w:rsidR="007F0048" w:rsidP="00762BFE" w:rsidRDefault="005E6491" w14:paraId="7A15F6D6" w14:textId="0875A07F">
    <w:pPr>
      <w:pStyle w:val="Footer"/>
      <w:rPr>
        <w:highlight w:val="cyan"/>
      </w:rPr>
    </w:pPr>
    <w:r>
      <w:rPr>
        <w:highlight w:val="cyan"/>
      </w:rPr>
      <w:t>[</w:t>
    </w:r>
    <w:r w:rsidRPr="00272136" w:rsidR="007F0048">
      <w:rPr>
        <w:highlight w:val="cyan"/>
      </w:rPr>
      <w:t>Reference Number:</w:t>
    </w:r>
  </w:p>
  <w:p w:rsidRPr="00272136" w:rsidR="007F0048" w:rsidP="00762BFE" w:rsidRDefault="007F0048" w14:paraId="37AB56FF" w14:textId="77777777">
    <w:pPr>
      <w:pStyle w:val="PGDNormal"/>
      <w:spacing w:after="0"/>
      <w:rPr>
        <w:szCs w:val="22"/>
        <w:highlight w:val="cyan"/>
      </w:rPr>
    </w:pPr>
    <w:r w:rsidRPr="00272136">
      <w:rPr>
        <w:szCs w:val="22"/>
        <w:highlight w:val="cyan"/>
      </w:rPr>
      <w:t>Valid from:</w:t>
    </w:r>
  </w:p>
  <w:p w:rsidRPr="00272136" w:rsidR="007F0048" w:rsidP="00762BFE" w:rsidRDefault="007F0048" w14:paraId="433533CD" w14:textId="77777777">
    <w:pPr>
      <w:pStyle w:val="Footer"/>
      <w:rPr>
        <w:highlight w:val="cyan"/>
      </w:rPr>
    </w:pPr>
    <w:r w:rsidRPr="00272136">
      <w:rPr>
        <w:highlight w:val="cyan"/>
      </w:rPr>
      <w:t>Review date:</w:t>
    </w:r>
  </w:p>
  <w:p w:rsidRPr="00DF77C7" w:rsidR="007F0048" w:rsidP="00762BFE" w:rsidRDefault="007F0048" w14:paraId="6B111E08" w14:textId="239AE8CD">
    <w:pPr>
      <w:pStyle w:val="Footer"/>
    </w:pPr>
    <w:r w:rsidRPr="00272136">
      <w:rPr>
        <w:highlight w:val="cyan"/>
      </w:rPr>
      <w:t>Expiry date:</w:t>
    </w:r>
    <w:r w:rsidR="005E6491">
      <w:t>]</w:t>
    </w:r>
    <w:r w:rsidRPr="00DF77C7">
      <w:tab/>
    </w:r>
    <w:r w:rsidRPr="00DF77C7">
      <w:fldChar w:fldCharType="begin"/>
    </w:r>
    <w:r w:rsidRPr="00DF77C7">
      <w:instrText xml:space="preserve"> PAGE   \* MERGEFORMAT </w:instrText>
    </w:r>
    <w:r w:rsidRPr="00DF77C7">
      <w:fldChar w:fldCharType="separate"/>
    </w:r>
    <w:r w:rsidRPr="00DF77C7" w:rsidR="00B348EF">
      <w:t>12</w:t>
    </w:r>
    <w:r w:rsidRPr="00DF77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DF77C7" w:rsidR="004075B1" w:rsidRDefault="004075B1" w14:paraId="7FD270FB" w14:textId="77777777">
      <w:r w:rsidRPr="00DF77C7">
        <w:separator/>
      </w:r>
    </w:p>
  </w:footnote>
  <w:footnote w:type="continuationSeparator" w:id="0">
    <w:p w:rsidRPr="00DF77C7" w:rsidR="004075B1" w:rsidRDefault="004075B1" w14:paraId="4674DAC8" w14:textId="77777777">
      <w:r w:rsidRPr="00DF77C7">
        <w:continuationSeparator/>
      </w:r>
    </w:p>
  </w:footnote>
  <w:footnote w:type="continuationNotice" w:id="1">
    <w:p w:rsidR="004075B1" w:rsidRDefault="004075B1" w14:paraId="1137F19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F77C7" w:rsidR="0017669F" w:rsidRDefault="00893613" w14:paraId="5A895BA6" w14:textId="56F3EB4F">
    <w:pPr>
      <w:pStyle w:val="Header"/>
    </w:pPr>
    <w:r>
      <w:rPr>
        <w:noProof/>
      </w:rPr>
      <w:pict w14:anchorId="33AB8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7" style="position:absolute;margin-left:0;margin-top:0;width:490.5pt;height:109pt;rotation:315;z-index:-251658239;mso-position-horizontal:center;mso-position-horizontal-relative:margin;mso-position-vertical:center;mso-position-vertical-relative:margin" o:spid="_x0000_s1032" o:allowincell="f" fillcolor="silver" stroked="f" type="#_x0000_t136">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11B08" w:rsidR="00E60C36" w:rsidP="00E27D26" w:rsidRDefault="00893613" w14:paraId="79248BAA" w14:textId="187A1A8E">
    <w:pPr>
      <w:pStyle w:val="Header"/>
      <w:rPr>
        <w:sz w:val="16"/>
        <w:szCs w:val="16"/>
      </w:rPr>
    </w:pPr>
    <w:r>
      <w:rPr>
        <w:noProof/>
        <w:sz w:val="22"/>
        <w:szCs w:val="22"/>
      </w:rPr>
      <w:pict w14:anchorId="73A8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8" style="position:absolute;margin-left:0;margin-top:0;width:490.5pt;height:109pt;rotation:315;z-index:-251658238;mso-position-horizontal:center;mso-position-horizontal-relative:margin;mso-position-vertical:center;mso-position-vertical-relative:margin" o:spid="_x0000_s1033" o:allowincell="f" fillcolor="silver" stroked="f" type="#_x0000_t136">
          <v:fill opacity=".5"/>
          <v:textpath style="font-family:&quot;Arial&quot;;font-size:1pt" string="TEMPLATE"/>
          <w10:wrap anchorx="margin" anchory="margin"/>
        </v:shape>
      </w:pict>
    </w:r>
    <w:r w:rsidRPr="00B11B08" w:rsidR="00B11B08">
      <w:rPr>
        <w:sz w:val="16"/>
        <w:szCs w:val="16"/>
      </w:rPr>
      <w:t xml:space="preserve">Text </w:t>
    </w:r>
    <w:r w:rsidR="009C2AEE">
      <w:rPr>
        <w:sz w:val="16"/>
        <w:szCs w:val="16"/>
      </w:rPr>
      <w:t>[</w:t>
    </w:r>
    <w:r w:rsidRPr="00BA6AF1" w:rsidR="00B11B08">
      <w:rPr>
        <w:sz w:val="16"/>
        <w:szCs w:val="16"/>
        <w:highlight w:val="cyan"/>
      </w:rPr>
      <w:t xml:space="preserve">highlighted in </w:t>
    </w:r>
    <w:r w:rsidRPr="009C2AEE" w:rsidR="00B11B08">
      <w:rPr>
        <w:sz w:val="16"/>
        <w:szCs w:val="16"/>
        <w:highlight w:val="cyan"/>
      </w:rPr>
      <w:t>blue</w:t>
    </w:r>
    <w:r w:rsidRPr="009C2AEE" w:rsidR="009C2AEE">
      <w:rPr>
        <w:sz w:val="16"/>
        <w:szCs w:val="16"/>
        <w:highlight w:val="cyan"/>
      </w:rPr>
      <w:t xml:space="preserve"> and in </w:t>
    </w:r>
    <w:r w:rsidR="005E6491">
      <w:rPr>
        <w:sz w:val="16"/>
        <w:szCs w:val="16"/>
        <w:highlight w:val="cyan"/>
      </w:rPr>
      <w:t xml:space="preserve">single </w:t>
    </w:r>
    <w:r w:rsidRPr="009C2AEE" w:rsidR="009C2AEE">
      <w:rPr>
        <w:sz w:val="16"/>
        <w:szCs w:val="16"/>
        <w:highlight w:val="cyan"/>
      </w:rPr>
      <w:t>square brackets</w:t>
    </w:r>
    <w:r w:rsidR="009C2AEE">
      <w:rPr>
        <w:sz w:val="16"/>
        <w:szCs w:val="16"/>
      </w:rPr>
      <w:t>]</w:t>
    </w:r>
    <w:r w:rsidRPr="00B11B08" w:rsidR="00B11B08">
      <w:rPr>
        <w:sz w:val="16"/>
        <w:szCs w:val="16"/>
      </w:rPr>
      <w:t xml:space="preserve"> should be replaced with the user organisation’s own text. Text </w:t>
    </w:r>
    <w:r w:rsidR="005E6491">
      <w:rPr>
        <w:sz w:val="16"/>
        <w:szCs w:val="16"/>
      </w:rPr>
      <w:t>[[</w:t>
    </w:r>
    <w:r w:rsidRPr="005E6491" w:rsidR="00B11B08">
      <w:rPr>
        <w:sz w:val="16"/>
        <w:szCs w:val="16"/>
        <w:highlight w:val="yellow"/>
      </w:rPr>
      <w:t xml:space="preserve">highlighted in yellow </w:t>
    </w:r>
    <w:r w:rsidRPr="005E6491" w:rsidR="005E6491">
      <w:rPr>
        <w:sz w:val="16"/>
        <w:szCs w:val="16"/>
        <w:highlight w:val="yellow"/>
      </w:rPr>
      <w:t>and in double square brackets</w:t>
    </w:r>
    <w:r w:rsidR="005E6491">
      <w:rPr>
        <w:sz w:val="16"/>
        <w:szCs w:val="16"/>
      </w:rPr>
      <w:t xml:space="preserve">]] </w:t>
    </w:r>
    <w:r w:rsidRPr="00B11B08" w:rsidR="00B11B08">
      <w:rPr>
        <w:sz w:val="16"/>
        <w:szCs w:val="16"/>
      </w:rPr>
      <w:t>is advisory text and should be removed in final authorised versions of the PGD.  It is advised that all non-highlighted text remains in final authorised versions</w:t>
    </w:r>
    <w:r w:rsidR="00BA6AF1">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F77C7" w:rsidR="0017669F" w:rsidRDefault="00893613" w14:paraId="1BF58BE0" w14:textId="3CDA4B89">
    <w:pPr>
      <w:pStyle w:val="Header"/>
    </w:pPr>
    <w:r>
      <w:rPr>
        <w:noProof/>
      </w:rPr>
      <w:pict w14:anchorId="5569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6" style="position:absolute;margin-left:0;margin-top:0;width:490.5pt;height:109pt;rotation:315;z-index:-251658240;mso-position-horizontal:center;mso-position-horizontal-relative:margin;mso-position-vertical:center;mso-position-vertical-relative:margin" o:spid="_x0000_s1031" o:allowincell="f" fillcolor="silver" stroked="f" type="#_x0000_t136">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D7A75DE"/>
    <w:lvl w:ilvl="0">
      <w:start w:val="1"/>
      <w:numFmt w:val="bullet"/>
      <w:lvlText w:val=""/>
      <w:lvlJc w:val="left"/>
      <w:pPr>
        <w:tabs>
          <w:tab w:val="num" w:pos="926"/>
        </w:tabs>
        <w:ind w:left="926" w:hanging="360"/>
      </w:pPr>
      <w:rPr>
        <w:rFonts w:hint="default" w:ascii="Symbol" w:hAnsi="Symbol"/>
      </w:rPr>
    </w:lvl>
  </w:abstractNum>
  <w:abstractNum w:abstractNumId="1"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4" w15:restartNumberingAfterBreak="0">
    <w:nsid w:val="22E853F9"/>
    <w:multiLevelType w:val="hybridMultilevel"/>
    <w:tmpl w:val="266EAAC2"/>
    <w:lvl w:ilvl="0" w:tplc="56E621DC">
      <w:start w:val="1"/>
      <w:numFmt w:val="bullet"/>
      <w:pStyle w:val="Subbullets"/>
      <w:lvlText w:val="­"/>
      <w:lvlJc w:val="left"/>
      <w:pPr>
        <w:ind w:left="1588" w:hanging="454"/>
      </w:pPr>
      <w:rPr>
        <w:rFonts w:hint="default" w:ascii="Courier New" w:hAnsi="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6"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E87D95"/>
    <w:multiLevelType w:val="multilevel"/>
    <w:tmpl w:val="9DE858CE"/>
    <w:lvl w:ilvl="0">
      <w:start w:val="1"/>
      <w:numFmt w:val="bullet"/>
      <w:pStyle w:val="Bulletindent1"/>
      <w:lvlText w:val=""/>
      <w:lvlJc w:val="left"/>
      <w:pPr>
        <w:ind w:left="720" w:hanging="360"/>
      </w:pPr>
      <w:rPr>
        <w:rFonts w:ascii="Symbol" w:hAnsi="Symbol"/>
        <w:sz w:val="22"/>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9" w15:restartNumberingAfterBreak="0">
    <w:nsid w:val="425B685A"/>
    <w:multiLevelType w:val="multilevel"/>
    <w:tmpl w:val="6C8A4D2A"/>
    <w:styleLink w:val="PGDbullet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0"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hint="default" w:ascii="Symbol" w:hAnsi="Symbol"/>
        <w:sz w:val="22"/>
      </w:rPr>
    </w:lvl>
    <w:lvl w:ilvl="1">
      <w:start w:val="1"/>
      <w:numFmt w:val="bullet"/>
      <w:lvlText w:val=""/>
      <w:lvlJc w:val="left"/>
      <w:pPr>
        <w:tabs>
          <w:tab w:val="num" w:pos="1418"/>
        </w:tabs>
        <w:ind w:left="1418" w:hanging="284"/>
      </w:pPr>
      <w:rPr>
        <w:rFonts w:hint="default" w:ascii="Wingdings" w:hAnsi="Wingdings"/>
        <w:sz w:val="22"/>
      </w:rPr>
    </w:lvl>
    <w:lvl w:ilvl="2">
      <w:start w:val="1"/>
      <w:numFmt w:val="bullet"/>
      <w:lvlText w:val=""/>
      <w:lvlJc w:val="left"/>
      <w:pPr>
        <w:tabs>
          <w:tab w:val="num" w:pos="2214"/>
        </w:tabs>
        <w:ind w:left="2214" w:hanging="360"/>
      </w:pPr>
      <w:rPr>
        <w:rFonts w:hint="default" w:ascii="Wingdings" w:hAnsi="Wingdings"/>
      </w:rPr>
    </w:lvl>
    <w:lvl w:ilvl="3">
      <w:start w:val="1"/>
      <w:numFmt w:val="bullet"/>
      <w:lvlText w:val=""/>
      <w:lvlJc w:val="left"/>
      <w:pPr>
        <w:tabs>
          <w:tab w:val="num" w:pos="2934"/>
        </w:tabs>
        <w:ind w:left="2934" w:hanging="360"/>
      </w:pPr>
      <w:rPr>
        <w:rFonts w:hint="default" w:ascii="Symbol" w:hAnsi="Symbol"/>
      </w:rPr>
    </w:lvl>
    <w:lvl w:ilvl="4">
      <w:start w:val="1"/>
      <w:numFmt w:val="bullet"/>
      <w:lvlText w:val="o"/>
      <w:lvlJc w:val="left"/>
      <w:pPr>
        <w:tabs>
          <w:tab w:val="num" w:pos="3654"/>
        </w:tabs>
        <w:ind w:left="3654" w:hanging="360"/>
      </w:pPr>
      <w:rPr>
        <w:rFonts w:hint="default" w:ascii="Courier New" w:hAnsi="Courier New" w:cs="Courier New"/>
      </w:rPr>
    </w:lvl>
    <w:lvl w:ilvl="5">
      <w:start w:val="1"/>
      <w:numFmt w:val="bullet"/>
      <w:lvlText w:val=""/>
      <w:lvlJc w:val="left"/>
      <w:pPr>
        <w:tabs>
          <w:tab w:val="num" w:pos="4374"/>
        </w:tabs>
        <w:ind w:left="4374" w:hanging="360"/>
      </w:pPr>
      <w:rPr>
        <w:rFonts w:hint="default" w:ascii="Wingdings" w:hAnsi="Wingdings"/>
      </w:rPr>
    </w:lvl>
    <w:lvl w:ilvl="6">
      <w:start w:val="1"/>
      <w:numFmt w:val="bullet"/>
      <w:lvlText w:val=""/>
      <w:lvlJc w:val="left"/>
      <w:pPr>
        <w:tabs>
          <w:tab w:val="num" w:pos="5094"/>
        </w:tabs>
        <w:ind w:left="5094" w:hanging="360"/>
      </w:pPr>
      <w:rPr>
        <w:rFonts w:hint="default" w:ascii="Symbol" w:hAnsi="Symbol"/>
      </w:rPr>
    </w:lvl>
    <w:lvl w:ilvl="7">
      <w:start w:val="1"/>
      <w:numFmt w:val="bullet"/>
      <w:lvlText w:val="o"/>
      <w:lvlJc w:val="left"/>
      <w:pPr>
        <w:tabs>
          <w:tab w:val="num" w:pos="5814"/>
        </w:tabs>
        <w:ind w:left="5814" w:hanging="360"/>
      </w:pPr>
      <w:rPr>
        <w:rFonts w:hint="default" w:ascii="Courier New" w:hAnsi="Courier New" w:cs="Courier New"/>
      </w:rPr>
    </w:lvl>
    <w:lvl w:ilvl="8">
      <w:start w:val="1"/>
      <w:numFmt w:val="bullet"/>
      <w:lvlText w:val=""/>
      <w:lvlJc w:val="left"/>
      <w:pPr>
        <w:tabs>
          <w:tab w:val="num" w:pos="6534"/>
        </w:tabs>
        <w:ind w:left="6534" w:hanging="360"/>
      </w:pPr>
      <w:rPr>
        <w:rFonts w:hint="default" w:ascii="Wingdings" w:hAnsi="Wingdings"/>
      </w:rPr>
    </w:lvl>
  </w:abstractNum>
  <w:abstractNum w:abstractNumId="11" w15:restartNumberingAfterBreak="0">
    <w:nsid w:val="508E1D7B"/>
    <w:multiLevelType w:val="hybridMultilevel"/>
    <w:tmpl w:val="9ED4C8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696F2189"/>
    <w:multiLevelType w:val="hybridMultilevel"/>
    <w:tmpl w:val="24F8CBCE"/>
    <w:lvl w:ilvl="0" w:tplc="35960CCE">
      <w:start w:val="1"/>
      <w:numFmt w:val="bullet"/>
      <w:pStyle w:val="Bullets"/>
      <w:lvlText w:val=""/>
      <w:lvlJc w:val="left"/>
      <w:pPr>
        <w:ind w:left="1134" w:hanging="454"/>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hint="default" w:ascii="Symbol" w:hAnsi="Symbol"/>
        <w:sz w:val="22"/>
        <w:szCs w:val="22"/>
      </w:rPr>
    </w:lvl>
    <w:lvl w:ilvl="1">
      <w:start w:val="1"/>
      <w:numFmt w:val="bullet"/>
      <w:lvlText w:val="o"/>
      <w:lvlJc w:val="left"/>
      <w:pPr>
        <w:tabs>
          <w:tab w:val="num" w:pos="-713"/>
        </w:tabs>
        <w:ind w:left="-713" w:hanging="360"/>
      </w:pPr>
      <w:rPr>
        <w:rFonts w:hint="default" w:ascii="Courier New" w:hAnsi="Courier New" w:cs="Courier New"/>
        <w:sz w:val="22"/>
        <w:szCs w:val="22"/>
      </w:rPr>
    </w:lvl>
    <w:lvl w:ilvl="2">
      <w:start w:val="1"/>
      <w:numFmt w:val="bullet"/>
      <w:lvlText w:val=""/>
      <w:lvlJc w:val="left"/>
      <w:pPr>
        <w:tabs>
          <w:tab w:val="num" w:pos="7"/>
        </w:tabs>
        <w:ind w:left="7" w:hanging="360"/>
      </w:pPr>
      <w:rPr>
        <w:rFonts w:hint="default" w:ascii="Wingdings" w:hAnsi="Wingdings"/>
      </w:rPr>
    </w:lvl>
    <w:lvl w:ilvl="3">
      <w:start w:val="1"/>
      <w:numFmt w:val="bullet"/>
      <w:lvlText w:val=""/>
      <w:lvlJc w:val="left"/>
      <w:pPr>
        <w:tabs>
          <w:tab w:val="num" w:pos="727"/>
        </w:tabs>
        <w:ind w:left="727" w:hanging="360"/>
      </w:pPr>
      <w:rPr>
        <w:rFonts w:hint="default" w:ascii="Symbol" w:hAnsi="Symbol"/>
      </w:rPr>
    </w:lvl>
    <w:lvl w:ilvl="4">
      <w:start w:val="1"/>
      <w:numFmt w:val="bullet"/>
      <w:lvlText w:val="o"/>
      <w:lvlJc w:val="left"/>
      <w:pPr>
        <w:tabs>
          <w:tab w:val="num" w:pos="1447"/>
        </w:tabs>
        <w:ind w:left="1447" w:hanging="360"/>
      </w:pPr>
      <w:rPr>
        <w:rFonts w:hint="default" w:ascii="Courier New" w:hAnsi="Courier New" w:cs="Courier New"/>
      </w:rPr>
    </w:lvl>
    <w:lvl w:ilvl="5">
      <w:start w:val="1"/>
      <w:numFmt w:val="bullet"/>
      <w:lvlText w:val=""/>
      <w:lvlJc w:val="left"/>
      <w:pPr>
        <w:tabs>
          <w:tab w:val="num" w:pos="2167"/>
        </w:tabs>
        <w:ind w:left="2167" w:hanging="360"/>
      </w:pPr>
      <w:rPr>
        <w:rFonts w:hint="default" w:ascii="Wingdings" w:hAnsi="Wingdings"/>
      </w:rPr>
    </w:lvl>
    <w:lvl w:ilvl="6">
      <w:start w:val="1"/>
      <w:numFmt w:val="bullet"/>
      <w:lvlText w:val=""/>
      <w:lvlJc w:val="left"/>
      <w:pPr>
        <w:tabs>
          <w:tab w:val="num" w:pos="2887"/>
        </w:tabs>
        <w:ind w:left="2887" w:hanging="360"/>
      </w:pPr>
      <w:rPr>
        <w:rFonts w:hint="default" w:ascii="Symbol" w:hAnsi="Symbol"/>
      </w:rPr>
    </w:lvl>
    <w:lvl w:ilvl="7">
      <w:start w:val="1"/>
      <w:numFmt w:val="bullet"/>
      <w:lvlText w:val="o"/>
      <w:lvlJc w:val="left"/>
      <w:pPr>
        <w:tabs>
          <w:tab w:val="num" w:pos="3607"/>
        </w:tabs>
        <w:ind w:left="3607" w:hanging="360"/>
      </w:pPr>
      <w:rPr>
        <w:rFonts w:hint="default" w:ascii="Courier New" w:hAnsi="Courier New" w:cs="Courier New"/>
      </w:rPr>
    </w:lvl>
    <w:lvl w:ilvl="8">
      <w:start w:val="1"/>
      <w:numFmt w:val="bullet"/>
      <w:lvlText w:val=""/>
      <w:lvlJc w:val="left"/>
      <w:pPr>
        <w:tabs>
          <w:tab w:val="num" w:pos="4327"/>
        </w:tabs>
        <w:ind w:left="4327" w:hanging="360"/>
      </w:pPr>
      <w:rPr>
        <w:rFonts w:hint="default" w:ascii="Wingdings" w:hAnsi="Wingdings"/>
      </w:rPr>
    </w:lvl>
  </w:abstractNum>
  <w:abstractNum w:abstractNumId="16"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hint="default" w:ascii="Century Gothic" w:hAnsi="Century Gothic"/>
        <w:sz w:val="22"/>
      </w:rPr>
    </w:lvl>
    <w:lvl w:ilvl="1">
      <w:start w:val="1"/>
      <w:numFmt w:val="bullet"/>
      <w:lvlText w:val="o"/>
      <w:lvlJc w:val="left"/>
      <w:pPr>
        <w:tabs>
          <w:tab w:val="num" w:pos="-2812"/>
        </w:tabs>
        <w:ind w:left="-2812" w:hanging="360"/>
      </w:pPr>
      <w:rPr>
        <w:rFonts w:hint="default" w:ascii="Courier New" w:hAnsi="Courier New" w:cs="Courier New"/>
        <w:sz w:val="22"/>
        <w:szCs w:val="22"/>
      </w:rPr>
    </w:lvl>
    <w:lvl w:ilvl="2">
      <w:start w:val="1"/>
      <w:numFmt w:val="bullet"/>
      <w:lvlText w:val=""/>
      <w:lvlJc w:val="left"/>
      <w:pPr>
        <w:tabs>
          <w:tab w:val="num" w:pos="-2092"/>
        </w:tabs>
        <w:ind w:left="-2092" w:hanging="360"/>
      </w:pPr>
      <w:rPr>
        <w:rFonts w:hint="default" w:ascii="Wingdings" w:hAnsi="Wingdings"/>
      </w:rPr>
    </w:lvl>
    <w:lvl w:ilvl="3">
      <w:start w:val="1"/>
      <w:numFmt w:val="bullet"/>
      <w:lvlText w:val=""/>
      <w:lvlJc w:val="left"/>
      <w:pPr>
        <w:tabs>
          <w:tab w:val="num" w:pos="-1372"/>
        </w:tabs>
        <w:ind w:left="-1372" w:hanging="360"/>
      </w:pPr>
      <w:rPr>
        <w:rFonts w:hint="default" w:ascii="Symbol" w:hAnsi="Symbol"/>
      </w:rPr>
    </w:lvl>
    <w:lvl w:ilvl="4">
      <w:start w:val="1"/>
      <w:numFmt w:val="bullet"/>
      <w:lvlText w:val="o"/>
      <w:lvlJc w:val="left"/>
      <w:pPr>
        <w:tabs>
          <w:tab w:val="num" w:pos="-652"/>
        </w:tabs>
        <w:ind w:left="-652" w:hanging="360"/>
      </w:pPr>
      <w:rPr>
        <w:rFonts w:hint="default" w:ascii="Courier New" w:hAnsi="Courier New" w:cs="Courier New"/>
      </w:rPr>
    </w:lvl>
    <w:lvl w:ilvl="5">
      <w:start w:val="1"/>
      <w:numFmt w:val="bullet"/>
      <w:lvlText w:val=""/>
      <w:lvlJc w:val="left"/>
      <w:pPr>
        <w:tabs>
          <w:tab w:val="num" w:pos="68"/>
        </w:tabs>
        <w:ind w:left="68" w:hanging="360"/>
      </w:pPr>
      <w:rPr>
        <w:rFonts w:hint="default" w:ascii="Wingdings" w:hAnsi="Wingdings"/>
      </w:rPr>
    </w:lvl>
    <w:lvl w:ilvl="6">
      <w:start w:val="1"/>
      <w:numFmt w:val="bullet"/>
      <w:lvlText w:val=""/>
      <w:lvlJc w:val="left"/>
      <w:pPr>
        <w:tabs>
          <w:tab w:val="num" w:pos="788"/>
        </w:tabs>
        <w:ind w:left="788" w:hanging="360"/>
      </w:pPr>
      <w:rPr>
        <w:rFonts w:hint="default" w:ascii="Symbol" w:hAnsi="Symbol"/>
      </w:rPr>
    </w:lvl>
    <w:lvl w:ilvl="7">
      <w:start w:val="1"/>
      <w:numFmt w:val="bullet"/>
      <w:lvlText w:val="o"/>
      <w:lvlJc w:val="left"/>
      <w:pPr>
        <w:tabs>
          <w:tab w:val="num" w:pos="1508"/>
        </w:tabs>
        <w:ind w:left="1508" w:hanging="360"/>
      </w:pPr>
      <w:rPr>
        <w:rFonts w:hint="default" w:ascii="Courier New" w:hAnsi="Courier New" w:cs="Courier New"/>
      </w:rPr>
    </w:lvl>
    <w:lvl w:ilvl="8">
      <w:start w:val="1"/>
      <w:numFmt w:val="bullet"/>
      <w:lvlText w:val=""/>
      <w:lvlJc w:val="left"/>
      <w:pPr>
        <w:tabs>
          <w:tab w:val="num" w:pos="2228"/>
        </w:tabs>
        <w:ind w:left="2228" w:hanging="360"/>
      </w:pPr>
      <w:rPr>
        <w:rFonts w:hint="default" w:ascii="Wingdings" w:hAnsi="Wingdings"/>
      </w:rPr>
    </w:lvl>
  </w:abstractNum>
  <w:abstractNum w:abstractNumId="17"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hint="default" w:ascii="Courier New" w:hAnsi="Courier New"/>
        <w:sz w:val="22"/>
      </w:rPr>
    </w:lvl>
    <w:lvl w:ilvl="1">
      <w:start w:val="1"/>
      <w:numFmt w:val="bullet"/>
      <w:lvlText w:val="o"/>
      <w:lvlJc w:val="left"/>
      <w:pPr>
        <w:tabs>
          <w:tab w:val="num" w:pos="-2812"/>
        </w:tabs>
        <w:ind w:left="-2812" w:hanging="360"/>
      </w:pPr>
      <w:rPr>
        <w:rFonts w:hint="default" w:ascii="Courier New" w:hAnsi="Courier New" w:cs="Courier New"/>
        <w:sz w:val="22"/>
        <w:szCs w:val="22"/>
      </w:rPr>
    </w:lvl>
    <w:lvl w:ilvl="2">
      <w:start w:val="1"/>
      <w:numFmt w:val="bullet"/>
      <w:lvlText w:val=""/>
      <w:lvlJc w:val="left"/>
      <w:pPr>
        <w:tabs>
          <w:tab w:val="num" w:pos="-2092"/>
        </w:tabs>
        <w:ind w:left="-2092" w:hanging="360"/>
      </w:pPr>
      <w:rPr>
        <w:rFonts w:hint="default" w:ascii="Wingdings" w:hAnsi="Wingdings"/>
      </w:rPr>
    </w:lvl>
    <w:lvl w:ilvl="3">
      <w:start w:val="1"/>
      <w:numFmt w:val="bullet"/>
      <w:lvlText w:val=""/>
      <w:lvlJc w:val="left"/>
      <w:pPr>
        <w:tabs>
          <w:tab w:val="num" w:pos="-1372"/>
        </w:tabs>
        <w:ind w:left="-1372" w:hanging="360"/>
      </w:pPr>
      <w:rPr>
        <w:rFonts w:hint="default" w:ascii="Symbol" w:hAnsi="Symbol"/>
      </w:rPr>
    </w:lvl>
    <w:lvl w:ilvl="4">
      <w:start w:val="1"/>
      <w:numFmt w:val="bullet"/>
      <w:lvlText w:val="o"/>
      <w:lvlJc w:val="left"/>
      <w:pPr>
        <w:tabs>
          <w:tab w:val="num" w:pos="-652"/>
        </w:tabs>
        <w:ind w:left="-652" w:hanging="360"/>
      </w:pPr>
      <w:rPr>
        <w:rFonts w:hint="default" w:ascii="Courier New" w:hAnsi="Courier New" w:cs="Courier New"/>
      </w:rPr>
    </w:lvl>
    <w:lvl w:ilvl="5">
      <w:start w:val="1"/>
      <w:numFmt w:val="bullet"/>
      <w:lvlText w:val=""/>
      <w:lvlJc w:val="left"/>
      <w:pPr>
        <w:tabs>
          <w:tab w:val="num" w:pos="68"/>
        </w:tabs>
        <w:ind w:left="68" w:hanging="360"/>
      </w:pPr>
      <w:rPr>
        <w:rFonts w:hint="default" w:ascii="Wingdings" w:hAnsi="Wingdings"/>
      </w:rPr>
    </w:lvl>
    <w:lvl w:ilvl="6">
      <w:start w:val="1"/>
      <w:numFmt w:val="bullet"/>
      <w:lvlText w:val=""/>
      <w:lvlJc w:val="left"/>
      <w:pPr>
        <w:tabs>
          <w:tab w:val="num" w:pos="788"/>
        </w:tabs>
        <w:ind w:left="788" w:hanging="360"/>
      </w:pPr>
      <w:rPr>
        <w:rFonts w:hint="default" w:ascii="Symbol" w:hAnsi="Symbol"/>
      </w:rPr>
    </w:lvl>
    <w:lvl w:ilvl="7">
      <w:start w:val="1"/>
      <w:numFmt w:val="bullet"/>
      <w:lvlText w:val="o"/>
      <w:lvlJc w:val="left"/>
      <w:pPr>
        <w:tabs>
          <w:tab w:val="num" w:pos="1508"/>
        </w:tabs>
        <w:ind w:left="1508" w:hanging="360"/>
      </w:pPr>
      <w:rPr>
        <w:rFonts w:hint="default" w:ascii="Courier New" w:hAnsi="Courier New" w:cs="Courier New"/>
      </w:rPr>
    </w:lvl>
    <w:lvl w:ilvl="8">
      <w:start w:val="1"/>
      <w:numFmt w:val="bullet"/>
      <w:lvlText w:val=""/>
      <w:lvlJc w:val="left"/>
      <w:pPr>
        <w:tabs>
          <w:tab w:val="num" w:pos="2228"/>
        </w:tabs>
        <w:ind w:left="2228" w:hanging="360"/>
      </w:pPr>
      <w:rPr>
        <w:rFonts w:hint="default" w:ascii="Wingdings" w:hAnsi="Wingdings"/>
      </w:rPr>
    </w:lvl>
  </w:abstractNum>
  <w:abstractNum w:abstractNumId="18" w15:restartNumberingAfterBreak="0">
    <w:nsid w:val="7CFE749B"/>
    <w:multiLevelType w:val="hybridMultilevel"/>
    <w:tmpl w:val="8BE43D3A"/>
    <w:lvl w:ilvl="0" w:tplc="31026F84">
      <w:start w:val="1"/>
      <w:numFmt w:val="bullet"/>
      <w:pStyle w:val="Bulletindent1las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hint="default" w:ascii="Arial" w:hAnsi="Arial"/>
        <w:sz w:val="32"/>
      </w:rPr>
    </w:lvl>
    <w:lvl w:ilvl="1">
      <w:start w:val="1"/>
      <w:numFmt w:val="decimal"/>
      <w:lvlText w:val="%1.%2"/>
      <w:lvlJc w:val="left"/>
      <w:pPr>
        <w:tabs>
          <w:tab w:val="num" w:pos="851"/>
        </w:tabs>
        <w:ind w:left="851" w:hanging="851"/>
      </w:pPr>
      <w:rPr>
        <w:rFonts w:hint="default" w:ascii="Arial" w:hAnsi="Arial"/>
        <w:b/>
        <w:i/>
        <w:sz w:val="28"/>
        <w:szCs w:val="28"/>
      </w:rPr>
    </w:lvl>
    <w:lvl w:ilvl="2">
      <w:start w:val="1"/>
      <w:numFmt w:val="decimal"/>
      <w:lvlText w:val="%1.%2.%3"/>
      <w:lvlJc w:val="left"/>
      <w:pPr>
        <w:tabs>
          <w:tab w:val="num" w:pos="851"/>
        </w:tabs>
        <w:ind w:left="851" w:hanging="851"/>
      </w:pPr>
      <w:rPr>
        <w:rFonts w:hint="default" w:ascii="Arial" w:hAnsi="Arial"/>
        <w:b/>
        <w:i w:val="0"/>
        <w:sz w:val="24"/>
        <w:szCs w:val="24"/>
      </w:rPr>
    </w:lvl>
    <w:lvl w:ilvl="3">
      <w:start w:val="1"/>
      <w:numFmt w:val="decimal"/>
      <w:pStyle w:val="Numberedheading4"/>
      <w:lvlText w:val="%1.%2.%3.%4"/>
      <w:lvlJc w:val="left"/>
      <w:pPr>
        <w:tabs>
          <w:tab w:val="num" w:pos="1134"/>
        </w:tabs>
        <w:ind w:left="1134" w:hanging="1134"/>
      </w:pPr>
      <w:rPr>
        <w:rFonts w:hint="default" w:ascii="Arial" w:hAnsi="Arial"/>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hint="default" w:ascii="Arial" w:hAnsi="Arial"/>
        <w:b w:val="0"/>
        <w:i w:val="0"/>
        <w:sz w:val="24"/>
        <w:szCs w:val="24"/>
      </w:rPr>
    </w:lvl>
    <w:lvl w:ilvl="5">
      <w:start w:val="1"/>
      <w:numFmt w:val="decimal"/>
      <w:lvlText w:val="%1.%2.%3.%4.%5.%6"/>
      <w:lvlJc w:val="left"/>
      <w:pPr>
        <w:tabs>
          <w:tab w:val="num" w:pos="1134"/>
        </w:tabs>
        <w:ind w:left="1134" w:hanging="1134"/>
      </w:pPr>
      <w:rPr>
        <w:rFonts w:hint="default" w:ascii="Arial" w:hAnsi="Arial"/>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hint="default" w:ascii="Arial" w:hAnsi="Arial"/>
        <w:sz w:val="20"/>
        <w:szCs w:val="20"/>
      </w:rPr>
    </w:lvl>
  </w:abstractNum>
  <w:abstractNum w:abstractNumId="20"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hint="default" w:ascii="Courier New" w:hAnsi="Courier New" w:cs="Courier New"/>
      </w:rPr>
    </w:lvl>
    <w:lvl w:ilvl="2">
      <w:start w:val="1"/>
      <w:numFmt w:val="bullet"/>
      <w:lvlText w:val=""/>
      <w:lvlJc w:val="left"/>
      <w:pPr>
        <w:ind w:left="2520" w:hanging="360"/>
      </w:pPr>
      <w:rPr>
        <w:rFonts w:hint="default" w:ascii="Wingdings" w:hAnsi="Wingdings"/>
      </w:rPr>
    </w:lvl>
    <w:lvl w:ilvl="3">
      <w:start w:val="1"/>
      <w:numFmt w:val="bullet"/>
      <w:lvlText w:val=""/>
      <w:lvlJc w:val="left"/>
      <w:pPr>
        <w:ind w:left="3240" w:hanging="360"/>
      </w:pPr>
      <w:rPr>
        <w:rFonts w:hint="default" w:ascii="Symbol" w:hAnsi="Symbol"/>
      </w:rPr>
    </w:lvl>
    <w:lvl w:ilvl="4">
      <w:start w:val="1"/>
      <w:numFmt w:val="bullet"/>
      <w:lvlText w:val="o"/>
      <w:lvlJc w:val="left"/>
      <w:pPr>
        <w:ind w:left="3960" w:hanging="360"/>
      </w:pPr>
      <w:rPr>
        <w:rFonts w:hint="default" w:ascii="Courier New" w:hAnsi="Courier New" w:cs="Courier New"/>
      </w:rPr>
    </w:lvl>
    <w:lvl w:ilvl="5">
      <w:start w:val="1"/>
      <w:numFmt w:val="bullet"/>
      <w:lvlText w:val=""/>
      <w:lvlJc w:val="left"/>
      <w:pPr>
        <w:ind w:left="4680" w:hanging="360"/>
      </w:pPr>
      <w:rPr>
        <w:rFonts w:hint="default" w:ascii="Wingdings" w:hAnsi="Wingdings"/>
      </w:rPr>
    </w:lvl>
    <w:lvl w:ilvl="6">
      <w:start w:val="1"/>
      <w:numFmt w:val="bullet"/>
      <w:lvlText w:val=""/>
      <w:lvlJc w:val="left"/>
      <w:pPr>
        <w:ind w:left="5400" w:hanging="360"/>
      </w:pPr>
      <w:rPr>
        <w:rFonts w:hint="default" w:ascii="Symbol" w:hAnsi="Symbol"/>
      </w:rPr>
    </w:lvl>
    <w:lvl w:ilvl="7">
      <w:start w:val="1"/>
      <w:numFmt w:val="bullet"/>
      <w:lvlText w:val="o"/>
      <w:lvlJc w:val="left"/>
      <w:pPr>
        <w:ind w:left="6120" w:hanging="360"/>
      </w:pPr>
      <w:rPr>
        <w:rFonts w:hint="default" w:ascii="Courier New" w:hAnsi="Courier New" w:cs="Courier New"/>
      </w:rPr>
    </w:lvl>
    <w:lvl w:ilvl="8">
      <w:start w:val="1"/>
      <w:numFmt w:val="bullet"/>
      <w:lvlText w:val=""/>
      <w:lvlJc w:val="left"/>
      <w:pPr>
        <w:ind w:left="6840" w:hanging="360"/>
      </w:pPr>
      <w:rPr>
        <w:rFonts w:hint="default" w:ascii="Wingdings" w:hAnsi="Wingdings"/>
      </w:rPr>
    </w:lvl>
  </w:abstractNum>
  <w:num w:numId="1" w16cid:durableId="1288662370">
    <w:abstractNumId w:val="13"/>
  </w:num>
  <w:num w:numId="2" w16cid:durableId="460340545">
    <w:abstractNumId w:val="7"/>
  </w:num>
  <w:num w:numId="3" w16cid:durableId="862549155">
    <w:abstractNumId w:val="16"/>
  </w:num>
  <w:num w:numId="4" w16cid:durableId="1902785077">
    <w:abstractNumId w:val="17"/>
  </w:num>
  <w:num w:numId="5" w16cid:durableId="1400252542">
    <w:abstractNumId w:val="10"/>
  </w:num>
  <w:num w:numId="6" w16cid:durableId="585113440">
    <w:abstractNumId w:val="6"/>
  </w:num>
  <w:num w:numId="7" w16cid:durableId="1512915418">
    <w:abstractNumId w:val="15"/>
  </w:num>
  <w:num w:numId="8" w16cid:durableId="759831936">
    <w:abstractNumId w:val="19"/>
  </w:num>
  <w:num w:numId="9" w16cid:durableId="1747412429">
    <w:abstractNumId w:val="2"/>
  </w:num>
  <w:num w:numId="10" w16cid:durableId="1297833641">
    <w:abstractNumId w:val="1"/>
  </w:num>
  <w:num w:numId="11" w16cid:durableId="1684160055">
    <w:abstractNumId w:val="18"/>
  </w:num>
  <w:num w:numId="12" w16cid:durableId="1610894224">
    <w:abstractNumId w:val="20"/>
  </w:num>
  <w:num w:numId="13" w16cid:durableId="1880973297">
    <w:abstractNumId w:val="9"/>
  </w:num>
  <w:num w:numId="14" w16cid:durableId="77676389">
    <w:abstractNumId w:val="3"/>
  </w:num>
  <w:num w:numId="15" w16cid:durableId="1496384920">
    <w:abstractNumId w:val="8"/>
  </w:num>
  <w:num w:numId="16" w16cid:durableId="441388192">
    <w:abstractNumId w:val="14"/>
    <w:lvlOverride w:ilvl="0">
      <w:startOverride w:val="1"/>
    </w:lvlOverride>
  </w:num>
  <w:num w:numId="17" w16cid:durableId="73867840">
    <w:abstractNumId w:val="4"/>
    <w:lvlOverride w:ilvl="0">
      <w:startOverride w:val="1"/>
    </w:lvlOverride>
  </w:num>
  <w:num w:numId="18" w16cid:durableId="605583079">
    <w:abstractNumId w:val="11"/>
  </w:num>
  <w:num w:numId="19" w16cid:durableId="373623662">
    <w:abstractNumId w:val="0"/>
  </w:num>
  <w:numIdMacAtCleanup w:val="1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proofState w:spelling="clean" w:grammar="dirty"/>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2ACC"/>
    <w:rsid w:val="000065D4"/>
    <w:rsid w:val="0001063D"/>
    <w:rsid w:val="00017F41"/>
    <w:rsid w:val="00020F4D"/>
    <w:rsid w:val="00022601"/>
    <w:rsid w:val="0002298F"/>
    <w:rsid w:val="00024FDE"/>
    <w:rsid w:val="00026393"/>
    <w:rsid w:val="00031DE4"/>
    <w:rsid w:val="0003249A"/>
    <w:rsid w:val="00036708"/>
    <w:rsid w:val="000372C8"/>
    <w:rsid w:val="00037F07"/>
    <w:rsid w:val="000411B7"/>
    <w:rsid w:val="0004289C"/>
    <w:rsid w:val="00043006"/>
    <w:rsid w:val="00043DD4"/>
    <w:rsid w:val="00044863"/>
    <w:rsid w:val="000462D9"/>
    <w:rsid w:val="0005035D"/>
    <w:rsid w:val="00050C45"/>
    <w:rsid w:val="00051AAD"/>
    <w:rsid w:val="000524CF"/>
    <w:rsid w:val="000556B2"/>
    <w:rsid w:val="00056CDA"/>
    <w:rsid w:val="00057899"/>
    <w:rsid w:val="000604E0"/>
    <w:rsid w:val="0006306E"/>
    <w:rsid w:val="000661B3"/>
    <w:rsid w:val="0007109F"/>
    <w:rsid w:val="00071312"/>
    <w:rsid w:val="00072490"/>
    <w:rsid w:val="0007357B"/>
    <w:rsid w:val="00073A2D"/>
    <w:rsid w:val="00073B6D"/>
    <w:rsid w:val="0007473C"/>
    <w:rsid w:val="00076494"/>
    <w:rsid w:val="00081B91"/>
    <w:rsid w:val="00082163"/>
    <w:rsid w:val="00084D8E"/>
    <w:rsid w:val="000856ED"/>
    <w:rsid w:val="000912CD"/>
    <w:rsid w:val="00091E6A"/>
    <w:rsid w:val="00094814"/>
    <w:rsid w:val="00094B2C"/>
    <w:rsid w:val="00095CC0"/>
    <w:rsid w:val="00096257"/>
    <w:rsid w:val="00097675"/>
    <w:rsid w:val="00097D7C"/>
    <w:rsid w:val="000A016E"/>
    <w:rsid w:val="000A0B03"/>
    <w:rsid w:val="000A4616"/>
    <w:rsid w:val="000A7224"/>
    <w:rsid w:val="000A7F4E"/>
    <w:rsid w:val="000B11F9"/>
    <w:rsid w:val="000B2929"/>
    <w:rsid w:val="000B2B38"/>
    <w:rsid w:val="000B2D26"/>
    <w:rsid w:val="000B3C9A"/>
    <w:rsid w:val="000B451C"/>
    <w:rsid w:val="000B55E8"/>
    <w:rsid w:val="000B6911"/>
    <w:rsid w:val="000B6CB9"/>
    <w:rsid w:val="000C1FB9"/>
    <w:rsid w:val="000C2D31"/>
    <w:rsid w:val="000D13FD"/>
    <w:rsid w:val="000D7704"/>
    <w:rsid w:val="000E2765"/>
    <w:rsid w:val="000E2E30"/>
    <w:rsid w:val="000E2E96"/>
    <w:rsid w:val="000E466F"/>
    <w:rsid w:val="000E4DDA"/>
    <w:rsid w:val="000E6EC0"/>
    <w:rsid w:val="000E71C7"/>
    <w:rsid w:val="000E7A81"/>
    <w:rsid w:val="000F1CAB"/>
    <w:rsid w:val="000F2350"/>
    <w:rsid w:val="000F2735"/>
    <w:rsid w:val="000F2DC4"/>
    <w:rsid w:val="000F3210"/>
    <w:rsid w:val="000F4B18"/>
    <w:rsid w:val="000F4FC5"/>
    <w:rsid w:val="000F52B4"/>
    <w:rsid w:val="000F6DF5"/>
    <w:rsid w:val="001016BC"/>
    <w:rsid w:val="00110308"/>
    <w:rsid w:val="00110E70"/>
    <w:rsid w:val="00112BE0"/>
    <w:rsid w:val="00114F02"/>
    <w:rsid w:val="0011562D"/>
    <w:rsid w:val="00120033"/>
    <w:rsid w:val="00120C76"/>
    <w:rsid w:val="0012506B"/>
    <w:rsid w:val="001260CA"/>
    <w:rsid w:val="0013012A"/>
    <w:rsid w:val="001309D6"/>
    <w:rsid w:val="00130C0D"/>
    <w:rsid w:val="00135D99"/>
    <w:rsid w:val="00136BE0"/>
    <w:rsid w:val="00137A0B"/>
    <w:rsid w:val="00142D2D"/>
    <w:rsid w:val="00143108"/>
    <w:rsid w:val="00143215"/>
    <w:rsid w:val="001438F2"/>
    <w:rsid w:val="001450CF"/>
    <w:rsid w:val="001452AF"/>
    <w:rsid w:val="001521AF"/>
    <w:rsid w:val="00154679"/>
    <w:rsid w:val="00157C5B"/>
    <w:rsid w:val="00160B58"/>
    <w:rsid w:val="001618F9"/>
    <w:rsid w:val="00161BBD"/>
    <w:rsid w:val="001629CB"/>
    <w:rsid w:val="0016307F"/>
    <w:rsid w:val="00163BBB"/>
    <w:rsid w:val="00163CE8"/>
    <w:rsid w:val="00165DD9"/>
    <w:rsid w:val="00170722"/>
    <w:rsid w:val="00170A19"/>
    <w:rsid w:val="00170A61"/>
    <w:rsid w:val="00171245"/>
    <w:rsid w:val="0017281B"/>
    <w:rsid w:val="00173124"/>
    <w:rsid w:val="0017669F"/>
    <w:rsid w:val="001774D2"/>
    <w:rsid w:val="00184E40"/>
    <w:rsid w:val="0018568F"/>
    <w:rsid w:val="00185D9C"/>
    <w:rsid w:val="00187B60"/>
    <w:rsid w:val="00191DF2"/>
    <w:rsid w:val="00191FDD"/>
    <w:rsid w:val="0019584B"/>
    <w:rsid w:val="00195BE6"/>
    <w:rsid w:val="0019622E"/>
    <w:rsid w:val="001966D1"/>
    <w:rsid w:val="00197EBE"/>
    <w:rsid w:val="001A0A45"/>
    <w:rsid w:val="001A11C9"/>
    <w:rsid w:val="001A20E4"/>
    <w:rsid w:val="001B0585"/>
    <w:rsid w:val="001B1208"/>
    <w:rsid w:val="001B1F2C"/>
    <w:rsid w:val="001B3087"/>
    <w:rsid w:val="001B3D6C"/>
    <w:rsid w:val="001B5C09"/>
    <w:rsid w:val="001B63A5"/>
    <w:rsid w:val="001B7FDB"/>
    <w:rsid w:val="001C02E3"/>
    <w:rsid w:val="001C24ED"/>
    <w:rsid w:val="001D4AB6"/>
    <w:rsid w:val="001D6E37"/>
    <w:rsid w:val="001D7020"/>
    <w:rsid w:val="001D7D3D"/>
    <w:rsid w:val="001E006A"/>
    <w:rsid w:val="001E3238"/>
    <w:rsid w:val="001E42CD"/>
    <w:rsid w:val="001E7E43"/>
    <w:rsid w:val="001F0DB2"/>
    <w:rsid w:val="001F1FD3"/>
    <w:rsid w:val="001F3071"/>
    <w:rsid w:val="001F3214"/>
    <w:rsid w:val="001F32F9"/>
    <w:rsid w:val="001F6143"/>
    <w:rsid w:val="001F6668"/>
    <w:rsid w:val="001F7697"/>
    <w:rsid w:val="0020051D"/>
    <w:rsid w:val="00202047"/>
    <w:rsid w:val="002026AE"/>
    <w:rsid w:val="0022059F"/>
    <w:rsid w:val="002206F3"/>
    <w:rsid w:val="00221439"/>
    <w:rsid w:val="00224BA3"/>
    <w:rsid w:val="00225F9D"/>
    <w:rsid w:val="00226222"/>
    <w:rsid w:val="00235023"/>
    <w:rsid w:val="00237A35"/>
    <w:rsid w:val="002406C4"/>
    <w:rsid w:val="002416AD"/>
    <w:rsid w:val="00242312"/>
    <w:rsid w:val="00243191"/>
    <w:rsid w:val="00244593"/>
    <w:rsid w:val="00244F1F"/>
    <w:rsid w:val="0025085E"/>
    <w:rsid w:val="002529F3"/>
    <w:rsid w:val="00255C17"/>
    <w:rsid w:val="00264DF6"/>
    <w:rsid w:val="002651BA"/>
    <w:rsid w:val="00265C0F"/>
    <w:rsid w:val="0026660B"/>
    <w:rsid w:val="0027153F"/>
    <w:rsid w:val="00272136"/>
    <w:rsid w:val="002740D9"/>
    <w:rsid w:val="00274956"/>
    <w:rsid w:val="002759EC"/>
    <w:rsid w:val="00276789"/>
    <w:rsid w:val="002831D3"/>
    <w:rsid w:val="00285B42"/>
    <w:rsid w:val="00290FAB"/>
    <w:rsid w:val="00293756"/>
    <w:rsid w:val="00294355"/>
    <w:rsid w:val="00295278"/>
    <w:rsid w:val="00296701"/>
    <w:rsid w:val="002A26DA"/>
    <w:rsid w:val="002A278A"/>
    <w:rsid w:val="002A6CB8"/>
    <w:rsid w:val="002A7D61"/>
    <w:rsid w:val="002B1479"/>
    <w:rsid w:val="002B4181"/>
    <w:rsid w:val="002B5BAC"/>
    <w:rsid w:val="002B5E5D"/>
    <w:rsid w:val="002B62CC"/>
    <w:rsid w:val="002B6400"/>
    <w:rsid w:val="002C19DC"/>
    <w:rsid w:val="002C1F27"/>
    <w:rsid w:val="002C24CE"/>
    <w:rsid w:val="002C5736"/>
    <w:rsid w:val="002D4185"/>
    <w:rsid w:val="002E0743"/>
    <w:rsid w:val="002E3EBF"/>
    <w:rsid w:val="002F134E"/>
    <w:rsid w:val="002F4DEC"/>
    <w:rsid w:val="002F5864"/>
    <w:rsid w:val="00301008"/>
    <w:rsid w:val="00302939"/>
    <w:rsid w:val="003072D9"/>
    <w:rsid w:val="003111B2"/>
    <w:rsid w:val="00311DC1"/>
    <w:rsid w:val="003147B9"/>
    <w:rsid w:val="00315465"/>
    <w:rsid w:val="003156DC"/>
    <w:rsid w:val="00317C16"/>
    <w:rsid w:val="003203A2"/>
    <w:rsid w:val="003225C3"/>
    <w:rsid w:val="00323120"/>
    <w:rsid w:val="00323184"/>
    <w:rsid w:val="0032348B"/>
    <w:rsid w:val="0032462A"/>
    <w:rsid w:val="0032598F"/>
    <w:rsid w:val="00330081"/>
    <w:rsid w:val="00332380"/>
    <w:rsid w:val="00334B40"/>
    <w:rsid w:val="00335913"/>
    <w:rsid w:val="00337E0A"/>
    <w:rsid w:val="00341D83"/>
    <w:rsid w:val="00351BBC"/>
    <w:rsid w:val="00355735"/>
    <w:rsid w:val="00361290"/>
    <w:rsid w:val="0036186E"/>
    <w:rsid w:val="00361DAE"/>
    <w:rsid w:val="003620A9"/>
    <w:rsid w:val="00362EFF"/>
    <w:rsid w:val="0036629F"/>
    <w:rsid w:val="003712C2"/>
    <w:rsid w:val="00373442"/>
    <w:rsid w:val="0037637C"/>
    <w:rsid w:val="00381766"/>
    <w:rsid w:val="00381FB5"/>
    <w:rsid w:val="003834E5"/>
    <w:rsid w:val="00384C86"/>
    <w:rsid w:val="00387754"/>
    <w:rsid w:val="00390939"/>
    <w:rsid w:val="003919B5"/>
    <w:rsid w:val="0039272E"/>
    <w:rsid w:val="00393E48"/>
    <w:rsid w:val="00395DA3"/>
    <w:rsid w:val="003969FE"/>
    <w:rsid w:val="003A0E76"/>
    <w:rsid w:val="003A2CBA"/>
    <w:rsid w:val="003A30B2"/>
    <w:rsid w:val="003B167D"/>
    <w:rsid w:val="003B3492"/>
    <w:rsid w:val="003B3958"/>
    <w:rsid w:val="003B4C5E"/>
    <w:rsid w:val="003B5534"/>
    <w:rsid w:val="003B7374"/>
    <w:rsid w:val="003B7DE2"/>
    <w:rsid w:val="003C266B"/>
    <w:rsid w:val="003C2B8D"/>
    <w:rsid w:val="003C3DAC"/>
    <w:rsid w:val="003D0B25"/>
    <w:rsid w:val="003D2411"/>
    <w:rsid w:val="003D3F0C"/>
    <w:rsid w:val="003D483F"/>
    <w:rsid w:val="003D4875"/>
    <w:rsid w:val="003D5921"/>
    <w:rsid w:val="003D59C2"/>
    <w:rsid w:val="003D5C60"/>
    <w:rsid w:val="003D7FEC"/>
    <w:rsid w:val="003E114F"/>
    <w:rsid w:val="003E2F12"/>
    <w:rsid w:val="003E3806"/>
    <w:rsid w:val="003E42E3"/>
    <w:rsid w:val="003E5C83"/>
    <w:rsid w:val="003E69CD"/>
    <w:rsid w:val="003E6FFF"/>
    <w:rsid w:val="003E7E24"/>
    <w:rsid w:val="003F15B0"/>
    <w:rsid w:val="003F2572"/>
    <w:rsid w:val="003F2B2E"/>
    <w:rsid w:val="003F3884"/>
    <w:rsid w:val="003F3DC3"/>
    <w:rsid w:val="003F4BC7"/>
    <w:rsid w:val="003F5626"/>
    <w:rsid w:val="003F5CAB"/>
    <w:rsid w:val="003F6784"/>
    <w:rsid w:val="003F69C5"/>
    <w:rsid w:val="003F7836"/>
    <w:rsid w:val="00400DB0"/>
    <w:rsid w:val="00402028"/>
    <w:rsid w:val="00402800"/>
    <w:rsid w:val="00403105"/>
    <w:rsid w:val="00404955"/>
    <w:rsid w:val="004058C1"/>
    <w:rsid w:val="004075B1"/>
    <w:rsid w:val="00411A8A"/>
    <w:rsid w:val="00417611"/>
    <w:rsid w:val="00421452"/>
    <w:rsid w:val="00421D74"/>
    <w:rsid w:val="00424C2D"/>
    <w:rsid w:val="00426C26"/>
    <w:rsid w:val="00432289"/>
    <w:rsid w:val="00433897"/>
    <w:rsid w:val="004340EF"/>
    <w:rsid w:val="00434610"/>
    <w:rsid w:val="00440E43"/>
    <w:rsid w:val="0044281C"/>
    <w:rsid w:val="004433EC"/>
    <w:rsid w:val="00446FC4"/>
    <w:rsid w:val="00447D9C"/>
    <w:rsid w:val="0045127E"/>
    <w:rsid w:val="00453B8C"/>
    <w:rsid w:val="004554AB"/>
    <w:rsid w:val="004564FB"/>
    <w:rsid w:val="0045723E"/>
    <w:rsid w:val="00463FF5"/>
    <w:rsid w:val="00467940"/>
    <w:rsid w:val="00473E4D"/>
    <w:rsid w:val="00476781"/>
    <w:rsid w:val="00476876"/>
    <w:rsid w:val="0048006E"/>
    <w:rsid w:val="00480581"/>
    <w:rsid w:val="0048223A"/>
    <w:rsid w:val="004826F5"/>
    <w:rsid w:val="00482D75"/>
    <w:rsid w:val="004870F8"/>
    <w:rsid w:val="00490B13"/>
    <w:rsid w:val="00490E24"/>
    <w:rsid w:val="00492064"/>
    <w:rsid w:val="004921B6"/>
    <w:rsid w:val="004A295D"/>
    <w:rsid w:val="004A34E1"/>
    <w:rsid w:val="004A6E53"/>
    <w:rsid w:val="004A7E93"/>
    <w:rsid w:val="004B0F38"/>
    <w:rsid w:val="004B17CE"/>
    <w:rsid w:val="004B1E73"/>
    <w:rsid w:val="004B2C19"/>
    <w:rsid w:val="004B55C6"/>
    <w:rsid w:val="004B5926"/>
    <w:rsid w:val="004B5A62"/>
    <w:rsid w:val="004B610E"/>
    <w:rsid w:val="004C0BD9"/>
    <w:rsid w:val="004C18D1"/>
    <w:rsid w:val="004C1FDF"/>
    <w:rsid w:val="004C243F"/>
    <w:rsid w:val="004C39C3"/>
    <w:rsid w:val="004C51BE"/>
    <w:rsid w:val="004C74E5"/>
    <w:rsid w:val="004C78B4"/>
    <w:rsid w:val="004D11DE"/>
    <w:rsid w:val="004D1C74"/>
    <w:rsid w:val="004D30C0"/>
    <w:rsid w:val="004D3649"/>
    <w:rsid w:val="004D3B9A"/>
    <w:rsid w:val="004D4FB3"/>
    <w:rsid w:val="004D6E41"/>
    <w:rsid w:val="004E03A1"/>
    <w:rsid w:val="004E044C"/>
    <w:rsid w:val="004E48B7"/>
    <w:rsid w:val="004E59D9"/>
    <w:rsid w:val="004F55B1"/>
    <w:rsid w:val="005001FC"/>
    <w:rsid w:val="00501566"/>
    <w:rsid w:val="00501FBD"/>
    <w:rsid w:val="00502626"/>
    <w:rsid w:val="00504FB7"/>
    <w:rsid w:val="00510425"/>
    <w:rsid w:val="00510803"/>
    <w:rsid w:val="00520D02"/>
    <w:rsid w:val="00523DF3"/>
    <w:rsid w:val="0052670D"/>
    <w:rsid w:val="0053278E"/>
    <w:rsid w:val="00533F89"/>
    <w:rsid w:val="005347B6"/>
    <w:rsid w:val="00537D8A"/>
    <w:rsid w:val="00537E57"/>
    <w:rsid w:val="0054059C"/>
    <w:rsid w:val="005446AE"/>
    <w:rsid w:val="00544E14"/>
    <w:rsid w:val="00547D7B"/>
    <w:rsid w:val="00552DBA"/>
    <w:rsid w:val="00557D6E"/>
    <w:rsid w:val="00557DB1"/>
    <w:rsid w:val="00561CE9"/>
    <w:rsid w:val="0056237E"/>
    <w:rsid w:val="005662A5"/>
    <w:rsid w:val="0056643E"/>
    <w:rsid w:val="005666A9"/>
    <w:rsid w:val="00567220"/>
    <w:rsid w:val="00567847"/>
    <w:rsid w:val="00570E3D"/>
    <w:rsid w:val="00572A06"/>
    <w:rsid w:val="00576318"/>
    <w:rsid w:val="005802B2"/>
    <w:rsid w:val="005806DB"/>
    <w:rsid w:val="00580EBB"/>
    <w:rsid w:val="00583011"/>
    <w:rsid w:val="005903AC"/>
    <w:rsid w:val="00590856"/>
    <w:rsid w:val="00592D87"/>
    <w:rsid w:val="00593089"/>
    <w:rsid w:val="005949EA"/>
    <w:rsid w:val="0059738E"/>
    <w:rsid w:val="005A0BCC"/>
    <w:rsid w:val="005A11C4"/>
    <w:rsid w:val="005A16B8"/>
    <w:rsid w:val="005A2C55"/>
    <w:rsid w:val="005A3C13"/>
    <w:rsid w:val="005A5897"/>
    <w:rsid w:val="005A6168"/>
    <w:rsid w:val="005A6885"/>
    <w:rsid w:val="005A7D8A"/>
    <w:rsid w:val="005B5BD8"/>
    <w:rsid w:val="005B768E"/>
    <w:rsid w:val="005C020A"/>
    <w:rsid w:val="005C0AD0"/>
    <w:rsid w:val="005C2326"/>
    <w:rsid w:val="005C62A1"/>
    <w:rsid w:val="005C6771"/>
    <w:rsid w:val="005C68D1"/>
    <w:rsid w:val="005D199C"/>
    <w:rsid w:val="005D205A"/>
    <w:rsid w:val="005D28FA"/>
    <w:rsid w:val="005D3148"/>
    <w:rsid w:val="005D4154"/>
    <w:rsid w:val="005D5304"/>
    <w:rsid w:val="005D65E1"/>
    <w:rsid w:val="005D7A63"/>
    <w:rsid w:val="005E1E92"/>
    <w:rsid w:val="005E6491"/>
    <w:rsid w:val="005E6963"/>
    <w:rsid w:val="005E6E51"/>
    <w:rsid w:val="005F1323"/>
    <w:rsid w:val="005F1603"/>
    <w:rsid w:val="005F17C5"/>
    <w:rsid w:val="005F3623"/>
    <w:rsid w:val="005F4864"/>
    <w:rsid w:val="005F4940"/>
    <w:rsid w:val="00600F2A"/>
    <w:rsid w:val="00602CB0"/>
    <w:rsid w:val="0060527A"/>
    <w:rsid w:val="00607C5D"/>
    <w:rsid w:val="00611DA8"/>
    <w:rsid w:val="006125EC"/>
    <w:rsid w:val="006154DD"/>
    <w:rsid w:val="006165DF"/>
    <w:rsid w:val="00617AA0"/>
    <w:rsid w:val="006208D3"/>
    <w:rsid w:val="0062242D"/>
    <w:rsid w:val="00623945"/>
    <w:rsid w:val="006245F7"/>
    <w:rsid w:val="00624F56"/>
    <w:rsid w:val="00625E4A"/>
    <w:rsid w:val="0062633A"/>
    <w:rsid w:val="00630168"/>
    <w:rsid w:val="00630ACE"/>
    <w:rsid w:val="00630E5F"/>
    <w:rsid w:val="006315FC"/>
    <w:rsid w:val="00631BE9"/>
    <w:rsid w:val="00633A98"/>
    <w:rsid w:val="006417CE"/>
    <w:rsid w:val="006419B7"/>
    <w:rsid w:val="0065050E"/>
    <w:rsid w:val="0065215A"/>
    <w:rsid w:val="006529F3"/>
    <w:rsid w:val="00654491"/>
    <w:rsid w:val="00655155"/>
    <w:rsid w:val="006565AD"/>
    <w:rsid w:val="00660106"/>
    <w:rsid w:val="006604BA"/>
    <w:rsid w:val="006610ED"/>
    <w:rsid w:val="00665687"/>
    <w:rsid w:val="0067000A"/>
    <w:rsid w:val="00671697"/>
    <w:rsid w:val="00677DD2"/>
    <w:rsid w:val="00677FE6"/>
    <w:rsid w:val="0068233F"/>
    <w:rsid w:val="006829D5"/>
    <w:rsid w:val="006833EE"/>
    <w:rsid w:val="006843FA"/>
    <w:rsid w:val="00685DE2"/>
    <w:rsid w:val="006911EE"/>
    <w:rsid w:val="006A1225"/>
    <w:rsid w:val="006A4706"/>
    <w:rsid w:val="006A7AF1"/>
    <w:rsid w:val="006B2D85"/>
    <w:rsid w:val="006B39B2"/>
    <w:rsid w:val="006B5AF7"/>
    <w:rsid w:val="006C005F"/>
    <w:rsid w:val="006C0B7C"/>
    <w:rsid w:val="006C196B"/>
    <w:rsid w:val="006C22A9"/>
    <w:rsid w:val="006C2CDE"/>
    <w:rsid w:val="006C40A5"/>
    <w:rsid w:val="006C46CF"/>
    <w:rsid w:val="006C47DD"/>
    <w:rsid w:val="006C78C7"/>
    <w:rsid w:val="006D08CE"/>
    <w:rsid w:val="006D203F"/>
    <w:rsid w:val="006D3EFE"/>
    <w:rsid w:val="006D4858"/>
    <w:rsid w:val="006D6885"/>
    <w:rsid w:val="006D6AB1"/>
    <w:rsid w:val="006D73BC"/>
    <w:rsid w:val="006D7677"/>
    <w:rsid w:val="006E1A15"/>
    <w:rsid w:val="006E27B7"/>
    <w:rsid w:val="006E3923"/>
    <w:rsid w:val="006E4061"/>
    <w:rsid w:val="006E5F94"/>
    <w:rsid w:val="006E6DBD"/>
    <w:rsid w:val="006F08DD"/>
    <w:rsid w:val="006F0F64"/>
    <w:rsid w:val="006F1449"/>
    <w:rsid w:val="006F1BA4"/>
    <w:rsid w:val="006F45CB"/>
    <w:rsid w:val="006F555A"/>
    <w:rsid w:val="006F6E18"/>
    <w:rsid w:val="00700627"/>
    <w:rsid w:val="00700A9C"/>
    <w:rsid w:val="0070211B"/>
    <w:rsid w:val="007043FB"/>
    <w:rsid w:val="00711452"/>
    <w:rsid w:val="00713AB2"/>
    <w:rsid w:val="0071562D"/>
    <w:rsid w:val="00716DE0"/>
    <w:rsid w:val="00724859"/>
    <w:rsid w:val="00725927"/>
    <w:rsid w:val="007335A9"/>
    <w:rsid w:val="007338E6"/>
    <w:rsid w:val="00735292"/>
    <w:rsid w:val="00737FD6"/>
    <w:rsid w:val="00740F19"/>
    <w:rsid w:val="00742444"/>
    <w:rsid w:val="00743222"/>
    <w:rsid w:val="0074695F"/>
    <w:rsid w:val="00754053"/>
    <w:rsid w:val="0075421A"/>
    <w:rsid w:val="0075472D"/>
    <w:rsid w:val="00757946"/>
    <w:rsid w:val="00762BFE"/>
    <w:rsid w:val="007635D1"/>
    <w:rsid w:val="00763BD7"/>
    <w:rsid w:val="00763E7A"/>
    <w:rsid w:val="007644BC"/>
    <w:rsid w:val="00764857"/>
    <w:rsid w:val="00770955"/>
    <w:rsid w:val="00771143"/>
    <w:rsid w:val="0077187C"/>
    <w:rsid w:val="00773971"/>
    <w:rsid w:val="0078141A"/>
    <w:rsid w:val="0078597F"/>
    <w:rsid w:val="00787175"/>
    <w:rsid w:val="00792BF7"/>
    <w:rsid w:val="00792F90"/>
    <w:rsid w:val="00794857"/>
    <w:rsid w:val="00797CA6"/>
    <w:rsid w:val="007A04E2"/>
    <w:rsid w:val="007A06E9"/>
    <w:rsid w:val="007A1448"/>
    <w:rsid w:val="007A1BBB"/>
    <w:rsid w:val="007A276C"/>
    <w:rsid w:val="007B4395"/>
    <w:rsid w:val="007C1FDB"/>
    <w:rsid w:val="007C287F"/>
    <w:rsid w:val="007C2DC5"/>
    <w:rsid w:val="007D0D15"/>
    <w:rsid w:val="007D3AE2"/>
    <w:rsid w:val="007D47D1"/>
    <w:rsid w:val="007D4C53"/>
    <w:rsid w:val="007D6643"/>
    <w:rsid w:val="007D6C6B"/>
    <w:rsid w:val="007E1262"/>
    <w:rsid w:val="007E38E9"/>
    <w:rsid w:val="007E6E41"/>
    <w:rsid w:val="007E763A"/>
    <w:rsid w:val="007E7CC9"/>
    <w:rsid w:val="007F0048"/>
    <w:rsid w:val="007F3C0C"/>
    <w:rsid w:val="007F4C22"/>
    <w:rsid w:val="007F687D"/>
    <w:rsid w:val="007F6A64"/>
    <w:rsid w:val="00800595"/>
    <w:rsid w:val="00802041"/>
    <w:rsid w:val="0080206D"/>
    <w:rsid w:val="008039DB"/>
    <w:rsid w:val="00804CA2"/>
    <w:rsid w:val="00804FEC"/>
    <w:rsid w:val="008052B6"/>
    <w:rsid w:val="00805F95"/>
    <w:rsid w:val="00810480"/>
    <w:rsid w:val="008115AE"/>
    <w:rsid w:val="00811BDE"/>
    <w:rsid w:val="00813399"/>
    <w:rsid w:val="00816E42"/>
    <w:rsid w:val="00817FED"/>
    <w:rsid w:val="00821380"/>
    <w:rsid w:val="00822687"/>
    <w:rsid w:val="00825B58"/>
    <w:rsid w:val="00826120"/>
    <w:rsid w:val="0083012C"/>
    <w:rsid w:val="0083041B"/>
    <w:rsid w:val="008305D7"/>
    <w:rsid w:val="008313BF"/>
    <w:rsid w:val="008333BF"/>
    <w:rsid w:val="0083364B"/>
    <w:rsid w:val="008339A7"/>
    <w:rsid w:val="00834168"/>
    <w:rsid w:val="00834F0F"/>
    <w:rsid w:val="00837B25"/>
    <w:rsid w:val="0084110B"/>
    <w:rsid w:val="00846603"/>
    <w:rsid w:val="008479C0"/>
    <w:rsid w:val="00851718"/>
    <w:rsid w:val="008543A8"/>
    <w:rsid w:val="008548CB"/>
    <w:rsid w:val="00854BAD"/>
    <w:rsid w:val="00856887"/>
    <w:rsid w:val="0085752D"/>
    <w:rsid w:val="008676A6"/>
    <w:rsid w:val="00872410"/>
    <w:rsid w:val="008748F2"/>
    <w:rsid w:val="00876232"/>
    <w:rsid w:val="008762B8"/>
    <w:rsid w:val="00876FE2"/>
    <w:rsid w:val="00877396"/>
    <w:rsid w:val="008775C0"/>
    <w:rsid w:val="008814C2"/>
    <w:rsid w:val="00883AD3"/>
    <w:rsid w:val="00883EDC"/>
    <w:rsid w:val="0088563D"/>
    <w:rsid w:val="00886211"/>
    <w:rsid w:val="00886FD6"/>
    <w:rsid w:val="00893613"/>
    <w:rsid w:val="008956F5"/>
    <w:rsid w:val="00895776"/>
    <w:rsid w:val="00895961"/>
    <w:rsid w:val="0089661B"/>
    <w:rsid w:val="008A24EB"/>
    <w:rsid w:val="008A4D2A"/>
    <w:rsid w:val="008A5671"/>
    <w:rsid w:val="008A6198"/>
    <w:rsid w:val="008A78EE"/>
    <w:rsid w:val="008B0235"/>
    <w:rsid w:val="008B1B9D"/>
    <w:rsid w:val="008B2A57"/>
    <w:rsid w:val="008B30AB"/>
    <w:rsid w:val="008B3958"/>
    <w:rsid w:val="008B4145"/>
    <w:rsid w:val="008B54A7"/>
    <w:rsid w:val="008C121C"/>
    <w:rsid w:val="008C2F75"/>
    <w:rsid w:val="008C3BDB"/>
    <w:rsid w:val="008C3DAE"/>
    <w:rsid w:val="008C4917"/>
    <w:rsid w:val="008C6AC3"/>
    <w:rsid w:val="008D186B"/>
    <w:rsid w:val="008D2F8B"/>
    <w:rsid w:val="008D3327"/>
    <w:rsid w:val="008D4441"/>
    <w:rsid w:val="008D4727"/>
    <w:rsid w:val="008D5E28"/>
    <w:rsid w:val="008D6D14"/>
    <w:rsid w:val="008D75CF"/>
    <w:rsid w:val="008D7606"/>
    <w:rsid w:val="008E42BC"/>
    <w:rsid w:val="008E511A"/>
    <w:rsid w:val="008E64FB"/>
    <w:rsid w:val="008F09E1"/>
    <w:rsid w:val="008F21CF"/>
    <w:rsid w:val="008F2B54"/>
    <w:rsid w:val="008F30A1"/>
    <w:rsid w:val="008F6FF7"/>
    <w:rsid w:val="0090103B"/>
    <w:rsid w:val="00903548"/>
    <w:rsid w:val="00904151"/>
    <w:rsid w:val="009078A7"/>
    <w:rsid w:val="00907A4B"/>
    <w:rsid w:val="00910DB7"/>
    <w:rsid w:val="00911B80"/>
    <w:rsid w:val="00913748"/>
    <w:rsid w:val="009153B6"/>
    <w:rsid w:val="0091559C"/>
    <w:rsid w:val="00915F6F"/>
    <w:rsid w:val="009160F7"/>
    <w:rsid w:val="00920A74"/>
    <w:rsid w:val="00921A89"/>
    <w:rsid w:val="00922908"/>
    <w:rsid w:val="00922BBB"/>
    <w:rsid w:val="00924138"/>
    <w:rsid w:val="00924597"/>
    <w:rsid w:val="009262D1"/>
    <w:rsid w:val="00926ACB"/>
    <w:rsid w:val="00931518"/>
    <w:rsid w:val="00937616"/>
    <w:rsid w:val="00940F9B"/>
    <w:rsid w:val="00941978"/>
    <w:rsid w:val="0094341B"/>
    <w:rsid w:val="0094393D"/>
    <w:rsid w:val="0094394E"/>
    <w:rsid w:val="00945C75"/>
    <w:rsid w:val="009504E0"/>
    <w:rsid w:val="00951B97"/>
    <w:rsid w:val="0095271C"/>
    <w:rsid w:val="00952F5D"/>
    <w:rsid w:val="009531BB"/>
    <w:rsid w:val="00953D3A"/>
    <w:rsid w:val="00955B40"/>
    <w:rsid w:val="009604EE"/>
    <w:rsid w:val="009607E2"/>
    <w:rsid w:val="009652F3"/>
    <w:rsid w:val="00966D2D"/>
    <w:rsid w:val="00970400"/>
    <w:rsid w:val="00970EA1"/>
    <w:rsid w:val="00973131"/>
    <w:rsid w:val="0097352C"/>
    <w:rsid w:val="00973CBB"/>
    <w:rsid w:val="00974477"/>
    <w:rsid w:val="0097481D"/>
    <w:rsid w:val="00976054"/>
    <w:rsid w:val="00980479"/>
    <w:rsid w:val="00980A18"/>
    <w:rsid w:val="00980CE6"/>
    <w:rsid w:val="009811EA"/>
    <w:rsid w:val="009826DD"/>
    <w:rsid w:val="00984482"/>
    <w:rsid w:val="009849A3"/>
    <w:rsid w:val="00984BE8"/>
    <w:rsid w:val="00985C7C"/>
    <w:rsid w:val="009876F3"/>
    <w:rsid w:val="0099097B"/>
    <w:rsid w:val="00991A23"/>
    <w:rsid w:val="00993F59"/>
    <w:rsid w:val="00996AFB"/>
    <w:rsid w:val="009A2D6C"/>
    <w:rsid w:val="009A37B8"/>
    <w:rsid w:val="009A3A3E"/>
    <w:rsid w:val="009A7439"/>
    <w:rsid w:val="009B0179"/>
    <w:rsid w:val="009B05E9"/>
    <w:rsid w:val="009B195D"/>
    <w:rsid w:val="009B444E"/>
    <w:rsid w:val="009B4905"/>
    <w:rsid w:val="009B4E98"/>
    <w:rsid w:val="009B6239"/>
    <w:rsid w:val="009B62D2"/>
    <w:rsid w:val="009B6FA5"/>
    <w:rsid w:val="009B7A66"/>
    <w:rsid w:val="009C1C62"/>
    <w:rsid w:val="009C2699"/>
    <w:rsid w:val="009C2AEE"/>
    <w:rsid w:val="009C3393"/>
    <w:rsid w:val="009D0ECD"/>
    <w:rsid w:val="009D4A9A"/>
    <w:rsid w:val="009D4C31"/>
    <w:rsid w:val="009D4F23"/>
    <w:rsid w:val="009E1EEC"/>
    <w:rsid w:val="009E32F3"/>
    <w:rsid w:val="009E38CA"/>
    <w:rsid w:val="009E3B2B"/>
    <w:rsid w:val="009E3F3B"/>
    <w:rsid w:val="009E4A1E"/>
    <w:rsid w:val="009F0A26"/>
    <w:rsid w:val="009F1A8D"/>
    <w:rsid w:val="00A02C46"/>
    <w:rsid w:val="00A03244"/>
    <w:rsid w:val="00A03890"/>
    <w:rsid w:val="00A05022"/>
    <w:rsid w:val="00A05CFA"/>
    <w:rsid w:val="00A05E6F"/>
    <w:rsid w:val="00A125D4"/>
    <w:rsid w:val="00A1309B"/>
    <w:rsid w:val="00A1358E"/>
    <w:rsid w:val="00A1461E"/>
    <w:rsid w:val="00A14981"/>
    <w:rsid w:val="00A154A4"/>
    <w:rsid w:val="00A2089E"/>
    <w:rsid w:val="00A20DDD"/>
    <w:rsid w:val="00A20FBD"/>
    <w:rsid w:val="00A2119C"/>
    <w:rsid w:val="00A213AA"/>
    <w:rsid w:val="00A22B18"/>
    <w:rsid w:val="00A2599A"/>
    <w:rsid w:val="00A2692D"/>
    <w:rsid w:val="00A30EAB"/>
    <w:rsid w:val="00A31113"/>
    <w:rsid w:val="00A32FA7"/>
    <w:rsid w:val="00A33B77"/>
    <w:rsid w:val="00A35C5A"/>
    <w:rsid w:val="00A420AE"/>
    <w:rsid w:val="00A430E9"/>
    <w:rsid w:val="00A4438D"/>
    <w:rsid w:val="00A4517D"/>
    <w:rsid w:val="00A45230"/>
    <w:rsid w:val="00A45923"/>
    <w:rsid w:val="00A45A11"/>
    <w:rsid w:val="00A45CE9"/>
    <w:rsid w:val="00A5060A"/>
    <w:rsid w:val="00A50DD9"/>
    <w:rsid w:val="00A51727"/>
    <w:rsid w:val="00A548D5"/>
    <w:rsid w:val="00A6013E"/>
    <w:rsid w:val="00A61B14"/>
    <w:rsid w:val="00A61BF4"/>
    <w:rsid w:val="00A64257"/>
    <w:rsid w:val="00A64DF1"/>
    <w:rsid w:val="00A651C2"/>
    <w:rsid w:val="00A659A5"/>
    <w:rsid w:val="00A749D3"/>
    <w:rsid w:val="00A752FD"/>
    <w:rsid w:val="00A77574"/>
    <w:rsid w:val="00A80532"/>
    <w:rsid w:val="00A813B9"/>
    <w:rsid w:val="00A9433C"/>
    <w:rsid w:val="00AA0666"/>
    <w:rsid w:val="00AA150C"/>
    <w:rsid w:val="00AA16A5"/>
    <w:rsid w:val="00AA18EC"/>
    <w:rsid w:val="00AA200A"/>
    <w:rsid w:val="00AA2DC6"/>
    <w:rsid w:val="00AA4332"/>
    <w:rsid w:val="00AA5A30"/>
    <w:rsid w:val="00AB0146"/>
    <w:rsid w:val="00AB1EA8"/>
    <w:rsid w:val="00AB2F4B"/>
    <w:rsid w:val="00AB40E4"/>
    <w:rsid w:val="00AB5250"/>
    <w:rsid w:val="00AB5D04"/>
    <w:rsid w:val="00AC0BE9"/>
    <w:rsid w:val="00AC54FE"/>
    <w:rsid w:val="00AC58F7"/>
    <w:rsid w:val="00AD27B9"/>
    <w:rsid w:val="00AD3FE4"/>
    <w:rsid w:val="00AD4BEE"/>
    <w:rsid w:val="00AD65E6"/>
    <w:rsid w:val="00AD66DD"/>
    <w:rsid w:val="00AD67D4"/>
    <w:rsid w:val="00AD71B3"/>
    <w:rsid w:val="00AD71F7"/>
    <w:rsid w:val="00AD79E7"/>
    <w:rsid w:val="00AD7BED"/>
    <w:rsid w:val="00AE2A4E"/>
    <w:rsid w:val="00AE42D7"/>
    <w:rsid w:val="00AE4F4B"/>
    <w:rsid w:val="00AE59D8"/>
    <w:rsid w:val="00AE5EB2"/>
    <w:rsid w:val="00AE6867"/>
    <w:rsid w:val="00AE7448"/>
    <w:rsid w:val="00AF5DF1"/>
    <w:rsid w:val="00AF5E60"/>
    <w:rsid w:val="00B00474"/>
    <w:rsid w:val="00B01C91"/>
    <w:rsid w:val="00B0215A"/>
    <w:rsid w:val="00B02922"/>
    <w:rsid w:val="00B0295D"/>
    <w:rsid w:val="00B03215"/>
    <w:rsid w:val="00B04310"/>
    <w:rsid w:val="00B11B08"/>
    <w:rsid w:val="00B12430"/>
    <w:rsid w:val="00B12E04"/>
    <w:rsid w:val="00B13B67"/>
    <w:rsid w:val="00B154E7"/>
    <w:rsid w:val="00B1612C"/>
    <w:rsid w:val="00B1633A"/>
    <w:rsid w:val="00B203D2"/>
    <w:rsid w:val="00B21912"/>
    <w:rsid w:val="00B27283"/>
    <w:rsid w:val="00B279AE"/>
    <w:rsid w:val="00B32B90"/>
    <w:rsid w:val="00B3302D"/>
    <w:rsid w:val="00B348EF"/>
    <w:rsid w:val="00B36F46"/>
    <w:rsid w:val="00B410F0"/>
    <w:rsid w:val="00B43C31"/>
    <w:rsid w:val="00B44178"/>
    <w:rsid w:val="00B52679"/>
    <w:rsid w:val="00B538F2"/>
    <w:rsid w:val="00B552E6"/>
    <w:rsid w:val="00B553BE"/>
    <w:rsid w:val="00B65003"/>
    <w:rsid w:val="00B65EE5"/>
    <w:rsid w:val="00B6670A"/>
    <w:rsid w:val="00B71542"/>
    <w:rsid w:val="00B73659"/>
    <w:rsid w:val="00B74946"/>
    <w:rsid w:val="00B75FB4"/>
    <w:rsid w:val="00B76F86"/>
    <w:rsid w:val="00B77C15"/>
    <w:rsid w:val="00B80DF7"/>
    <w:rsid w:val="00B810C3"/>
    <w:rsid w:val="00B81529"/>
    <w:rsid w:val="00B87905"/>
    <w:rsid w:val="00B912CD"/>
    <w:rsid w:val="00B922C4"/>
    <w:rsid w:val="00B92435"/>
    <w:rsid w:val="00B93155"/>
    <w:rsid w:val="00BA19CD"/>
    <w:rsid w:val="00BA4095"/>
    <w:rsid w:val="00BA57B1"/>
    <w:rsid w:val="00BA6AF1"/>
    <w:rsid w:val="00BB2599"/>
    <w:rsid w:val="00BB2C75"/>
    <w:rsid w:val="00BB3155"/>
    <w:rsid w:val="00BC2FFD"/>
    <w:rsid w:val="00BC445E"/>
    <w:rsid w:val="00BD2863"/>
    <w:rsid w:val="00BD3929"/>
    <w:rsid w:val="00BE0E22"/>
    <w:rsid w:val="00BE21EF"/>
    <w:rsid w:val="00BE6C68"/>
    <w:rsid w:val="00BE7661"/>
    <w:rsid w:val="00BE7810"/>
    <w:rsid w:val="00BF0569"/>
    <w:rsid w:val="00BF09D0"/>
    <w:rsid w:val="00BF1BB5"/>
    <w:rsid w:val="00BF467C"/>
    <w:rsid w:val="00BF711A"/>
    <w:rsid w:val="00C005D8"/>
    <w:rsid w:val="00C02400"/>
    <w:rsid w:val="00C06E05"/>
    <w:rsid w:val="00C10DAE"/>
    <w:rsid w:val="00C11BBB"/>
    <w:rsid w:val="00C16536"/>
    <w:rsid w:val="00C17411"/>
    <w:rsid w:val="00C22683"/>
    <w:rsid w:val="00C22834"/>
    <w:rsid w:val="00C25DE0"/>
    <w:rsid w:val="00C25F31"/>
    <w:rsid w:val="00C2654A"/>
    <w:rsid w:val="00C34902"/>
    <w:rsid w:val="00C373F2"/>
    <w:rsid w:val="00C37CA7"/>
    <w:rsid w:val="00C37FC1"/>
    <w:rsid w:val="00C403CE"/>
    <w:rsid w:val="00C434B8"/>
    <w:rsid w:val="00C44CE3"/>
    <w:rsid w:val="00C46A10"/>
    <w:rsid w:val="00C5216A"/>
    <w:rsid w:val="00C52205"/>
    <w:rsid w:val="00C640C0"/>
    <w:rsid w:val="00C64E9F"/>
    <w:rsid w:val="00C65187"/>
    <w:rsid w:val="00C6768D"/>
    <w:rsid w:val="00C70B21"/>
    <w:rsid w:val="00C73DAF"/>
    <w:rsid w:val="00C76555"/>
    <w:rsid w:val="00C76F57"/>
    <w:rsid w:val="00C82252"/>
    <w:rsid w:val="00C84817"/>
    <w:rsid w:val="00C860E9"/>
    <w:rsid w:val="00C87548"/>
    <w:rsid w:val="00C91BD8"/>
    <w:rsid w:val="00C91C8B"/>
    <w:rsid w:val="00C9295A"/>
    <w:rsid w:val="00C93428"/>
    <w:rsid w:val="00C93CEB"/>
    <w:rsid w:val="00C94C8A"/>
    <w:rsid w:val="00C95736"/>
    <w:rsid w:val="00C95CF9"/>
    <w:rsid w:val="00C95EE9"/>
    <w:rsid w:val="00CA2E81"/>
    <w:rsid w:val="00CA3998"/>
    <w:rsid w:val="00CA5EA5"/>
    <w:rsid w:val="00CA77CF"/>
    <w:rsid w:val="00CA7C4E"/>
    <w:rsid w:val="00CB13D1"/>
    <w:rsid w:val="00CB3552"/>
    <w:rsid w:val="00CB35EC"/>
    <w:rsid w:val="00CB44C0"/>
    <w:rsid w:val="00CB4A2B"/>
    <w:rsid w:val="00CB4D8A"/>
    <w:rsid w:val="00CC4D66"/>
    <w:rsid w:val="00CC4F69"/>
    <w:rsid w:val="00CC5763"/>
    <w:rsid w:val="00CC6054"/>
    <w:rsid w:val="00CC658D"/>
    <w:rsid w:val="00CC6F35"/>
    <w:rsid w:val="00CD1FE9"/>
    <w:rsid w:val="00CD207C"/>
    <w:rsid w:val="00CD7B61"/>
    <w:rsid w:val="00CE176B"/>
    <w:rsid w:val="00CE50C2"/>
    <w:rsid w:val="00CE527F"/>
    <w:rsid w:val="00CE7FFC"/>
    <w:rsid w:val="00CF283C"/>
    <w:rsid w:val="00CF4FD7"/>
    <w:rsid w:val="00D0044C"/>
    <w:rsid w:val="00D01CA9"/>
    <w:rsid w:val="00D0576F"/>
    <w:rsid w:val="00D16067"/>
    <w:rsid w:val="00D16880"/>
    <w:rsid w:val="00D17FB1"/>
    <w:rsid w:val="00D2077D"/>
    <w:rsid w:val="00D207D0"/>
    <w:rsid w:val="00D22B42"/>
    <w:rsid w:val="00D23423"/>
    <w:rsid w:val="00D23499"/>
    <w:rsid w:val="00D263F9"/>
    <w:rsid w:val="00D2643E"/>
    <w:rsid w:val="00D27B90"/>
    <w:rsid w:val="00D31FDB"/>
    <w:rsid w:val="00D32463"/>
    <w:rsid w:val="00D32482"/>
    <w:rsid w:val="00D3599F"/>
    <w:rsid w:val="00D36D23"/>
    <w:rsid w:val="00D508F4"/>
    <w:rsid w:val="00D50D79"/>
    <w:rsid w:val="00D51690"/>
    <w:rsid w:val="00D54A56"/>
    <w:rsid w:val="00D54EC6"/>
    <w:rsid w:val="00D57D1C"/>
    <w:rsid w:val="00D62CAD"/>
    <w:rsid w:val="00D726AB"/>
    <w:rsid w:val="00D7409D"/>
    <w:rsid w:val="00D745FE"/>
    <w:rsid w:val="00D76682"/>
    <w:rsid w:val="00D77616"/>
    <w:rsid w:val="00D82F2A"/>
    <w:rsid w:val="00D843E4"/>
    <w:rsid w:val="00D87AC1"/>
    <w:rsid w:val="00D975BB"/>
    <w:rsid w:val="00DA12F7"/>
    <w:rsid w:val="00DA2E53"/>
    <w:rsid w:val="00DA38F2"/>
    <w:rsid w:val="00DA746D"/>
    <w:rsid w:val="00DB1926"/>
    <w:rsid w:val="00DB1CD1"/>
    <w:rsid w:val="00DB294F"/>
    <w:rsid w:val="00DB3A43"/>
    <w:rsid w:val="00DB3F21"/>
    <w:rsid w:val="00DB4005"/>
    <w:rsid w:val="00DB4B21"/>
    <w:rsid w:val="00DC31D6"/>
    <w:rsid w:val="00DC70A9"/>
    <w:rsid w:val="00DC71C0"/>
    <w:rsid w:val="00DC7588"/>
    <w:rsid w:val="00DC785A"/>
    <w:rsid w:val="00DD046E"/>
    <w:rsid w:val="00DD1D18"/>
    <w:rsid w:val="00DD6E31"/>
    <w:rsid w:val="00DD72E4"/>
    <w:rsid w:val="00DD7514"/>
    <w:rsid w:val="00DD79B5"/>
    <w:rsid w:val="00DE01E7"/>
    <w:rsid w:val="00DE2E06"/>
    <w:rsid w:val="00DE4D52"/>
    <w:rsid w:val="00DE4DF2"/>
    <w:rsid w:val="00DE51A7"/>
    <w:rsid w:val="00DE5424"/>
    <w:rsid w:val="00DE6107"/>
    <w:rsid w:val="00DF1EE1"/>
    <w:rsid w:val="00DF1F20"/>
    <w:rsid w:val="00DF4003"/>
    <w:rsid w:val="00DF416E"/>
    <w:rsid w:val="00DF59C5"/>
    <w:rsid w:val="00DF77C7"/>
    <w:rsid w:val="00E0109F"/>
    <w:rsid w:val="00E04B4E"/>
    <w:rsid w:val="00E1069A"/>
    <w:rsid w:val="00E11FE0"/>
    <w:rsid w:val="00E155DA"/>
    <w:rsid w:val="00E15FB4"/>
    <w:rsid w:val="00E16CB2"/>
    <w:rsid w:val="00E24D2F"/>
    <w:rsid w:val="00E27083"/>
    <w:rsid w:val="00E27D26"/>
    <w:rsid w:val="00E30A2D"/>
    <w:rsid w:val="00E334E6"/>
    <w:rsid w:val="00E437E5"/>
    <w:rsid w:val="00E43BDB"/>
    <w:rsid w:val="00E4552C"/>
    <w:rsid w:val="00E45889"/>
    <w:rsid w:val="00E45954"/>
    <w:rsid w:val="00E46E97"/>
    <w:rsid w:val="00E511F5"/>
    <w:rsid w:val="00E513E3"/>
    <w:rsid w:val="00E57A07"/>
    <w:rsid w:val="00E60C36"/>
    <w:rsid w:val="00E6166A"/>
    <w:rsid w:val="00E64981"/>
    <w:rsid w:val="00E66383"/>
    <w:rsid w:val="00E66580"/>
    <w:rsid w:val="00E71C5C"/>
    <w:rsid w:val="00E73E24"/>
    <w:rsid w:val="00E764AB"/>
    <w:rsid w:val="00E80132"/>
    <w:rsid w:val="00E80341"/>
    <w:rsid w:val="00E8089E"/>
    <w:rsid w:val="00E8169E"/>
    <w:rsid w:val="00E8187D"/>
    <w:rsid w:val="00E837AA"/>
    <w:rsid w:val="00E84F11"/>
    <w:rsid w:val="00E905A4"/>
    <w:rsid w:val="00E93EB5"/>
    <w:rsid w:val="00E952BB"/>
    <w:rsid w:val="00EA36BD"/>
    <w:rsid w:val="00EA389C"/>
    <w:rsid w:val="00EA3DB6"/>
    <w:rsid w:val="00EA4EA8"/>
    <w:rsid w:val="00EB0F75"/>
    <w:rsid w:val="00EB1C3F"/>
    <w:rsid w:val="00EC5BB8"/>
    <w:rsid w:val="00ED232C"/>
    <w:rsid w:val="00ED4BF7"/>
    <w:rsid w:val="00EE1A3A"/>
    <w:rsid w:val="00EE2FE2"/>
    <w:rsid w:val="00EE5261"/>
    <w:rsid w:val="00EE659F"/>
    <w:rsid w:val="00EF09E0"/>
    <w:rsid w:val="00EF146C"/>
    <w:rsid w:val="00EF380B"/>
    <w:rsid w:val="00EF3BB2"/>
    <w:rsid w:val="00EF69F8"/>
    <w:rsid w:val="00EF6A7F"/>
    <w:rsid w:val="00F02A57"/>
    <w:rsid w:val="00F074B1"/>
    <w:rsid w:val="00F141C0"/>
    <w:rsid w:val="00F14FA7"/>
    <w:rsid w:val="00F224C7"/>
    <w:rsid w:val="00F2404C"/>
    <w:rsid w:val="00F265BA"/>
    <w:rsid w:val="00F278B8"/>
    <w:rsid w:val="00F32D01"/>
    <w:rsid w:val="00F34643"/>
    <w:rsid w:val="00F34FB1"/>
    <w:rsid w:val="00F36B1B"/>
    <w:rsid w:val="00F44107"/>
    <w:rsid w:val="00F44969"/>
    <w:rsid w:val="00F44C14"/>
    <w:rsid w:val="00F46A0E"/>
    <w:rsid w:val="00F53868"/>
    <w:rsid w:val="00F57606"/>
    <w:rsid w:val="00F605E6"/>
    <w:rsid w:val="00F6120B"/>
    <w:rsid w:val="00F6305E"/>
    <w:rsid w:val="00F71C6F"/>
    <w:rsid w:val="00F7236D"/>
    <w:rsid w:val="00F725A8"/>
    <w:rsid w:val="00F73016"/>
    <w:rsid w:val="00F75EB2"/>
    <w:rsid w:val="00F7614B"/>
    <w:rsid w:val="00F823BB"/>
    <w:rsid w:val="00F825C4"/>
    <w:rsid w:val="00F8302E"/>
    <w:rsid w:val="00F83E3E"/>
    <w:rsid w:val="00F85CC0"/>
    <w:rsid w:val="00F87EB4"/>
    <w:rsid w:val="00F930DE"/>
    <w:rsid w:val="00F978F4"/>
    <w:rsid w:val="00FA08E6"/>
    <w:rsid w:val="00FA306E"/>
    <w:rsid w:val="00FA32E4"/>
    <w:rsid w:val="00FA5956"/>
    <w:rsid w:val="00FA6AA0"/>
    <w:rsid w:val="00FB3672"/>
    <w:rsid w:val="00FB3F72"/>
    <w:rsid w:val="00FB59B8"/>
    <w:rsid w:val="00FC0A36"/>
    <w:rsid w:val="00FC30A2"/>
    <w:rsid w:val="00FC4AA5"/>
    <w:rsid w:val="00FC66A4"/>
    <w:rsid w:val="00FD3A8D"/>
    <w:rsid w:val="00FD6A5F"/>
    <w:rsid w:val="00FD794D"/>
    <w:rsid w:val="00FE07B4"/>
    <w:rsid w:val="00FE44F2"/>
    <w:rsid w:val="00FE6E1E"/>
    <w:rsid w:val="00FE7EA2"/>
    <w:rsid w:val="00FF0313"/>
    <w:rsid w:val="00FF0842"/>
    <w:rsid w:val="137467FE"/>
    <w:rsid w:val="3D73043E"/>
    <w:rsid w:val="4F38CF9F"/>
    <w:rsid w:val="4F6FF0C5"/>
    <w:rsid w:val="51A1B906"/>
    <w:rsid w:val="5C302482"/>
    <w:rsid w:val="6812ED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2F9D"/>
  <w15:chartTrackingRefBased/>
  <w15:docId w15:val="{6F794505-0D4D-4B37-A608-388EF344EF7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0" w:semiHidden="1" w:unhideWhenUsed="1"/>
    <w:lsdException w:name="toc 3" w:uiPriority="0" w:semiHidden="1" w:unhideWhenUsed="1"/>
    <w:lsdException w:name="toc 4" w:uiPriority="0"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77C15"/>
    <w:pPr>
      <w:spacing w:after="160" w:line="278" w:lineRule="auto"/>
    </w:pPr>
    <w:rPr>
      <w:rFonts w:asciiTheme="minorHAnsi" w:hAnsiTheme="minorHAnsi" w:eastAsiaTheme="minorHAnsi" w:cstheme="minorBidi"/>
      <w:kern w:val="2"/>
      <w:sz w:val="24"/>
      <w:szCs w:val="24"/>
      <w:lang w:eastAsia="en-US"/>
      <w14:ligatures w14:val="standardContextual"/>
    </w:rPr>
  </w:style>
  <w:style w:type="paragraph" w:styleId="Heading1">
    <w:name w:val="heading 1"/>
    <w:basedOn w:val="Normal"/>
    <w:next w:val="Paragraphnonumbers"/>
    <w:link w:val="Heading1Char"/>
    <w:uiPriority w:val="1"/>
    <w:qFormat/>
    <w:rsid w:val="009849A3"/>
    <w:pPr>
      <w:keepNext/>
      <w:spacing w:after="12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9849A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Paragraph"/>
    <w:link w:val="Heading3Char"/>
    <w:uiPriority w:val="3"/>
    <w:qFormat/>
    <w:rsid w:val="009849A3"/>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9849A3"/>
    <w:pPr>
      <w:spacing w:before="200"/>
      <w:outlineLvl w:val="3"/>
    </w:pPr>
    <w:rPr>
      <w:rFonts w:ascii="Cambria" w:hAnsi="Cambria"/>
      <w:b/>
      <w:bCs/>
      <w:i/>
      <w:iCs/>
    </w:rPr>
  </w:style>
  <w:style w:type="paragraph" w:styleId="Heading5">
    <w:name w:val="heading 5"/>
    <w:basedOn w:val="Normal"/>
    <w:next w:val="Normal"/>
    <w:link w:val="Heading5Char"/>
    <w:uiPriority w:val="9"/>
    <w:qFormat/>
    <w:rsid w:val="009849A3"/>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9849A3"/>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9849A3"/>
    <w:pPr>
      <w:outlineLvl w:val="6"/>
    </w:pPr>
    <w:rPr>
      <w:rFonts w:ascii="Cambria" w:hAnsi="Cambria"/>
      <w:i/>
      <w:iCs/>
    </w:rPr>
  </w:style>
  <w:style w:type="paragraph" w:styleId="Heading8">
    <w:name w:val="heading 8"/>
    <w:basedOn w:val="Normal"/>
    <w:next w:val="Normal"/>
    <w:link w:val="Heading8Char"/>
    <w:uiPriority w:val="9"/>
    <w:qFormat/>
    <w:rsid w:val="009849A3"/>
    <w:pPr>
      <w:outlineLvl w:val="7"/>
    </w:pPr>
    <w:rPr>
      <w:rFonts w:ascii="Cambria" w:hAnsi="Cambria"/>
    </w:rPr>
  </w:style>
  <w:style w:type="paragraph" w:styleId="Heading9">
    <w:name w:val="heading 9"/>
    <w:basedOn w:val="Normal"/>
    <w:next w:val="Normal"/>
    <w:link w:val="Heading9Char"/>
    <w:uiPriority w:val="9"/>
    <w:qFormat/>
    <w:rsid w:val="009849A3"/>
    <w:pPr>
      <w:outlineLvl w:val="8"/>
    </w:pPr>
    <w:rPr>
      <w:rFonts w:ascii="Cambria" w:hAnsi="Cambria"/>
      <w:i/>
      <w:iCs/>
      <w:spacing w:val="5"/>
    </w:rPr>
  </w:style>
  <w:style w:type="character" w:styleId="DefaultParagraphFont" w:default="1">
    <w:name w:val="Default Paragraph Font"/>
    <w:uiPriority w:val="1"/>
    <w:semiHidden/>
    <w:unhideWhenUsed/>
    <w:rsid w:val="00B77C15"/>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rsid w:val="00B77C15"/>
  </w:style>
  <w:style w:type="paragraph" w:styleId="NICEnormal" w:customStyle="1">
    <w:name w:val="NICE normal"/>
    <w:rsid w:val="009849A3"/>
    <w:pPr>
      <w:spacing w:after="240" w:line="360" w:lineRule="auto"/>
    </w:pPr>
    <w:rPr>
      <w:rFonts w:ascii="Arial" w:hAnsi="Arial" w:eastAsia="Times New Roman"/>
      <w:lang w:val="en-US" w:eastAsia="en-US"/>
    </w:rPr>
  </w:style>
  <w:style w:type="character" w:styleId="NICEnormalChar" w:customStyle="1">
    <w:name w:val="NICE normal Char"/>
    <w:rsid w:val="009849A3"/>
    <w:rPr>
      <w:rFonts w:ascii="Arial" w:hAnsi="Arial" w:eastAsia="Times New Roman"/>
      <w:sz w:val="24"/>
      <w:szCs w:val="24"/>
      <w:lang w:val="en-GB" w:eastAsia="en-US" w:bidi="ar-SA"/>
    </w:rPr>
  </w:style>
  <w:style w:type="character" w:styleId="Heading1Char" w:customStyle="1">
    <w:name w:val="Heading 1 Char"/>
    <w:link w:val="Heading1"/>
    <w:uiPriority w:val="1"/>
    <w:rsid w:val="009849A3"/>
    <w:rPr>
      <w:rFonts w:ascii="Arial" w:hAnsi="Arial" w:eastAsiaTheme="minorHAnsi"/>
      <w:b/>
      <w:bCs/>
      <w:kern w:val="32"/>
      <w:sz w:val="28"/>
      <w:szCs w:val="32"/>
      <w:lang w:eastAsia="en-US"/>
      <w14:ligatures w14:val="standardContextual"/>
    </w:rPr>
  </w:style>
  <w:style w:type="character" w:styleId="Heading2Char" w:customStyle="1">
    <w:name w:val="Heading 2 Char"/>
    <w:basedOn w:val="DefaultParagraphFont"/>
    <w:link w:val="Heading2"/>
    <w:uiPriority w:val="9"/>
    <w:rsid w:val="009849A3"/>
    <w:rPr>
      <w:rFonts w:asciiTheme="majorHAnsi" w:hAnsiTheme="majorHAnsi" w:eastAsiaTheme="majorEastAsia" w:cstheme="majorBidi"/>
      <w:color w:val="0F4761" w:themeColor="accent1" w:themeShade="BF"/>
      <w:kern w:val="2"/>
      <w:sz w:val="32"/>
      <w:szCs w:val="32"/>
      <w:lang w:eastAsia="en-US"/>
      <w14:ligatures w14:val="standardContextual"/>
    </w:rPr>
  </w:style>
  <w:style w:type="character" w:styleId="Heading3Char" w:customStyle="1">
    <w:name w:val="Heading 3 Char"/>
    <w:link w:val="Heading3"/>
    <w:uiPriority w:val="3"/>
    <w:rsid w:val="009849A3"/>
    <w:rPr>
      <w:rFonts w:ascii="Arial" w:hAnsi="Arial" w:eastAsiaTheme="minorHAnsi"/>
      <w:b/>
      <w:bCs/>
      <w:kern w:val="2"/>
      <w:szCs w:val="26"/>
      <w:lang w:eastAsia="en-US"/>
      <w14:ligatures w14:val="standardContextual"/>
    </w:rPr>
  </w:style>
  <w:style w:type="character" w:styleId="Heading4Char" w:customStyle="1">
    <w:name w:val="Heading 4 Char"/>
    <w:link w:val="Heading4"/>
    <w:uiPriority w:val="9"/>
    <w:rsid w:val="009849A3"/>
    <w:rPr>
      <w:rFonts w:ascii="Cambria" w:hAnsi="Cambria" w:eastAsiaTheme="minorHAnsi"/>
      <w:b/>
      <w:bCs/>
      <w:i/>
      <w:iCs/>
      <w:kern w:val="2"/>
      <w:lang w:eastAsia="en-US"/>
      <w14:ligatures w14:val="standardContextual"/>
    </w:rPr>
  </w:style>
  <w:style w:type="paragraph" w:styleId="ListParagraph">
    <w:name w:val="List Paragraph"/>
    <w:basedOn w:val="Normal"/>
    <w:uiPriority w:val="34"/>
    <w:qFormat/>
    <w:rsid w:val="009849A3"/>
    <w:pPr>
      <w:ind w:left="720"/>
      <w:contextualSpacing/>
    </w:pPr>
    <w:rPr>
      <w:rFonts w:eastAsia="Calibri"/>
    </w:rPr>
  </w:style>
  <w:style w:type="character" w:styleId="Hyperlink">
    <w:name w:val="Hyperlink"/>
    <w:uiPriority w:val="99"/>
    <w:rsid w:val="009849A3"/>
    <w:rPr>
      <w:color w:val="0000FF"/>
      <w:u w:val="single"/>
    </w:rPr>
  </w:style>
  <w:style w:type="paragraph" w:styleId="Header">
    <w:name w:val="header"/>
    <w:basedOn w:val="Normal"/>
    <w:link w:val="HeaderChar"/>
    <w:uiPriority w:val="99"/>
    <w:rsid w:val="009849A3"/>
    <w:pPr>
      <w:tabs>
        <w:tab w:val="center" w:pos="4513"/>
        <w:tab w:val="right" w:pos="9026"/>
      </w:tabs>
    </w:pPr>
    <w:rPr>
      <w:rFonts w:ascii="Arial" w:hAnsi="Arial"/>
    </w:rPr>
  </w:style>
  <w:style w:type="paragraph" w:styleId="NICEnormaldoublespacing" w:customStyle="1">
    <w:name w:val="NICE normal double spacing"/>
    <w:basedOn w:val="NICEnormal"/>
    <w:rsid w:val="009849A3"/>
  </w:style>
  <w:style w:type="character" w:styleId="HeaderChar" w:customStyle="1">
    <w:name w:val="Header Char"/>
    <w:link w:val="Header"/>
    <w:uiPriority w:val="99"/>
    <w:rsid w:val="009849A3"/>
    <w:rPr>
      <w:rFonts w:ascii="Arial" w:hAnsi="Arial" w:eastAsiaTheme="minorHAnsi"/>
      <w:kern w:val="2"/>
      <w:lang w:eastAsia="en-US"/>
      <w14:ligatures w14:val="standardContextual"/>
    </w:rPr>
  </w:style>
  <w:style w:type="paragraph" w:styleId="Footer">
    <w:name w:val="footer"/>
    <w:basedOn w:val="Normal"/>
    <w:link w:val="FooterChar"/>
    <w:uiPriority w:val="99"/>
    <w:rsid w:val="009849A3"/>
    <w:pPr>
      <w:tabs>
        <w:tab w:val="center" w:pos="4513"/>
        <w:tab w:val="right" w:pos="9026"/>
      </w:tabs>
    </w:pPr>
    <w:rPr>
      <w:rFonts w:ascii="Arial" w:hAnsi="Arial"/>
    </w:rPr>
  </w:style>
  <w:style w:type="character" w:styleId="FooterChar" w:customStyle="1">
    <w:name w:val="Footer Char"/>
    <w:link w:val="Footer"/>
    <w:uiPriority w:val="99"/>
    <w:rsid w:val="009849A3"/>
    <w:rPr>
      <w:rFonts w:ascii="Arial" w:hAnsi="Arial" w:eastAsiaTheme="minorHAnsi"/>
      <w:kern w:val="2"/>
      <w:lang w:eastAsia="en-US"/>
      <w14:ligatures w14:val="standardContextual"/>
    </w:rPr>
  </w:style>
  <w:style w:type="paragraph" w:styleId="Style1" w:customStyle="1">
    <w:name w:val="Style1"/>
    <w:basedOn w:val="Normal"/>
    <w:autoRedefine/>
    <w:rsid w:val="009849A3"/>
    <w:pPr>
      <w:keepNext/>
      <w:spacing w:line="360" w:lineRule="auto"/>
      <w:ind w:left="567"/>
    </w:pPr>
    <w:rPr>
      <w:rFonts w:ascii="Arial" w:hAnsi="Arial" w:cs="Arial"/>
      <w:szCs w:val="16"/>
    </w:rPr>
  </w:style>
  <w:style w:type="paragraph" w:styleId="Unnumberedboldheading" w:customStyle="1">
    <w:name w:val="Unnumbered bold heading"/>
    <w:next w:val="NICEnormal"/>
    <w:rsid w:val="009849A3"/>
    <w:pPr>
      <w:keepNext/>
      <w:widowControl w:val="0"/>
      <w:spacing w:after="120"/>
    </w:pPr>
    <w:rPr>
      <w:rFonts w:ascii="Arial" w:hAnsi="Arial" w:eastAsia="Times New Roman"/>
      <w:b/>
      <w:lang w:val="en-US" w:eastAsia="en-US"/>
    </w:rPr>
  </w:style>
  <w:style w:type="paragraph" w:styleId="Unnumbereditalicheading" w:customStyle="1">
    <w:name w:val="Unnumbered italic heading"/>
    <w:next w:val="NICEnormal"/>
    <w:rsid w:val="009849A3"/>
    <w:pPr>
      <w:keepNext/>
      <w:widowControl w:val="0"/>
      <w:spacing w:after="120"/>
    </w:pPr>
    <w:rPr>
      <w:rFonts w:ascii="Arial" w:hAnsi="Arial" w:eastAsia="Times New Roman"/>
      <w:i/>
      <w:lang w:val="en-US" w:eastAsia="en-US"/>
    </w:rPr>
  </w:style>
  <w:style w:type="paragraph" w:styleId="Title">
    <w:name w:val="Title"/>
    <w:basedOn w:val="Normal"/>
    <w:next w:val="Normal"/>
    <w:link w:val="TitleChar"/>
    <w:uiPriority w:val="10"/>
    <w:qFormat/>
    <w:rsid w:val="009849A3"/>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849A3"/>
    <w:rPr>
      <w:rFonts w:asciiTheme="majorHAnsi" w:hAnsiTheme="majorHAnsi" w:eastAsiaTheme="majorEastAsia" w:cstheme="majorBidi"/>
      <w:spacing w:val="-10"/>
      <w:kern w:val="28"/>
      <w:sz w:val="56"/>
      <w:szCs w:val="56"/>
      <w:lang w:eastAsia="en-US"/>
      <w14:ligatures w14:val="standardContextual"/>
    </w:rPr>
  </w:style>
  <w:style w:type="paragraph" w:styleId="Title16pt" w:customStyle="1">
    <w:name w:val="Title 16 pt"/>
    <w:basedOn w:val="Title"/>
    <w:rsid w:val="009849A3"/>
  </w:style>
  <w:style w:type="paragraph" w:styleId="Introtext" w:customStyle="1">
    <w:name w:val="Intro text"/>
    <w:basedOn w:val="PGDNormal"/>
    <w:rsid w:val="009849A3"/>
    <w:pPr>
      <w:pBdr>
        <w:top w:val="single" w:color="auto" w:sz="4" w:space="1"/>
        <w:left w:val="single" w:color="auto" w:sz="4" w:space="4"/>
        <w:bottom w:val="single" w:color="auto" w:sz="4" w:space="1"/>
        <w:right w:val="single" w:color="auto" w:sz="4" w:space="4"/>
      </w:pBdr>
      <w:spacing w:after="120"/>
    </w:pPr>
  </w:style>
  <w:style w:type="paragraph" w:styleId="Numberedheading1" w:customStyle="1">
    <w:name w:val="Numbered heading 1"/>
    <w:basedOn w:val="Heading1"/>
    <w:next w:val="NICEnormal"/>
    <w:link w:val="Numberedheading1CharChar"/>
    <w:rsid w:val="009849A3"/>
    <w:pPr>
      <w:tabs>
        <w:tab w:val="num" w:pos="360"/>
      </w:tabs>
    </w:pPr>
    <w:rPr>
      <w:szCs w:val="24"/>
    </w:rPr>
  </w:style>
  <w:style w:type="character" w:styleId="Numberedheading1CharChar" w:customStyle="1">
    <w:name w:val="Numbered heading 1 Char Char"/>
    <w:link w:val="Numberedheading1"/>
    <w:rsid w:val="009849A3"/>
    <w:rPr>
      <w:rFonts w:ascii="Arial" w:hAnsi="Arial" w:eastAsiaTheme="minorHAnsi"/>
      <w:b/>
      <w:bCs/>
      <w:kern w:val="32"/>
      <w:sz w:val="28"/>
      <w:szCs w:val="24"/>
      <w:lang w:eastAsia="en-US"/>
      <w14:ligatures w14:val="standardContextual"/>
    </w:rPr>
  </w:style>
  <w:style w:type="paragraph" w:styleId="Numberedheading2" w:customStyle="1">
    <w:name w:val="Numbered heading 2"/>
    <w:basedOn w:val="Heading2"/>
    <w:next w:val="NICEnormal"/>
    <w:link w:val="Numberedheading2Char"/>
    <w:rsid w:val="009849A3"/>
    <w:pPr>
      <w:tabs>
        <w:tab w:val="num" w:pos="360"/>
      </w:tabs>
    </w:pPr>
  </w:style>
  <w:style w:type="character" w:styleId="Numberedheading2Char" w:customStyle="1">
    <w:name w:val="Numbered heading 2 Char"/>
    <w:basedOn w:val="Heading2Char"/>
    <w:link w:val="Numberedheading2"/>
    <w:rsid w:val="009849A3"/>
    <w:rPr>
      <w:rFonts w:asciiTheme="majorHAnsi" w:hAnsiTheme="majorHAnsi" w:eastAsiaTheme="majorEastAsia" w:cstheme="majorBidi"/>
      <w:color w:val="0F4761" w:themeColor="accent1" w:themeShade="BF"/>
      <w:kern w:val="2"/>
      <w:sz w:val="32"/>
      <w:szCs w:val="32"/>
      <w:lang w:eastAsia="en-US"/>
      <w14:ligatures w14:val="standardContextual"/>
    </w:rPr>
  </w:style>
  <w:style w:type="paragraph" w:styleId="Numberedheading3" w:customStyle="1">
    <w:name w:val="Numbered heading 3"/>
    <w:basedOn w:val="Heading3"/>
    <w:next w:val="NICEnormal"/>
    <w:rsid w:val="009849A3"/>
    <w:pPr>
      <w:tabs>
        <w:tab w:val="num" w:pos="360"/>
      </w:tabs>
    </w:pPr>
    <w:rPr>
      <w:sz w:val="26"/>
    </w:rPr>
  </w:style>
  <w:style w:type="paragraph" w:styleId="Numberedlevel4text" w:customStyle="1">
    <w:name w:val="Numbered level 4 text"/>
    <w:basedOn w:val="NICEnormal"/>
    <w:next w:val="NICEnormal"/>
    <w:rsid w:val="009849A3"/>
    <w:pPr>
      <w:tabs>
        <w:tab w:val="num" w:pos="360"/>
      </w:tabs>
    </w:pPr>
  </w:style>
  <w:style w:type="paragraph" w:styleId="Numberedlevel3text" w:customStyle="1">
    <w:name w:val="Numbered level 3 text"/>
    <w:basedOn w:val="Numberedheading3"/>
    <w:rsid w:val="009849A3"/>
    <w:pPr>
      <w:spacing w:after="240"/>
    </w:pPr>
    <w:rPr>
      <w:b w:val="0"/>
      <w:sz w:val="24"/>
    </w:rPr>
  </w:style>
  <w:style w:type="paragraph" w:styleId="Bulletindent2" w:customStyle="1">
    <w:name w:val="Bullet indent 2"/>
    <w:basedOn w:val="NICEnormal"/>
    <w:rsid w:val="009849A3"/>
    <w:pPr>
      <w:tabs>
        <w:tab w:val="num" w:pos="360"/>
      </w:tabs>
      <w:spacing w:after="0"/>
      <w:ind w:left="1702" w:hanging="284"/>
    </w:pPr>
  </w:style>
  <w:style w:type="paragraph" w:styleId="Title16ptleft" w:customStyle="1">
    <w:name w:val="Title 16 pt left"/>
    <w:basedOn w:val="Title16pt"/>
    <w:rsid w:val="009849A3"/>
  </w:style>
  <w:style w:type="paragraph" w:styleId="Bulletleft1" w:customStyle="1">
    <w:name w:val="Bullet left 1"/>
    <w:basedOn w:val="NICEnormal"/>
    <w:rsid w:val="009849A3"/>
    <w:pPr>
      <w:tabs>
        <w:tab w:val="num" w:pos="360"/>
      </w:tabs>
      <w:spacing w:after="0"/>
    </w:pPr>
  </w:style>
  <w:style w:type="character" w:styleId="Bulletleft1Char" w:customStyle="1">
    <w:name w:val="Bullet left 1 Char"/>
    <w:basedOn w:val="NICEnormalChar"/>
    <w:rsid w:val="009849A3"/>
    <w:rPr>
      <w:rFonts w:ascii="Arial" w:hAnsi="Arial" w:eastAsia="Times New Roman"/>
      <w:sz w:val="24"/>
      <w:szCs w:val="24"/>
      <w:lang w:val="en-GB" w:eastAsia="en-US" w:bidi="ar-SA"/>
    </w:rPr>
  </w:style>
  <w:style w:type="paragraph" w:styleId="Bulletleft2" w:customStyle="1">
    <w:name w:val="Bullet left 2"/>
    <w:basedOn w:val="NICEnormal"/>
    <w:rsid w:val="009849A3"/>
    <w:pPr>
      <w:tabs>
        <w:tab w:val="num" w:pos="360"/>
      </w:tabs>
      <w:spacing w:after="0"/>
      <w:ind w:left="568" w:hanging="284"/>
    </w:pPr>
  </w:style>
  <w:style w:type="paragraph" w:styleId="Bulletleft3" w:customStyle="1">
    <w:name w:val="Bullet left 3"/>
    <w:basedOn w:val="NICEnormal"/>
    <w:rsid w:val="009849A3"/>
    <w:pPr>
      <w:tabs>
        <w:tab w:val="num" w:pos="360"/>
      </w:tabs>
      <w:spacing w:after="0"/>
    </w:pPr>
  </w:style>
  <w:style w:type="paragraph" w:styleId="Bulletindent1" w:customStyle="1">
    <w:name w:val="Bullet indent 1"/>
    <w:basedOn w:val="NICEnormal"/>
    <w:rsid w:val="009849A3"/>
    <w:pPr>
      <w:numPr>
        <w:numId w:val="15"/>
      </w:numPr>
      <w:spacing w:before="120" w:after="120" w:line="240" w:lineRule="auto"/>
    </w:pPr>
    <w:rPr>
      <w:sz w:val="22"/>
      <w:lang w:val="en-GB"/>
    </w:rPr>
  </w:style>
  <w:style w:type="paragraph" w:styleId="Bulletindent3" w:customStyle="1">
    <w:name w:val="Bullet indent 3"/>
    <w:basedOn w:val="NICEnormal"/>
    <w:rsid w:val="009849A3"/>
    <w:pPr>
      <w:tabs>
        <w:tab w:val="num" w:pos="360"/>
      </w:tabs>
      <w:spacing w:after="0"/>
    </w:pPr>
  </w:style>
  <w:style w:type="paragraph" w:styleId="Numberedlevel2text" w:customStyle="1">
    <w:name w:val="Numbered level 2 text"/>
    <w:basedOn w:val="Numberedheading2"/>
    <w:rsid w:val="009849A3"/>
    <w:pPr>
      <w:spacing w:after="240"/>
    </w:pPr>
    <w:rPr>
      <w:b/>
      <w:i/>
    </w:rPr>
  </w:style>
  <w:style w:type="paragraph" w:styleId="Bulletleft1last" w:customStyle="1">
    <w:name w:val="Bullet left 1 last"/>
    <w:basedOn w:val="NICEnormal"/>
    <w:rsid w:val="009849A3"/>
    <w:pPr>
      <w:tabs>
        <w:tab w:val="num" w:pos="360"/>
      </w:tabs>
    </w:pPr>
    <w:rPr>
      <w:rFonts w:cs="Arial"/>
    </w:rPr>
  </w:style>
  <w:style w:type="character" w:styleId="Bulletleft1lastChar" w:customStyle="1">
    <w:name w:val="Bullet left 1 last Char"/>
    <w:rsid w:val="009849A3"/>
    <w:rPr>
      <w:rFonts w:ascii="Arial" w:hAnsi="Arial" w:eastAsia="Times New Roman" w:cs="Arial"/>
      <w:sz w:val="24"/>
      <w:szCs w:val="24"/>
      <w:lang w:eastAsia="en-US"/>
    </w:rPr>
  </w:style>
  <w:style w:type="paragraph" w:styleId="boxedtext" w:customStyle="1">
    <w:name w:val="boxed text"/>
    <w:basedOn w:val="NICEnormal"/>
    <w:rsid w:val="009849A3"/>
    <w:pPr>
      <w:pBdr>
        <w:top w:val="single" w:color="auto" w:sz="4" w:space="1"/>
        <w:left w:val="single" w:color="auto" w:sz="4" w:space="4"/>
        <w:bottom w:val="single" w:color="auto" w:sz="4" w:space="1"/>
        <w:right w:val="single" w:color="auto" w:sz="4" w:space="4"/>
      </w:pBdr>
      <w:shd w:val="clear" w:color="auto" w:fill="E6E6E6"/>
    </w:pPr>
  </w:style>
  <w:style w:type="character" w:styleId="PageNumber">
    <w:name w:val="page number"/>
    <w:rsid w:val="009849A3"/>
    <w:rPr>
      <w:rFonts w:ascii="Arial" w:hAnsi="Arial"/>
      <w:sz w:val="24"/>
    </w:rPr>
  </w:style>
  <w:style w:type="paragraph" w:styleId="Bulletindent1last" w:customStyle="1">
    <w:name w:val="Bullet indent 1 last"/>
    <w:basedOn w:val="NICEnormal"/>
    <w:next w:val="NICEnormal"/>
    <w:rsid w:val="009849A3"/>
    <w:pPr>
      <w:numPr>
        <w:numId w:val="11"/>
      </w:numPr>
    </w:pPr>
    <w:rPr>
      <w:sz w:val="22"/>
      <w:lang w:val="en-GB"/>
    </w:rPr>
  </w:style>
  <w:style w:type="paragraph" w:styleId="NICEnormalindented" w:customStyle="1">
    <w:name w:val="NICE normal indented"/>
    <w:basedOn w:val="NICEnormal"/>
    <w:rsid w:val="009849A3"/>
    <w:pPr>
      <w:tabs>
        <w:tab w:val="left" w:pos="1134"/>
      </w:tabs>
      <w:ind w:left="1134"/>
    </w:pPr>
  </w:style>
  <w:style w:type="paragraph" w:styleId="Tabletitle" w:customStyle="1">
    <w:name w:val="Table title"/>
    <w:basedOn w:val="NICEnormal"/>
    <w:next w:val="NICEnormal"/>
    <w:rsid w:val="009849A3"/>
    <w:pPr>
      <w:keepNext/>
      <w:spacing w:after="60" w:line="240" w:lineRule="auto"/>
    </w:pPr>
    <w:rPr>
      <w:b/>
    </w:rPr>
  </w:style>
  <w:style w:type="paragraph" w:styleId="Tabletext" w:customStyle="1">
    <w:name w:val="Table text"/>
    <w:basedOn w:val="PGDNormal"/>
    <w:rsid w:val="009849A3"/>
    <w:pPr>
      <w:keepNext/>
      <w:spacing w:after="60"/>
    </w:pPr>
  </w:style>
  <w:style w:type="paragraph" w:styleId="Section2paragraphs" w:customStyle="1">
    <w:name w:val="Section 2 paragraphs"/>
    <w:basedOn w:val="NICEnormal"/>
    <w:rsid w:val="009849A3"/>
    <w:pPr>
      <w:tabs>
        <w:tab w:val="num" w:pos="360"/>
      </w:tabs>
    </w:pPr>
  </w:style>
  <w:style w:type="paragraph" w:styleId="Section3paragraphs" w:customStyle="1">
    <w:name w:val="Section 3 paragraphs"/>
    <w:basedOn w:val="NICEnormal"/>
    <w:rsid w:val="009849A3"/>
    <w:pPr>
      <w:tabs>
        <w:tab w:val="num" w:pos="360"/>
      </w:tabs>
    </w:pPr>
  </w:style>
  <w:style w:type="paragraph" w:styleId="Section411paragraphs" w:customStyle="1">
    <w:name w:val="Section 4.1.1 paragraphs"/>
    <w:basedOn w:val="NICEnormal"/>
    <w:rsid w:val="009849A3"/>
    <w:pPr>
      <w:tabs>
        <w:tab w:val="num" w:pos="360"/>
      </w:tabs>
    </w:pPr>
  </w:style>
  <w:style w:type="paragraph" w:styleId="Section412paragraphs" w:customStyle="1">
    <w:name w:val="Section 4.1.2 paragraphs"/>
    <w:basedOn w:val="NICEnormal"/>
    <w:rsid w:val="009849A3"/>
    <w:pPr>
      <w:tabs>
        <w:tab w:val="num" w:pos="360"/>
      </w:tabs>
    </w:pPr>
  </w:style>
  <w:style w:type="paragraph" w:styleId="Section42paragraphs" w:customStyle="1">
    <w:name w:val="Section 4.2 paragraphs"/>
    <w:basedOn w:val="NICEnormal"/>
    <w:rsid w:val="009849A3"/>
    <w:pPr>
      <w:tabs>
        <w:tab w:val="num" w:pos="360"/>
      </w:tabs>
    </w:pPr>
  </w:style>
  <w:style w:type="paragraph" w:styleId="Section43paragraphs" w:customStyle="1">
    <w:name w:val="Section 4.3 paragraphs"/>
    <w:basedOn w:val="NICEnormal"/>
    <w:rsid w:val="009849A3"/>
    <w:pPr>
      <w:tabs>
        <w:tab w:val="num" w:pos="360"/>
      </w:tabs>
    </w:pPr>
  </w:style>
  <w:style w:type="paragraph" w:styleId="Appendixlevel1" w:customStyle="1">
    <w:name w:val="Appendix level 1"/>
    <w:basedOn w:val="NICEnormal"/>
    <w:autoRedefine/>
    <w:rsid w:val="009849A3"/>
    <w:pPr>
      <w:tabs>
        <w:tab w:val="num" w:pos="360"/>
      </w:tabs>
      <w:spacing w:before="240"/>
    </w:pPr>
  </w:style>
  <w:style w:type="paragraph" w:styleId="Appendixlevel2" w:customStyle="1">
    <w:name w:val="Appendix level 2"/>
    <w:basedOn w:val="NICEnormal"/>
    <w:rsid w:val="009849A3"/>
    <w:pPr>
      <w:tabs>
        <w:tab w:val="num" w:pos="360"/>
      </w:tabs>
      <w:spacing w:before="240"/>
    </w:pPr>
  </w:style>
  <w:style w:type="paragraph" w:styleId="Appendixbullet" w:customStyle="1">
    <w:name w:val="Appendix bullet"/>
    <w:basedOn w:val="NICEnormal"/>
    <w:rsid w:val="009849A3"/>
    <w:pPr>
      <w:tabs>
        <w:tab w:val="num" w:pos="360"/>
      </w:tabs>
      <w:spacing w:after="0" w:line="240" w:lineRule="auto"/>
    </w:pPr>
  </w:style>
  <w:style w:type="paragraph" w:styleId="Appendixreferences" w:customStyle="1">
    <w:name w:val="Appendix references"/>
    <w:basedOn w:val="NICEnormal"/>
    <w:rsid w:val="009849A3"/>
    <w:pPr>
      <w:tabs>
        <w:tab w:val="left" w:pos="567"/>
      </w:tabs>
      <w:spacing w:after="120" w:line="240" w:lineRule="auto"/>
      <w:ind w:left="567"/>
    </w:pPr>
  </w:style>
  <w:style w:type="paragraph" w:styleId="References" w:customStyle="1">
    <w:name w:val="References"/>
    <w:basedOn w:val="PGDNormal"/>
    <w:rsid w:val="009849A3"/>
    <w:pPr>
      <w:tabs>
        <w:tab w:val="num" w:pos="360"/>
      </w:tabs>
      <w:spacing w:after="120"/>
    </w:pPr>
  </w:style>
  <w:style w:type="paragraph" w:styleId="BalloonText">
    <w:name w:val="Balloon Text"/>
    <w:basedOn w:val="Normal"/>
    <w:link w:val="BalloonTextChar"/>
    <w:semiHidden/>
    <w:rsid w:val="009849A3"/>
    <w:rPr>
      <w:rFonts w:ascii="Tahoma" w:hAnsi="Tahoma" w:cs="Tahoma"/>
      <w:sz w:val="16"/>
      <w:szCs w:val="16"/>
    </w:rPr>
  </w:style>
  <w:style w:type="character" w:styleId="BalloonTextChar" w:customStyle="1">
    <w:name w:val="Balloon Text Char"/>
    <w:link w:val="BalloonText"/>
    <w:semiHidden/>
    <w:rsid w:val="009849A3"/>
    <w:rPr>
      <w:rFonts w:ascii="Tahoma" w:hAnsi="Tahoma" w:cs="Tahoma" w:eastAsiaTheme="minorHAnsi"/>
      <w:kern w:val="2"/>
      <w:sz w:val="16"/>
      <w:szCs w:val="16"/>
      <w:lang w:eastAsia="en-US"/>
      <w14:ligatures w14:val="standardContextual"/>
    </w:rPr>
  </w:style>
  <w:style w:type="character" w:styleId="CommentReference">
    <w:name w:val="annotation reference"/>
    <w:unhideWhenUsed/>
    <w:rsid w:val="009849A3"/>
    <w:rPr>
      <w:sz w:val="16"/>
      <w:szCs w:val="16"/>
    </w:rPr>
  </w:style>
  <w:style w:type="paragraph" w:styleId="CommentText">
    <w:name w:val="annotation text"/>
    <w:basedOn w:val="Normal"/>
    <w:link w:val="CommentTextChar1"/>
    <w:uiPriority w:val="99"/>
    <w:unhideWhenUsed/>
    <w:rsid w:val="009849A3"/>
  </w:style>
  <w:style w:type="character" w:styleId="CommentTextChar" w:customStyle="1">
    <w:name w:val="Comment Text Char"/>
    <w:uiPriority w:val="99"/>
    <w:rsid w:val="009849A3"/>
    <w:rPr>
      <w:rFonts w:ascii="Times New Roman" w:hAnsi="Times New Roman" w:eastAsia="Times New Roman"/>
      <w:lang w:eastAsia="en-US"/>
    </w:rPr>
  </w:style>
  <w:style w:type="paragraph" w:styleId="CommentSubject">
    <w:name w:val="annotation subject"/>
    <w:basedOn w:val="CommentText"/>
    <w:next w:val="CommentText"/>
    <w:link w:val="CommentSubjectChar1"/>
    <w:semiHidden/>
    <w:unhideWhenUsed/>
    <w:rsid w:val="009849A3"/>
    <w:rPr>
      <w:b/>
      <w:bCs/>
    </w:rPr>
  </w:style>
  <w:style w:type="character" w:styleId="CommentSubjectChar" w:customStyle="1">
    <w:name w:val="Comment Subject Char"/>
    <w:semiHidden/>
    <w:rsid w:val="009849A3"/>
    <w:rPr>
      <w:rFonts w:ascii="Times New Roman" w:hAnsi="Times New Roman" w:eastAsia="Times New Roman"/>
      <w:b/>
      <w:bCs/>
      <w:lang w:eastAsia="en-US"/>
    </w:rPr>
  </w:style>
  <w:style w:type="paragraph" w:styleId="Revision">
    <w:name w:val="Revision"/>
    <w:hidden/>
    <w:semiHidden/>
    <w:rsid w:val="001F0DB2"/>
    <w:rPr>
      <w:rFonts w:ascii="Times New Roman" w:hAnsi="Times New Roman" w:eastAsia="Times New Roman"/>
      <w:sz w:val="24"/>
      <w:szCs w:val="24"/>
      <w:lang w:eastAsia="en-US"/>
    </w:rPr>
  </w:style>
  <w:style w:type="paragraph" w:styleId="NormalWeb">
    <w:name w:val="Normal (Web)"/>
    <w:basedOn w:val="Normal"/>
    <w:uiPriority w:val="99"/>
    <w:unhideWhenUsed/>
    <w:rsid w:val="009849A3"/>
    <w:pPr>
      <w:spacing w:before="100" w:beforeAutospacing="1" w:after="100" w:afterAutospacing="1"/>
    </w:pPr>
  </w:style>
  <w:style w:type="paragraph" w:styleId="TOC1">
    <w:name w:val="toc 1"/>
    <w:basedOn w:val="Normal"/>
    <w:next w:val="Normal"/>
    <w:autoRedefine/>
    <w:rsid w:val="009849A3"/>
    <w:rPr>
      <w:rFonts w:ascii="Arial" w:hAnsi="Arial"/>
    </w:rPr>
  </w:style>
  <w:style w:type="paragraph" w:styleId="TOC2">
    <w:name w:val="toc 2"/>
    <w:basedOn w:val="Normal"/>
    <w:next w:val="Normal"/>
    <w:autoRedefine/>
    <w:rsid w:val="009849A3"/>
    <w:pPr>
      <w:ind w:left="240"/>
    </w:pPr>
    <w:rPr>
      <w:rFonts w:ascii="Arial" w:hAnsi="Arial"/>
    </w:rPr>
  </w:style>
  <w:style w:type="paragraph" w:styleId="Frontpagetitle" w:customStyle="1">
    <w:name w:val="Front page title"/>
    <w:basedOn w:val="Normal"/>
    <w:rsid w:val="009849A3"/>
    <w:pPr>
      <w:spacing w:after="240"/>
      <w:jc w:val="center"/>
    </w:pPr>
    <w:rPr>
      <w:rFonts w:ascii="Arial" w:hAnsi="Arial" w:cs="Arial"/>
      <w:sz w:val="48"/>
      <w:szCs w:val="48"/>
      <w:lang w:val="en-US"/>
    </w:rPr>
  </w:style>
  <w:style w:type="paragraph" w:styleId="Frontpagedate" w:customStyle="1">
    <w:name w:val="Front page date"/>
    <w:basedOn w:val="Normal"/>
    <w:rsid w:val="009849A3"/>
    <w:pPr>
      <w:spacing w:after="240"/>
    </w:pPr>
    <w:rPr>
      <w:rFonts w:ascii="Arial" w:hAnsi="Arial" w:cs="Arial"/>
      <w:sz w:val="32"/>
      <w:szCs w:val="32"/>
      <w:lang w:val="en-US"/>
    </w:rPr>
  </w:style>
  <w:style w:type="paragraph" w:styleId="Frontpageguidelinenumber" w:customStyle="1">
    <w:name w:val="Front page guideline number"/>
    <w:basedOn w:val="Normal"/>
    <w:rsid w:val="009849A3"/>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9849A3"/>
    <w:pPr>
      <w:outlineLvl w:val="9"/>
    </w:pPr>
    <w:rPr>
      <w:lang w:bidi="en-US"/>
    </w:rPr>
  </w:style>
  <w:style w:type="paragraph" w:styleId="TOC3">
    <w:name w:val="toc 3"/>
    <w:basedOn w:val="Normal"/>
    <w:next w:val="Normal"/>
    <w:autoRedefine/>
    <w:semiHidden/>
    <w:rsid w:val="009849A3"/>
    <w:pPr>
      <w:ind w:left="480"/>
    </w:pPr>
    <w:rPr>
      <w:rFonts w:ascii="Arial" w:hAnsi="Arial"/>
    </w:rPr>
  </w:style>
  <w:style w:type="character" w:styleId="FollowedHyperlink">
    <w:name w:val="FollowedHyperlink"/>
    <w:unhideWhenUsed/>
    <w:rsid w:val="009849A3"/>
    <w:rPr>
      <w:color w:val="800080"/>
      <w:u w:val="single"/>
    </w:rPr>
  </w:style>
  <w:style w:type="paragraph" w:styleId="Level2text" w:customStyle="1">
    <w:name w:val="Level 2 text"/>
    <w:basedOn w:val="Numberedheading2"/>
    <w:locked/>
    <w:rsid w:val="009849A3"/>
    <w:pPr>
      <w:numPr>
        <w:ilvl w:val="1"/>
        <w:numId w:val="1"/>
      </w:numPr>
    </w:pPr>
    <w:rPr>
      <w:b/>
      <w:i/>
    </w:rPr>
  </w:style>
  <w:style w:type="paragraph" w:styleId="FootnoteText">
    <w:name w:val="footnote text"/>
    <w:basedOn w:val="Normal"/>
    <w:link w:val="FootnoteTextChar1"/>
    <w:semiHidden/>
    <w:rsid w:val="009849A3"/>
    <w:rPr>
      <w:rFonts w:ascii="Arial" w:hAnsi="Arial" w:eastAsia="Calibri"/>
    </w:rPr>
  </w:style>
  <w:style w:type="character" w:styleId="FootnoteTextChar" w:customStyle="1">
    <w:name w:val="Footnote Text Char"/>
    <w:rsid w:val="009849A3"/>
    <w:rPr>
      <w:rFonts w:ascii="Arial" w:hAnsi="Arial" w:eastAsia="Times New Roman"/>
    </w:rPr>
  </w:style>
  <w:style w:type="character" w:styleId="FootnoteReference">
    <w:name w:val="footnote reference"/>
    <w:rsid w:val="009849A3"/>
    <w:rPr>
      <w:vertAlign w:val="superscript"/>
    </w:rPr>
  </w:style>
  <w:style w:type="paragraph" w:styleId="Paragraph" w:customStyle="1">
    <w:name w:val="Paragraph"/>
    <w:basedOn w:val="Paragraphnonumbers"/>
    <w:uiPriority w:val="4"/>
    <w:qFormat/>
    <w:rsid w:val="009849A3"/>
    <w:pPr>
      <w:numPr>
        <w:numId w:val="9"/>
      </w:numPr>
      <w:tabs>
        <w:tab w:val="left" w:pos="567"/>
      </w:tabs>
    </w:pPr>
  </w:style>
  <w:style w:type="paragraph" w:styleId="Bullets" w:customStyle="1">
    <w:name w:val="Bullets"/>
    <w:basedOn w:val="Normal"/>
    <w:uiPriority w:val="5"/>
    <w:qFormat/>
    <w:rsid w:val="009849A3"/>
    <w:pPr>
      <w:numPr>
        <w:numId w:val="16"/>
      </w:numPr>
      <w:spacing w:after="120" w:line="276" w:lineRule="auto"/>
    </w:pPr>
    <w:rPr>
      <w:rFonts w:ascii="Arial" w:hAnsi="Arial"/>
    </w:rPr>
  </w:style>
  <w:style w:type="paragraph" w:styleId="Subbullets" w:customStyle="1">
    <w:name w:val="Sub bullets"/>
    <w:basedOn w:val="Normal"/>
    <w:uiPriority w:val="6"/>
    <w:qFormat/>
    <w:rsid w:val="009849A3"/>
    <w:pPr>
      <w:numPr>
        <w:numId w:val="17"/>
      </w:numPr>
      <w:spacing w:after="120" w:line="276" w:lineRule="auto"/>
    </w:pPr>
    <w:rPr>
      <w:rFonts w:ascii="Arial" w:hAnsi="Arial"/>
    </w:rPr>
  </w:style>
  <w:style w:type="paragraph" w:styleId="Paragraphnonumbers" w:customStyle="1">
    <w:name w:val="Paragraph no numbers"/>
    <w:basedOn w:val="Normal"/>
    <w:uiPriority w:val="99"/>
    <w:qFormat/>
    <w:rsid w:val="009849A3"/>
    <w:pPr>
      <w:spacing w:after="240" w:line="276" w:lineRule="auto"/>
    </w:pPr>
    <w:rPr>
      <w:rFonts w:ascii="Arial" w:hAnsi="Arial"/>
    </w:rPr>
  </w:style>
  <w:style w:type="paragraph" w:styleId="TOAHeading">
    <w:name w:val="toa heading"/>
    <w:basedOn w:val="Normal"/>
    <w:next w:val="Normal"/>
    <w:semiHidden/>
    <w:rsid w:val="009849A3"/>
    <w:pPr>
      <w:spacing w:before="120"/>
    </w:pPr>
    <w:rPr>
      <w:rFonts w:ascii="Arial" w:hAnsi="Arial"/>
      <w:b/>
      <w:bCs/>
    </w:rPr>
  </w:style>
  <w:style w:type="paragraph" w:styleId="TOC4">
    <w:name w:val="toc 4"/>
    <w:basedOn w:val="Normal"/>
    <w:next w:val="Normal"/>
    <w:autoRedefine/>
    <w:semiHidden/>
    <w:rsid w:val="009849A3"/>
    <w:pPr>
      <w:ind w:left="720"/>
    </w:pPr>
    <w:rPr>
      <w:rFonts w:ascii="Arial" w:hAnsi="Arial"/>
    </w:rPr>
  </w:style>
  <w:style w:type="paragraph" w:styleId="Bulletindent1alast" w:customStyle="1">
    <w:name w:val="Bullet indent 1a last"/>
    <w:basedOn w:val="Bulletindent1last"/>
    <w:qFormat/>
    <w:rsid w:val="009849A3"/>
    <w:pPr>
      <w:ind w:left="2552"/>
    </w:pPr>
  </w:style>
  <w:style w:type="paragraph" w:styleId="Bulletindent2a" w:customStyle="1">
    <w:name w:val="Bullet indent 2a"/>
    <w:basedOn w:val="Normal"/>
    <w:qFormat/>
    <w:rsid w:val="009849A3"/>
    <w:pPr>
      <w:keepNext/>
      <w:tabs>
        <w:tab w:val="num" w:pos="1701"/>
      </w:tabs>
      <w:spacing w:line="360" w:lineRule="auto"/>
      <w:ind w:left="2836" w:hanging="284"/>
    </w:pPr>
    <w:rPr>
      <w:rFonts w:ascii="Arial" w:hAnsi="Arial"/>
    </w:rPr>
  </w:style>
  <w:style w:type="paragraph" w:styleId="Bulletindent1a" w:customStyle="1">
    <w:name w:val="Bullet indent 1a"/>
    <w:basedOn w:val="Bulletindent1"/>
    <w:qFormat/>
    <w:rsid w:val="009849A3"/>
    <w:pPr>
      <w:tabs>
        <w:tab w:val="num" w:pos="2552"/>
      </w:tabs>
      <w:ind w:left="2552"/>
    </w:pPr>
  </w:style>
  <w:style w:type="paragraph" w:styleId="Frontpagegreentitle" w:customStyle="1">
    <w:name w:val="Front page green title"/>
    <w:basedOn w:val="Normal"/>
    <w:rsid w:val="009849A3"/>
    <w:pPr>
      <w:jc w:val="center"/>
    </w:pPr>
    <w:rPr>
      <w:rFonts w:ascii="Arial" w:hAnsi="Arial" w:cs="Arial"/>
      <w:b/>
      <w:color w:val="009999"/>
      <w:sz w:val="64"/>
      <w:szCs w:val="64"/>
    </w:rPr>
  </w:style>
  <w:style w:type="paragraph" w:styleId="TOC5">
    <w:name w:val="toc 5"/>
    <w:basedOn w:val="Normal"/>
    <w:next w:val="Normal"/>
    <w:autoRedefine/>
    <w:semiHidden/>
    <w:unhideWhenUsed/>
    <w:rsid w:val="009849A3"/>
    <w:pPr>
      <w:spacing w:after="100" w:line="276" w:lineRule="auto"/>
      <w:ind w:left="880"/>
    </w:pPr>
  </w:style>
  <w:style w:type="paragraph" w:styleId="TOC6">
    <w:name w:val="toc 6"/>
    <w:basedOn w:val="Normal"/>
    <w:next w:val="Normal"/>
    <w:autoRedefine/>
    <w:semiHidden/>
    <w:unhideWhenUsed/>
    <w:rsid w:val="009849A3"/>
    <w:pPr>
      <w:spacing w:after="100" w:line="276" w:lineRule="auto"/>
      <w:ind w:left="1100"/>
    </w:pPr>
  </w:style>
  <w:style w:type="paragraph" w:styleId="TOC7">
    <w:name w:val="toc 7"/>
    <w:basedOn w:val="Normal"/>
    <w:next w:val="Normal"/>
    <w:autoRedefine/>
    <w:semiHidden/>
    <w:unhideWhenUsed/>
    <w:rsid w:val="009849A3"/>
    <w:pPr>
      <w:spacing w:after="100" w:line="276" w:lineRule="auto"/>
      <w:ind w:left="1320"/>
    </w:pPr>
  </w:style>
  <w:style w:type="paragraph" w:styleId="TOC8">
    <w:name w:val="toc 8"/>
    <w:basedOn w:val="Normal"/>
    <w:next w:val="Normal"/>
    <w:autoRedefine/>
    <w:semiHidden/>
    <w:unhideWhenUsed/>
    <w:rsid w:val="009849A3"/>
    <w:pPr>
      <w:spacing w:after="100" w:line="276" w:lineRule="auto"/>
      <w:ind w:left="1540"/>
    </w:pPr>
  </w:style>
  <w:style w:type="paragraph" w:styleId="TOC9">
    <w:name w:val="toc 9"/>
    <w:basedOn w:val="Normal"/>
    <w:next w:val="Normal"/>
    <w:autoRedefine/>
    <w:semiHidden/>
    <w:unhideWhenUsed/>
    <w:rsid w:val="009849A3"/>
    <w:pPr>
      <w:spacing w:after="100" w:line="276" w:lineRule="auto"/>
      <w:ind w:left="1760"/>
    </w:pPr>
  </w:style>
  <w:style w:type="paragraph" w:styleId="Question" w:customStyle="1">
    <w:name w:val="Question"/>
    <w:basedOn w:val="References"/>
    <w:qFormat/>
    <w:rsid w:val="009849A3"/>
    <w:pPr>
      <w:keepNext/>
      <w:numPr>
        <w:numId w:val="2"/>
      </w:numPr>
    </w:pPr>
    <w:rPr>
      <w:b/>
    </w:rPr>
  </w:style>
  <w:style w:type="paragraph" w:styleId="EndnoteText">
    <w:name w:val="endnote text"/>
    <w:basedOn w:val="Normal"/>
    <w:link w:val="EndnoteTextChar1"/>
    <w:semiHidden/>
    <w:unhideWhenUsed/>
    <w:rsid w:val="009849A3"/>
  </w:style>
  <w:style w:type="character" w:styleId="EndnoteTextChar" w:customStyle="1">
    <w:name w:val="Endnote Text Char"/>
    <w:semiHidden/>
    <w:rsid w:val="009849A3"/>
    <w:rPr>
      <w:rFonts w:ascii="Times New Roman" w:hAnsi="Times New Roman" w:eastAsia="Times New Roman"/>
    </w:rPr>
  </w:style>
  <w:style w:type="character" w:styleId="EndnoteReference">
    <w:name w:val="endnote reference"/>
    <w:semiHidden/>
    <w:unhideWhenUsed/>
    <w:rsid w:val="009849A3"/>
    <w:rPr>
      <w:vertAlign w:val="superscript"/>
    </w:rPr>
  </w:style>
  <w:style w:type="paragraph" w:styleId="Style4" w:customStyle="1">
    <w:name w:val="Style4"/>
    <w:basedOn w:val="Normal"/>
    <w:autoRedefine/>
    <w:rsid w:val="009849A3"/>
    <w:pPr>
      <w:keepNext/>
      <w:spacing w:line="360" w:lineRule="auto"/>
      <w:ind w:left="567"/>
    </w:pPr>
    <w:rPr>
      <w:rFonts w:ascii="Arial" w:hAnsi="Arial" w:cs="Arial"/>
    </w:rPr>
  </w:style>
  <w:style w:type="paragraph" w:styleId="Bodytextosteo" w:customStyle="1">
    <w:name w:val="Body text osteo"/>
    <w:basedOn w:val="BodyText"/>
    <w:autoRedefine/>
    <w:rsid w:val="009849A3"/>
    <w:pPr>
      <w:spacing w:after="0" w:line="360" w:lineRule="auto"/>
      <w:ind w:left="567"/>
    </w:pPr>
    <w:rPr>
      <w:rFonts w:ascii="Arial" w:hAnsi="Arial" w:cs="Arial"/>
    </w:rPr>
  </w:style>
  <w:style w:type="paragraph" w:styleId="BodyText">
    <w:name w:val="Body Text"/>
    <w:basedOn w:val="Normal"/>
    <w:link w:val="BodyTextChar"/>
    <w:rsid w:val="009849A3"/>
    <w:pPr>
      <w:spacing w:after="120"/>
    </w:pPr>
  </w:style>
  <w:style w:type="paragraph" w:styleId="bulletdoubleindent" w:customStyle="1">
    <w:name w:val="bullet double indent"/>
    <w:basedOn w:val="Normal"/>
    <w:autoRedefine/>
    <w:rsid w:val="009849A3"/>
    <w:pPr>
      <w:numPr>
        <w:numId w:val="3"/>
      </w:numPr>
      <w:spacing w:line="360" w:lineRule="auto"/>
    </w:pPr>
    <w:rPr>
      <w:rFonts w:ascii="Arial" w:hAnsi="Arial" w:eastAsia="Calibri"/>
    </w:rPr>
  </w:style>
  <w:style w:type="paragraph" w:styleId="bulletindentosteo" w:customStyle="1">
    <w:name w:val="bullet indent osteo"/>
    <w:basedOn w:val="Normal"/>
    <w:autoRedefine/>
    <w:rsid w:val="009849A3"/>
    <w:pPr>
      <w:numPr>
        <w:numId w:val="4"/>
      </w:numPr>
      <w:spacing w:line="360" w:lineRule="auto"/>
    </w:pPr>
    <w:rPr>
      <w:rFonts w:ascii="Arial" w:hAnsi="Arial" w:eastAsia="Calibri"/>
      <w:color w:val="000000"/>
    </w:rPr>
  </w:style>
  <w:style w:type="paragraph" w:styleId="bulletosteoporosis" w:customStyle="1">
    <w:name w:val="bullet osteoporosis"/>
    <w:basedOn w:val="Normal"/>
    <w:autoRedefine/>
    <w:rsid w:val="009849A3"/>
    <w:pPr>
      <w:numPr>
        <w:numId w:val="7"/>
      </w:numPr>
      <w:tabs>
        <w:tab w:val="left" w:pos="900"/>
      </w:tabs>
      <w:spacing w:line="360" w:lineRule="auto"/>
    </w:pPr>
    <w:rPr>
      <w:rFonts w:ascii="Arial" w:hAnsi="Arial" w:cs="Arial"/>
      <w:bCs/>
    </w:rPr>
  </w:style>
  <w:style w:type="paragraph" w:styleId="Subheading" w:customStyle="1">
    <w:name w:val="Sub heading"/>
    <w:basedOn w:val="Heading3"/>
    <w:autoRedefine/>
    <w:rsid w:val="009849A3"/>
    <w:pPr>
      <w:spacing w:after="0" w:line="360" w:lineRule="auto"/>
      <w:ind w:left="567"/>
    </w:pPr>
  </w:style>
  <w:style w:type="paragraph" w:styleId="subheadingosteo" w:customStyle="1">
    <w:name w:val="subheading osteo"/>
    <w:basedOn w:val="Heading6"/>
    <w:autoRedefine/>
    <w:rsid w:val="009849A3"/>
    <w:pPr>
      <w:keepNext/>
      <w:spacing w:line="360" w:lineRule="auto"/>
      <w:ind w:left="539"/>
    </w:pPr>
    <w:rPr>
      <w:rFonts w:ascii="Arial" w:hAnsi="Arial"/>
    </w:rPr>
  </w:style>
  <w:style w:type="paragraph" w:styleId="bulletdoubleindentosteo" w:customStyle="1">
    <w:name w:val="bullet double indent osteo"/>
    <w:basedOn w:val="bulletindentosteo"/>
    <w:autoRedefine/>
    <w:rsid w:val="009849A3"/>
    <w:pPr>
      <w:numPr>
        <w:numId w:val="5"/>
      </w:numPr>
    </w:pPr>
    <w:rPr>
      <w:rFonts w:eastAsia="Times New Roman"/>
      <w:lang w:eastAsia="en-GB"/>
    </w:rPr>
  </w:style>
  <w:style w:type="paragraph" w:styleId="ListBullet3">
    <w:name w:val="List Bullet 3"/>
    <w:basedOn w:val="Normal"/>
    <w:autoRedefine/>
    <w:rsid w:val="009849A3"/>
  </w:style>
  <w:style w:type="paragraph" w:styleId="Bulletosteotable" w:customStyle="1">
    <w:name w:val="Bullet osteo table"/>
    <w:basedOn w:val="bulletosteoporosis"/>
    <w:autoRedefine/>
    <w:rsid w:val="009849A3"/>
    <w:pPr>
      <w:numPr>
        <w:numId w:val="6"/>
      </w:numPr>
    </w:pPr>
  </w:style>
  <w:style w:type="paragraph" w:styleId="StyleHeading2Before0ptAfter0ptLinespacing15l" w:customStyle="1">
    <w:name w:val="Style Heading 2 + Before:  0 pt After:  0 pt Line spacing:  1.5 l..."/>
    <w:basedOn w:val="Heading2"/>
    <w:autoRedefine/>
    <w:rsid w:val="009849A3"/>
    <w:pPr>
      <w:spacing w:after="0" w:line="360" w:lineRule="auto"/>
    </w:pPr>
    <w:rPr>
      <w:szCs w:val="20"/>
      <w:lang w:val="en-US"/>
    </w:rPr>
  </w:style>
  <w:style w:type="paragraph" w:styleId="NCC-ACChaptertitle" w:customStyle="1">
    <w:name w:val="NCC-AC Chapter title"/>
    <w:basedOn w:val="Numberedheading1"/>
    <w:next w:val="Normal"/>
    <w:autoRedefine/>
    <w:rsid w:val="009849A3"/>
    <w:pPr>
      <w:tabs>
        <w:tab w:val="clear" w:pos="360"/>
        <w:tab w:val="left" w:pos="0"/>
      </w:tabs>
      <w:spacing w:after="0"/>
    </w:pPr>
    <w:rPr>
      <w:rFonts w:ascii="Tw Cen MT" w:hAnsi="Tw Cen MT"/>
      <w:sz w:val="36"/>
    </w:rPr>
  </w:style>
  <w:style w:type="paragraph" w:styleId="StyleNCC-ACChaptertitleArial18pt" w:customStyle="1">
    <w:name w:val="Style NCC-AC Chapter title + Arial 18 pt"/>
    <w:basedOn w:val="NCC-ACChaptertitle"/>
    <w:autoRedefine/>
    <w:rsid w:val="009849A3"/>
    <w:pPr>
      <w:tabs>
        <w:tab w:val="clear" w:pos="0"/>
        <w:tab w:val="left" w:pos="567"/>
        <w:tab w:val="num" w:pos="1134"/>
      </w:tabs>
      <w:spacing w:before="2160" w:after="600" w:line="360" w:lineRule="auto"/>
    </w:pPr>
    <w:rPr>
      <w:rFonts w:ascii="Arial" w:hAnsi="Arial"/>
      <w:szCs w:val="36"/>
    </w:rPr>
  </w:style>
  <w:style w:type="paragraph" w:styleId="Numberedheading4" w:customStyle="1">
    <w:name w:val="Numbered heading 4"/>
    <w:basedOn w:val="Heading4"/>
    <w:next w:val="Normal"/>
    <w:autoRedefine/>
    <w:rsid w:val="009849A3"/>
    <w:pPr>
      <w:numPr>
        <w:ilvl w:val="3"/>
        <w:numId w:val="8"/>
      </w:numPr>
    </w:pPr>
    <w:rPr>
      <w:b w:val="0"/>
    </w:rPr>
  </w:style>
  <w:style w:type="numbering" w:styleId="NiceNumbering" w:customStyle="1">
    <w:name w:val="Nice Numbering"/>
    <w:rsid w:val="009849A3"/>
    <w:pPr>
      <w:numPr>
        <w:numId w:val="8"/>
      </w:numPr>
    </w:pPr>
  </w:style>
  <w:style w:type="character" w:styleId="FootnoteTextChar1" w:customStyle="1">
    <w:name w:val="Footnote Text Char1"/>
    <w:link w:val="FootnoteText"/>
    <w:semiHidden/>
    <w:rsid w:val="009849A3"/>
    <w:rPr>
      <w:rFonts w:ascii="Arial" w:hAnsi="Arial"/>
      <w:kern w:val="2"/>
      <w:lang w:eastAsia="en-US"/>
      <w14:ligatures w14:val="standardContextual"/>
    </w:rPr>
  </w:style>
  <w:style w:type="table" w:styleId="TableGrid">
    <w:name w:val="Table Grid"/>
    <w:basedOn w:val="TableNormal"/>
    <w:rsid w:val="009849A3"/>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Frontpageguidanceno" w:customStyle="1">
    <w:name w:val="Front page guidance no"/>
    <w:basedOn w:val="Normal"/>
    <w:rsid w:val="009849A3"/>
    <w:rPr>
      <w:rFonts w:ascii="Arial" w:hAnsi="Arial" w:cs="Arial"/>
      <w:color w:val="FFFFFF"/>
      <w:sz w:val="32"/>
      <w:szCs w:val="32"/>
    </w:rPr>
  </w:style>
  <w:style w:type="paragraph" w:styleId="Default" w:customStyle="1">
    <w:name w:val="Default"/>
    <w:rsid w:val="009849A3"/>
    <w:pPr>
      <w:autoSpaceDE w:val="0"/>
      <w:autoSpaceDN w:val="0"/>
      <w:adjustRightInd w:val="0"/>
    </w:pPr>
    <w:rPr>
      <w:rFonts w:eastAsia="Times New Roman" w:cs="Calibri"/>
      <w:color w:val="000000"/>
    </w:rPr>
  </w:style>
  <w:style w:type="paragraph" w:styleId="PGDNormal" w:customStyle="1">
    <w:name w:val="PGD Normal"/>
    <w:basedOn w:val="NICEnormal"/>
    <w:rsid w:val="009849A3"/>
    <w:pPr>
      <w:spacing w:line="240" w:lineRule="auto"/>
    </w:pPr>
    <w:rPr>
      <w:sz w:val="22"/>
    </w:rPr>
  </w:style>
  <w:style w:type="paragraph" w:styleId="TabletextIPoverviewevidence" w:customStyle="1">
    <w:name w:val="Table text IP overview evidence"/>
    <w:basedOn w:val="Tabletext"/>
    <w:rsid w:val="009849A3"/>
    <w:rPr>
      <w:sz w:val="18"/>
    </w:rPr>
  </w:style>
  <w:style w:type="character" w:styleId="Heading5Char" w:customStyle="1">
    <w:name w:val="Heading 5 Char"/>
    <w:link w:val="Heading5"/>
    <w:uiPriority w:val="9"/>
    <w:rsid w:val="009849A3"/>
    <w:rPr>
      <w:rFonts w:ascii="Cambria" w:hAnsi="Cambria" w:eastAsiaTheme="minorHAnsi"/>
      <w:b/>
      <w:bCs/>
      <w:color w:val="7F7F7F"/>
      <w:kern w:val="2"/>
      <w:lang w:eastAsia="en-US"/>
      <w14:ligatures w14:val="standardContextual"/>
    </w:rPr>
  </w:style>
  <w:style w:type="character" w:styleId="Heading7Char" w:customStyle="1">
    <w:name w:val="Heading 7 Char"/>
    <w:link w:val="Heading7"/>
    <w:uiPriority w:val="9"/>
    <w:rsid w:val="009849A3"/>
    <w:rPr>
      <w:rFonts w:ascii="Cambria" w:hAnsi="Cambria" w:eastAsiaTheme="minorHAnsi"/>
      <w:i/>
      <w:iCs/>
      <w:kern w:val="2"/>
      <w:lang w:eastAsia="en-US"/>
      <w14:ligatures w14:val="standardContextual"/>
    </w:rPr>
  </w:style>
  <w:style w:type="character" w:styleId="Heading8Char" w:customStyle="1">
    <w:name w:val="Heading 8 Char"/>
    <w:link w:val="Heading8"/>
    <w:uiPriority w:val="9"/>
    <w:rsid w:val="009849A3"/>
    <w:rPr>
      <w:rFonts w:ascii="Cambria" w:hAnsi="Cambria" w:eastAsiaTheme="minorHAnsi"/>
      <w:kern w:val="2"/>
      <w:lang w:eastAsia="en-US"/>
      <w14:ligatures w14:val="standardContextual"/>
    </w:rPr>
  </w:style>
  <w:style w:type="character" w:styleId="Heading9Char" w:customStyle="1">
    <w:name w:val="Heading 9 Char"/>
    <w:link w:val="Heading9"/>
    <w:uiPriority w:val="9"/>
    <w:rsid w:val="009849A3"/>
    <w:rPr>
      <w:rFonts w:ascii="Cambria" w:hAnsi="Cambria" w:eastAsiaTheme="minorHAnsi"/>
      <w:i/>
      <w:iCs/>
      <w:spacing w:val="5"/>
      <w:kern w:val="2"/>
      <w:lang w:eastAsia="en-US"/>
      <w14:ligatures w14:val="standardContextual"/>
    </w:rPr>
  </w:style>
  <w:style w:type="character" w:styleId="Heading6Char" w:customStyle="1">
    <w:name w:val="Heading 6 Char"/>
    <w:link w:val="Heading6"/>
    <w:uiPriority w:val="9"/>
    <w:rsid w:val="009849A3"/>
    <w:rPr>
      <w:rFonts w:ascii="Cambria" w:hAnsi="Cambria" w:eastAsiaTheme="minorHAnsi"/>
      <w:b/>
      <w:bCs/>
      <w:i/>
      <w:iCs/>
      <w:color w:val="7F7F7F"/>
      <w:kern w:val="2"/>
      <w:lang w:eastAsia="en-US"/>
      <w14:ligatures w14:val="standardContextual"/>
    </w:rPr>
  </w:style>
  <w:style w:type="paragraph" w:styleId="Subtitle">
    <w:name w:val="Subtitle"/>
    <w:basedOn w:val="Normal"/>
    <w:next w:val="Normal"/>
    <w:link w:val="SubtitleChar"/>
    <w:uiPriority w:val="11"/>
    <w:qFormat/>
    <w:rsid w:val="009849A3"/>
    <w:pPr>
      <w:spacing w:after="600"/>
    </w:pPr>
    <w:rPr>
      <w:rFonts w:ascii="Cambria" w:hAnsi="Cambria"/>
      <w:i/>
      <w:iCs/>
      <w:spacing w:val="13"/>
    </w:rPr>
  </w:style>
  <w:style w:type="character" w:styleId="SubtitleChar" w:customStyle="1">
    <w:name w:val="Subtitle Char"/>
    <w:link w:val="Subtitle"/>
    <w:uiPriority w:val="11"/>
    <w:rsid w:val="009849A3"/>
    <w:rPr>
      <w:rFonts w:ascii="Cambria" w:hAnsi="Cambria" w:eastAsiaTheme="minorHAnsi"/>
      <w:i/>
      <w:iCs/>
      <w:spacing w:val="13"/>
      <w:kern w:val="2"/>
      <w:lang w:eastAsia="en-US"/>
      <w14:ligatures w14:val="standardContextual"/>
    </w:rPr>
  </w:style>
  <w:style w:type="character" w:styleId="Strong">
    <w:name w:val="Strong"/>
    <w:uiPriority w:val="22"/>
    <w:qFormat/>
    <w:rsid w:val="009849A3"/>
    <w:rPr>
      <w:b/>
      <w:bCs/>
    </w:rPr>
  </w:style>
  <w:style w:type="character" w:styleId="Emphasis">
    <w:name w:val="Emphasis"/>
    <w:uiPriority w:val="20"/>
    <w:qFormat/>
    <w:rsid w:val="009849A3"/>
    <w:rPr>
      <w:b/>
      <w:bCs/>
      <w:i/>
      <w:iCs/>
      <w:spacing w:val="10"/>
      <w:bdr w:val="none" w:color="auto" w:sz="0" w:space="0"/>
      <w:shd w:val="clear" w:color="auto" w:fill="auto"/>
    </w:rPr>
  </w:style>
  <w:style w:type="paragraph" w:styleId="NoSpacing">
    <w:name w:val="No Spacing"/>
    <w:basedOn w:val="Normal"/>
    <w:uiPriority w:val="1"/>
    <w:qFormat/>
    <w:rsid w:val="009849A3"/>
    <w:rPr>
      <w:rFonts w:eastAsia="Calibri"/>
    </w:rPr>
  </w:style>
  <w:style w:type="paragraph" w:styleId="Quote">
    <w:name w:val="Quote"/>
    <w:basedOn w:val="Normal"/>
    <w:next w:val="Normal"/>
    <w:link w:val="QuoteChar"/>
    <w:uiPriority w:val="29"/>
    <w:qFormat/>
    <w:rsid w:val="009849A3"/>
    <w:pPr>
      <w:spacing w:before="200"/>
      <w:ind w:left="360" w:right="360"/>
    </w:pPr>
    <w:rPr>
      <w:i/>
      <w:iCs/>
    </w:rPr>
  </w:style>
  <w:style w:type="character" w:styleId="QuoteChar" w:customStyle="1">
    <w:name w:val="Quote Char"/>
    <w:link w:val="Quote"/>
    <w:uiPriority w:val="29"/>
    <w:rsid w:val="009849A3"/>
    <w:rPr>
      <w:rFonts w:eastAsiaTheme="minorHAnsi"/>
      <w:i/>
      <w:iCs/>
      <w:kern w:val="2"/>
      <w:lang w:eastAsia="en-US"/>
      <w14:ligatures w14:val="standardContextual"/>
    </w:rPr>
  </w:style>
  <w:style w:type="paragraph" w:styleId="IntenseQuote">
    <w:name w:val="Intense Quote"/>
    <w:basedOn w:val="Normal"/>
    <w:next w:val="Normal"/>
    <w:link w:val="IntenseQuoteChar"/>
    <w:uiPriority w:val="30"/>
    <w:qFormat/>
    <w:rsid w:val="009849A3"/>
    <w:pPr>
      <w:pBdr>
        <w:bottom w:val="single" w:color="auto" w:sz="4" w:space="1"/>
      </w:pBdr>
      <w:spacing w:before="200" w:after="280"/>
      <w:ind w:left="1008" w:right="1152"/>
      <w:jc w:val="both"/>
    </w:pPr>
    <w:rPr>
      <w:b/>
      <w:bCs/>
      <w:i/>
      <w:iCs/>
    </w:rPr>
  </w:style>
  <w:style w:type="character" w:styleId="IntenseQuoteChar" w:customStyle="1">
    <w:name w:val="Intense Quote Char"/>
    <w:link w:val="IntenseQuote"/>
    <w:uiPriority w:val="30"/>
    <w:rsid w:val="009849A3"/>
    <w:rPr>
      <w:rFonts w:eastAsiaTheme="minorHAnsi"/>
      <w:b/>
      <w:bCs/>
      <w:i/>
      <w:iCs/>
      <w:kern w:val="2"/>
      <w:lang w:eastAsia="en-US"/>
      <w14:ligatures w14:val="standardContextual"/>
    </w:rPr>
  </w:style>
  <w:style w:type="character" w:styleId="SubtleEmphasis">
    <w:name w:val="Subtle Emphasis"/>
    <w:uiPriority w:val="19"/>
    <w:qFormat/>
    <w:rsid w:val="009849A3"/>
    <w:rPr>
      <w:i/>
      <w:iCs/>
    </w:rPr>
  </w:style>
  <w:style w:type="character" w:styleId="IntenseEmphasis">
    <w:name w:val="Intense Emphasis"/>
    <w:uiPriority w:val="21"/>
    <w:qFormat/>
    <w:rsid w:val="009849A3"/>
    <w:rPr>
      <w:b/>
      <w:bCs/>
    </w:rPr>
  </w:style>
  <w:style w:type="character" w:styleId="SubtleReference">
    <w:name w:val="Subtle Reference"/>
    <w:uiPriority w:val="31"/>
    <w:qFormat/>
    <w:rsid w:val="009849A3"/>
    <w:rPr>
      <w:smallCaps/>
    </w:rPr>
  </w:style>
  <w:style w:type="character" w:styleId="IntenseReference">
    <w:name w:val="Intense Reference"/>
    <w:uiPriority w:val="32"/>
    <w:qFormat/>
    <w:rsid w:val="009849A3"/>
    <w:rPr>
      <w:smallCaps/>
      <w:spacing w:val="5"/>
      <w:u w:val="single"/>
    </w:rPr>
  </w:style>
  <w:style w:type="character" w:styleId="BookTitle">
    <w:name w:val="Book Title"/>
    <w:uiPriority w:val="33"/>
    <w:qFormat/>
    <w:rsid w:val="009849A3"/>
    <w:rPr>
      <w:i/>
      <w:iCs/>
      <w:smallCaps/>
      <w:spacing w:val="5"/>
    </w:rPr>
  </w:style>
  <w:style w:type="paragraph" w:styleId="NICETitle2" w:customStyle="1">
    <w:name w:val="NICE Title 2"/>
    <w:basedOn w:val="Normal"/>
    <w:qFormat/>
    <w:rsid w:val="009849A3"/>
    <w:pPr>
      <w:keepNext/>
      <w:spacing w:before="240" w:after="240"/>
      <w:jc w:val="center"/>
      <w:outlineLvl w:val="0"/>
    </w:pPr>
    <w:rPr>
      <w:rFonts w:ascii="Arial" w:hAnsi="Arial" w:cs="Arial"/>
      <w:b/>
      <w:bCs/>
      <w:color w:val="282828"/>
      <w:kern w:val="28"/>
      <w:sz w:val="32"/>
      <w:szCs w:val="32"/>
    </w:rPr>
  </w:style>
  <w:style w:type="character" w:styleId="acicollapsed1" w:customStyle="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9849A3"/>
    <w:pPr>
      <w:spacing w:after="120" w:line="480" w:lineRule="auto"/>
    </w:pPr>
  </w:style>
  <w:style w:type="character" w:styleId="BodyText2Char" w:customStyle="1">
    <w:name w:val="Body Text 2 Char"/>
    <w:link w:val="BodyText2"/>
    <w:uiPriority w:val="99"/>
    <w:semiHidden/>
    <w:rsid w:val="009849A3"/>
    <w:rPr>
      <w:rFonts w:eastAsiaTheme="minorHAnsi"/>
      <w:kern w:val="2"/>
      <w:lang w:eastAsia="en-US"/>
      <w14:ligatures w14:val="standardContextual"/>
    </w:rPr>
  </w:style>
  <w:style w:type="character" w:styleId="UnresolvedMention">
    <w:name w:val="Unresolved Mention"/>
    <w:uiPriority w:val="99"/>
    <w:semiHidden/>
    <w:unhideWhenUsed/>
    <w:rsid w:val="009849A3"/>
    <w:rPr>
      <w:color w:val="605E5C"/>
      <w:shd w:val="clear" w:color="auto" w:fill="E1DFDD"/>
    </w:rPr>
  </w:style>
  <w:style w:type="paragraph" w:styleId="PGDTitle2" w:customStyle="1">
    <w:name w:val="PGD Title 2"/>
    <w:basedOn w:val="Normal"/>
    <w:rsid w:val="009849A3"/>
    <w:pPr>
      <w:jc w:val="center"/>
    </w:pPr>
    <w:rPr>
      <w:rFonts w:ascii="Arial" w:hAnsi="Arial"/>
      <w:b/>
      <w:sz w:val="36"/>
      <w:szCs w:val="36"/>
    </w:rPr>
  </w:style>
  <w:style w:type="paragraph" w:styleId="PGDTitle1" w:customStyle="1">
    <w:name w:val="PGD Title 1"/>
    <w:basedOn w:val="Normal"/>
    <w:rsid w:val="009849A3"/>
    <w:pPr>
      <w:jc w:val="center"/>
    </w:pPr>
    <w:rPr>
      <w:rFonts w:ascii="Arial" w:hAnsi="Arial"/>
      <w:b/>
      <w:bCs/>
      <w:sz w:val="44"/>
    </w:rPr>
  </w:style>
  <w:style w:type="character" w:styleId="PGDVersionNumber" w:customStyle="1">
    <w:name w:val="PGD Version Number"/>
    <w:basedOn w:val="DefaultParagraphFont"/>
    <w:qFormat/>
    <w:rsid w:val="009849A3"/>
    <w:rPr>
      <w:rFonts w:ascii="Arial" w:hAnsi="Arial"/>
      <w:sz w:val="28"/>
    </w:rPr>
  </w:style>
  <w:style w:type="paragraph" w:styleId="TableHeaderRow" w:customStyle="1">
    <w:name w:val="Table Header Row"/>
    <w:basedOn w:val="Normal"/>
    <w:rsid w:val="009849A3"/>
    <w:rPr>
      <w:rFonts w:ascii="Arial" w:hAnsi="Arial"/>
      <w:b/>
      <w:bCs/>
    </w:rPr>
  </w:style>
  <w:style w:type="character" w:styleId="PGDNormalBold" w:customStyle="1">
    <w:name w:val="PGD Normal Bold"/>
    <w:basedOn w:val="DefaultParagraphFont"/>
    <w:rsid w:val="009849A3"/>
    <w:rPr>
      <w:rFonts w:ascii="Arial" w:hAnsi="Arial"/>
      <w:b/>
      <w:bCs/>
    </w:rPr>
  </w:style>
  <w:style w:type="character" w:styleId="TableHeaderColumn" w:customStyle="1">
    <w:name w:val="Table Header Column"/>
    <w:basedOn w:val="DefaultParagraphFont"/>
    <w:rsid w:val="009849A3"/>
    <w:rPr>
      <w:rFonts w:ascii="Arial" w:hAnsi="Arial"/>
      <w:b/>
      <w:bCs/>
      <w:sz w:val="20"/>
    </w:rPr>
  </w:style>
  <w:style w:type="paragraph" w:styleId="Title1" w:customStyle="1">
    <w:name w:val="Title 1"/>
    <w:basedOn w:val="Title"/>
    <w:qFormat/>
    <w:rsid w:val="009849A3"/>
    <w:rPr>
      <w:rFonts w:ascii="Arial" w:hAnsi="Arial" w:cs="Arial"/>
      <w:sz w:val="44"/>
      <w:szCs w:val="44"/>
    </w:rPr>
  </w:style>
  <w:style w:type="paragraph" w:styleId="Title2" w:customStyle="1">
    <w:name w:val="Title 2"/>
    <w:basedOn w:val="Title"/>
    <w:qFormat/>
    <w:rsid w:val="009849A3"/>
    <w:rPr>
      <w:rFonts w:ascii="Arial" w:hAnsi="Arial" w:cs="Arial"/>
      <w:sz w:val="40"/>
      <w:szCs w:val="40"/>
    </w:rPr>
  </w:style>
  <w:style w:type="paragraph" w:styleId="PGDHeading2" w:customStyle="1">
    <w:name w:val="PGD Heading 2"/>
    <w:basedOn w:val="Heading2"/>
    <w:qFormat/>
    <w:rsid w:val="009849A3"/>
    <w:rPr>
      <w:rFonts w:ascii="Arial" w:hAnsi="Arial" w:cs="Arial"/>
      <w:color w:val="auto"/>
      <w:sz w:val="28"/>
      <w:szCs w:val="28"/>
    </w:rPr>
  </w:style>
  <w:style w:type="table" w:styleId="Tableheading" w:customStyle="1">
    <w:name w:val="Table heading"/>
    <w:basedOn w:val="TableNormal"/>
    <w:uiPriority w:val="99"/>
    <w:rsid w:val="009849A3"/>
    <w:rPr>
      <w:rFonts w:ascii="Arial" w:hAnsi="Arial" w:eastAsiaTheme="minorHAnsi"/>
      <w:b/>
      <w:color w:val="000000" w:themeColor="text1"/>
      <w:kern w:val="2"/>
      <w:szCs w:val="22"/>
      <w:lang w:eastAsia="en-US"/>
      <w14:ligatures w14:val="standardContextual"/>
    </w:rPr>
    <w:tblPr/>
    <w:tcPr>
      <w:shd w:val="clear" w:color="auto" w:fill="FFFFFF" w:themeFill="background1"/>
    </w:tcPr>
    <w:tblStylePr w:type="firstRow">
      <w:rPr>
        <w:rFonts w:ascii="Arial" w:hAnsi="Arial"/>
        <w:b/>
        <w:sz w:val="24"/>
      </w:rPr>
    </w:tblStylePr>
  </w:style>
  <w:style w:type="paragraph" w:styleId="NICEnormalsinglespacing" w:customStyle="1">
    <w:name w:val="NICE normal single spacing"/>
    <w:basedOn w:val="NICEnormal"/>
    <w:rsid w:val="009849A3"/>
    <w:pPr>
      <w:spacing w:line="240" w:lineRule="auto"/>
    </w:pPr>
  </w:style>
  <w:style w:type="paragraph" w:styleId="PGDtablebullet0" w:customStyle="1">
    <w:name w:val="PGD table bullet"/>
    <w:basedOn w:val="Normal"/>
    <w:rsid w:val="009849A3"/>
    <w:rPr>
      <w:rFonts w:ascii="Arial" w:hAnsi="Arial" w:eastAsia="Times New Roman"/>
    </w:rPr>
  </w:style>
  <w:style w:type="numbering" w:styleId="PGDTableBullet" w:customStyle="1">
    <w:name w:val="PGD Table Bullet"/>
    <w:basedOn w:val="NoList"/>
    <w:uiPriority w:val="99"/>
    <w:rsid w:val="009849A3"/>
    <w:pPr>
      <w:numPr>
        <w:numId w:val="10"/>
      </w:numPr>
    </w:pPr>
  </w:style>
  <w:style w:type="paragraph" w:styleId="StyleLatinArialAfter0ptLinespacingsingle" w:customStyle="1">
    <w:name w:val="Style (Latin) Arial After:  0 pt Line spacing:  single"/>
    <w:basedOn w:val="Normal"/>
    <w:rsid w:val="009849A3"/>
    <w:rPr>
      <w:rFonts w:ascii="Arial" w:hAnsi="Arial" w:eastAsia="Times New Roman"/>
    </w:rPr>
  </w:style>
  <w:style w:type="paragraph" w:styleId="PGDlogo" w:customStyle="1">
    <w:name w:val="PGD logo"/>
    <w:basedOn w:val="NICEnormal"/>
    <w:rsid w:val="009849A3"/>
    <w:pPr>
      <w:jc w:val="right"/>
    </w:pPr>
  </w:style>
  <w:style w:type="paragraph" w:styleId="PGDLogo0" w:customStyle="1">
    <w:name w:val="PGD Logo"/>
    <w:basedOn w:val="PGDNormal"/>
    <w:rsid w:val="009849A3"/>
    <w:pPr>
      <w:jc w:val="right"/>
    </w:pPr>
  </w:style>
  <w:style w:type="paragraph" w:styleId="PGDVersion" w:customStyle="1">
    <w:name w:val="PGD Version"/>
    <w:basedOn w:val="Normal"/>
    <w:rsid w:val="009849A3"/>
    <w:pPr>
      <w:jc w:val="center"/>
    </w:pPr>
    <w:rPr>
      <w:rFonts w:ascii="Arial" w:hAnsi="Arial" w:eastAsia="Times New Roman"/>
      <w:sz w:val="28"/>
    </w:rPr>
  </w:style>
  <w:style w:type="numbering" w:styleId="PGDtablebullet2" w:customStyle="1">
    <w:name w:val="PGD table bullet 2"/>
    <w:basedOn w:val="NoList"/>
    <w:rsid w:val="009849A3"/>
    <w:pPr>
      <w:numPr>
        <w:numId w:val="12"/>
      </w:numPr>
    </w:pPr>
  </w:style>
  <w:style w:type="numbering" w:styleId="PGDbullet2" w:customStyle="1">
    <w:name w:val="PGD bullet 2"/>
    <w:basedOn w:val="NoList"/>
    <w:rsid w:val="009849A3"/>
    <w:pPr>
      <w:numPr>
        <w:numId w:val="13"/>
      </w:numPr>
    </w:pPr>
  </w:style>
  <w:style w:type="numbering" w:styleId="PGDtablebullet1" w:customStyle="1">
    <w:name w:val="PGD table bullet 1"/>
    <w:basedOn w:val="NoList"/>
    <w:rsid w:val="009849A3"/>
    <w:pPr>
      <w:numPr>
        <w:numId w:val="14"/>
      </w:numPr>
    </w:pPr>
  </w:style>
  <w:style w:type="character" w:styleId="BodyTextChar" w:customStyle="1">
    <w:name w:val="Body Text Char"/>
    <w:basedOn w:val="DefaultParagraphFont"/>
    <w:link w:val="BodyText"/>
    <w:rsid w:val="009849A3"/>
    <w:rPr>
      <w:rFonts w:eastAsiaTheme="minorHAnsi"/>
      <w:kern w:val="2"/>
      <w:lang w:eastAsia="en-US"/>
      <w14:ligatures w14:val="standardContextual"/>
    </w:rPr>
  </w:style>
  <w:style w:type="character" w:styleId="CommentTextChar1" w:customStyle="1">
    <w:name w:val="Comment Text Char1"/>
    <w:basedOn w:val="DefaultParagraphFont"/>
    <w:link w:val="CommentText"/>
    <w:uiPriority w:val="99"/>
    <w:rsid w:val="009849A3"/>
    <w:rPr>
      <w:rFonts w:eastAsiaTheme="minorHAnsi"/>
      <w:kern w:val="2"/>
      <w:lang w:eastAsia="en-US"/>
      <w14:ligatures w14:val="standardContextual"/>
    </w:rPr>
  </w:style>
  <w:style w:type="character" w:styleId="EndnoteTextChar1" w:customStyle="1">
    <w:name w:val="Endnote Text Char1"/>
    <w:basedOn w:val="DefaultParagraphFont"/>
    <w:link w:val="EndnoteText"/>
    <w:semiHidden/>
    <w:rsid w:val="009849A3"/>
    <w:rPr>
      <w:rFonts w:eastAsiaTheme="minorHAnsi"/>
      <w:kern w:val="2"/>
      <w:lang w:eastAsia="en-US"/>
      <w14:ligatures w14:val="standardContextual"/>
    </w:rPr>
  </w:style>
  <w:style w:type="character" w:styleId="CommentSubjectChar1" w:customStyle="1">
    <w:name w:val="Comment Subject Char1"/>
    <w:basedOn w:val="CommentTextChar1"/>
    <w:link w:val="CommentSubject"/>
    <w:semiHidden/>
    <w:rsid w:val="009849A3"/>
    <w:rPr>
      <w:rFonts w:eastAsiaTheme="minorHAnsi"/>
      <w:b/>
      <w:bCs/>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126437074">
      <w:bodyDiv w:val="1"/>
      <w:marLeft w:val="0"/>
      <w:marRight w:val="0"/>
      <w:marTop w:val="0"/>
      <w:marBottom w:val="0"/>
      <w:divBdr>
        <w:top w:val="none" w:sz="0" w:space="0" w:color="auto"/>
        <w:left w:val="none" w:sz="0" w:space="0" w:color="auto"/>
        <w:bottom w:val="none" w:sz="0" w:space="0" w:color="auto"/>
        <w:right w:val="none" w:sz="0" w:space="0" w:color="auto"/>
      </w:divBdr>
    </w:div>
    <w:div w:id="145902241">
      <w:bodyDiv w:val="1"/>
      <w:marLeft w:val="0"/>
      <w:marRight w:val="0"/>
      <w:marTop w:val="0"/>
      <w:marBottom w:val="0"/>
      <w:divBdr>
        <w:top w:val="none" w:sz="0" w:space="0" w:color="auto"/>
        <w:left w:val="none" w:sz="0" w:space="0" w:color="auto"/>
        <w:bottom w:val="none" w:sz="0" w:space="0" w:color="auto"/>
        <w:right w:val="none" w:sz="0" w:space="0" w:color="auto"/>
      </w:divBdr>
    </w:div>
    <w:div w:id="216596777">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281765762">
      <w:bodyDiv w:val="1"/>
      <w:marLeft w:val="0"/>
      <w:marRight w:val="0"/>
      <w:marTop w:val="0"/>
      <w:marBottom w:val="0"/>
      <w:divBdr>
        <w:top w:val="none" w:sz="0" w:space="0" w:color="auto"/>
        <w:left w:val="none" w:sz="0" w:space="0" w:color="auto"/>
        <w:bottom w:val="none" w:sz="0" w:space="0" w:color="auto"/>
        <w:right w:val="none" w:sz="0" w:space="0" w:color="auto"/>
      </w:divBdr>
    </w:div>
    <w:div w:id="304824552">
      <w:bodyDiv w:val="1"/>
      <w:marLeft w:val="0"/>
      <w:marRight w:val="0"/>
      <w:marTop w:val="0"/>
      <w:marBottom w:val="0"/>
      <w:divBdr>
        <w:top w:val="none" w:sz="0" w:space="0" w:color="auto"/>
        <w:left w:val="none" w:sz="0" w:space="0" w:color="auto"/>
        <w:bottom w:val="none" w:sz="0" w:space="0" w:color="auto"/>
        <w:right w:val="none" w:sz="0" w:space="0" w:color="auto"/>
      </w:divBdr>
    </w:div>
    <w:div w:id="317732247">
      <w:bodyDiv w:val="1"/>
      <w:marLeft w:val="0"/>
      <w:marRight w:val="0"/>
      <w:marTop w:val="0"/>
      <w:marBottom w:val="0"/>
      <w:divBdr>
        <w:top w:val="none" w:sz="0" w:space="0" w:color="auto"/>
        <w:left w:val="none" w:sz="0" w:space="0" w:color="auto"/>
        <w:bottom w:val="none" w:sz="0" w:space="0" w:color="auto"/>
        <w:right w:val="none" w:sz="0" w:space="0" w:color="auto"/>
      </w:divBdr>
    </w:div>
    <w:div w:id="331949850">
      <w:bodyDiv w:val="1"/>
      <w:marLeft w:val="0"/>
      <w:marRight w:val="0"/>
      <w:marTop w:val="0"/>
      <w:marBottom w:val="0"/>
      <w:divBdr>
        <w:top w:val="none" w:sz="0" w:space="0" w:color="auto"/>
        <w:left w:val="none" w:sz="0" w:space="0" w:color="auto"/>
        <w:bottom w:val="none" w:sz="0" w:space="0" w:color="auto"/>
        <w:right w:val="none" w:sz="0" w:space="0" w:color="auto"/>
      </w:divBdr>
    </w:div>
    <w:div w:id="416172745">
      <w:bodyDiv w:val="1"/>
      <w:marLeft w:val="0"/>
      <w:marRight w:val="0"/>
      <w:marTop w:val="0"/>
      <w:marBottom w:val="0"/>
      <w:divBdr>
        <w:top w:val="none" w:sz="0" w:space="0" w:color="auto"/>
        <w:left w:val="none" w:sz="0" w:space="0" w:color="auto"/>
        <w:bottom w:val="none" w:sz="0" w:space="0" w:color="auto"/>
        <w:right w:val="none" w:sz="0" w:space="0" w:color="auto"/>
      </w:divBdr>
    </w:div>
    <w:div w:id="437678408">
      <w:bodyDiv w:val="1"/>
      <w:marLeft w:val="0"/>
      <w:marRight w:val="0"/>
      <w:marTop w:val="0"/>
      <w:marBottom w:val="0"/>
      <w:divBdr>
        <w:top w:val="none" w:sz="0" w:space="0" w:color="auto"/>
        <w:left w:val="none" w:sz="0" w:space="0" w:color="auto"/>
        <w:bottom w:val="none" w:sz="0" w:space="0" w:color="auto"/>
        <w:right w:val="none" w:sz="0" w:space="0" w:color="auto"/>
      </w:divBdr>
    </w:div>
    <w:div w:id="439642201">
      <w:bodyDiv w:val="1"/>
      <w:marLeft w:val="0"/>
      <w:marRight w:val="0"/>
      <w:marTop w:val="0"/>
      <w:marBottom w:val="0"/>
      <w:divBdr>
        <w:top w:val="none" w:sz="0" w:space="0" w:color="auto"/>
        <w:left w:val="none" w:sz="0" w:space="0" w:color="auto"/>
        <w:bottom w:val="none" w:sz="0" w:space="0" w:color="auto"/>
        <w:right w:val="none" w:sz="0" w:space="0" w:color="auto"/>
      </w:divBdr>
    </w:div>
    <w:div w:id="515582029">
      <w:bodyDiv w:val="1"/>
      <w:marLeft w:val="0"/>
      <w:marRight w:val="0"/>
      <w:marTop w:val="0"/>
      <w:marBottom w:val="0"/>
      <w:divBdr>
        <w:top w:val="none" w:sz="0" w:space="0" w:color="auto"/>
        <w:left w:val="none" w:sz="0" w:space="0" w:color="auto"/>
        <w:bottom w:val="none" w:sz="0" w:space="0" w:color="auto"/>
        <w:right w:val="none" w:sz="0" w:space="0" w:color="auto"/>
      </w:divBdr>
    </w:div>
    <w:div w:id="569465316">
      <w:bodyDiv w:val="1"/>
      <w:marLeft w:val="0"/>
      <w:marRight w:val="0"/>
      <w:marTop w:val="0"/>
      <w:marBottom w:val="0"/>
      <w:divBdr>
        <w:top w:val="none" w:sz="0" w:space="0" w:color="auto"/>
        <w:left w:val="none" w:sz="0" w:space="0" w:color="auto"/>
        <w:bottom w:val="none" w:sz="0" w:space="0" w:color="auto"/>
        <w:right w:val="none" w:sz="0" w:space="0" w:color="auto"/>
      </w:divBdr>
    </w:div>
    <w:div w:id="578635284">
      <w:bodyDiv w:val="1"/>
      <w:marLeft w:val="0"/>
      <w:marRight w:val="0"/>
      <w:marTop w:val="0"/>
      <w:marBottom w:val="0"/>
      <w:divBdr>
        <w:top w:val="none" w:sz="0" w:space="0" w:color="auto"/>
        <w:left w:val="none" w:sz="0" w:space="0" w:color="auto"/>
        <w:bottom w:val="none" w:sz="0" w:space="0" w:color="auto"/>
        <w:right w:val="none" w:sz="0" w:space="0" w:color="auto"/>
      </w:divBdr>
    </w:div>
    <w:div w:id="631710757">
      <w:bodyDiv w:val="1"/>
      <w:marLeft w:val="0"/>
      <w:marRight w:val="0"/>
      <w:marTop w:val="0"/>
      <w:marBottom w:val="0"/>
      <w:divBdr>
        <w:top w:val="none" w:sz="0" w:space="0" w:color="auto"/>
        <w:left w:val="none" w:sz="0" w:space="0" w:color="auto"/>
        <w:bottom w:val="none" w:sz="0" w:space="0" w:color="auto"/>
        <w:right w:val="none" w:sz="0" w:space="0" w:color="auto"/>
      </w:divBdr>
    </w:div>
    <w:div w:id="673341392">
      <w:bodyDiv w:val="1"/>
      <w:marLeft w:val="0"/>
      <w:marRight w:val="0"/>
      <w:marTop w:val="0"/>
      <w:marBottom w:val="0"/>
      <w:divBdr>
        <w:top w:val="none" w:sz="0" w:space="0" w:color="auto"/>
        <w:left w:val="none" w:sz="0" w:space="0" w:color="auto"/>
        <w:bottom w:val="none" w:sz="0" w:space="0" w:color="auto"/>
        <w:right w:val="none" w:sz="0" w:space="0" w:color="auto"/>
      </w:divBdr>
    </w:div>
    <w:div w:id="693267274">
      <w:bodyDiv w:val="1"/>
      <w:marLeft w:val="0"/>
      <w:marRight w:val="0"/>
      <w:marTop w:val="0"/>
      <w:marBottom w:val="0"/>
      <w:divBdr>
        <w:top w:val="none" w:sz="0" w:space="0" w:color="auto"/>
        <w:left w:val="none" w:sz="0" w:space="0" w:color="auto"/>
        <w:bottom w:val="none" w:sz="0" w:space="0" w:color="auto"/>
        <w:right w:val="none" w:sz="0" w:space="0" w:color="auto"/>
      </w:divBdr>
    </w:div>
    <w:div w:id="966815349">
      <w:bodyDiv w:val="1"/>
      <w:marLeft w:val="0"/>
      <w:marRight w:val="0"/>
      <w:marTop w:val="0"/>
      <w:marBottom w:val="0"/>
      <w:divBdr>
        <w:top w:val="none" w:sz="0" w:space="0" w:color="auto"/>
        <w:left w:val="none" w:sz="0" w:space="0" w:color="auto"/>
        <w:bottom w:val="none" w:sz="0" w:space="0" w:color="auto"/>
        <w:right w:val="none" w:sz="0" w:space="0" w:color="auto"/>
      </w:divBdr>
    </w:div>
    <w:div w:id="1432387166">
      <w:bodyDiv w:val="1"/>
      <w:marLeft w:val="0"/>
      <w:marRight w:val="0"/>
      <w:marTop w:val="0"/>
      <w:marBottom w:val="0"/>
      <w:divBdr>
        <w:top w:val="none" w:sz="0" w:space="0" w:color="auto"/>
        <w:left w:val="none" w:sz="0" w:space="0" w:color="auto"/>
        <w:bottom w:val="none" w:sz="0" w:space="0" w:color="auto"/>
        <w:right w:val="none" w:sz="0" w:space="0" w:color="auto"/>
      </w:divBdr>
    </w:div>
    <w:div w:id="1550611600">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630091606">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17688029">
      <w:bodyDiv w:val="1"/>
      <w:marLeft w:val="0"/>
      <w:marRight w:val="0"/>
      <w:marTop w:val="0"/>
      <w:marBottom w:val="0"/>
      <w:divBdr>
        <w:top w:val="none" w:sz="0" w:space="0" w:color="auto"/>
        <w:left w:val="none" w:sz="0" w:space="0" w:color="auto"/>
        <w:bottom w:val="none" w:sz="0" w:space="0" w:color="auto"/>
        <w:right w:val="none" w:sz="0" w:space="0" w:color="auto"/>
      </w:divBdr>
    </w:div>
    <w:div w:id="2053260957">
      <w:bodyDiv w:val="1"/>
      <w:marLeft w:val="0"/>
      <w:marRight w:val="0"/>
      <w:marTop w:val="0"/>
      <w:marBottom w:val="0"/>
      <w:divBdr>
        <w:top w:val="none" w:sz="0" w:space="0" w:color="auto"/>
        <w:left w:val="none" w:sz="0" w:space="0" w:color="auto"/>
        <w:bottom w:val="none" w:sz="0" w:space="0" w:color="auto"/>
        <w:right w:val="none" w:sz="0" w:space="0" w:color="auto"/>
      </w:divBdr>
    </w:div>
    <w:div w:id="2067141246">
      <w:bodyDiv w:val="1"/>
      <w:marLeft w:val="0"/>
      <w:marRight w:val="0"/>
      <w:marTop w:val="0"/>
      <w:marBottom w:val="0"/>
      <w:divBdr>
        <w:top w:val="none" w:sz="0" w:space="0" w:color="auto"/>
        <w:left w:val="none" w:sz="0" w:space="0" w:color="auto"/>
        <w:bottom w:val="none" w:sz="0" w:space="0" w:color="auto"/>
        <w:right w:val="none" w:sz="0" w:space="0" w:color="auto"/>
      </w:divBdr>
    </w:div>
    <w:div w:id="2069918749">
      <w:bodyDiv w:val="1"/>
      <w:marLeft w:val="0"/>
      <w:marRight w:val="0"/>
      <w:marTop w:val="0"/>
      <w:marBottom w:val="0"/>
      <w:divBdr>
        <w:top w:val="none" w:sz="0" w:space="0" w:color="auto"/>
        <w:left w:val="none" w:sz="0" w:space="0" w:color="auto"/>
        <w:bottom w:val="none" w:sz="0" w:space="0" w:color="auto"/>
        <w:right w:val="none" w:sz="0" w:space="0" w:color="auto"/>
      </w:divBdr>
    </w:div>
    <w:div w:id="2120417577">
      <w:bodyDiv w:val="1"/>
      <w:marLeft w:val="0"/>
      <w:marRight w:val="0"/>
      <w:marTop w:val="0"/>
      <w:marBottom w:val="0"/>
      <w:divBdr>
        <w:top w:val="none" w:sz="0" w:space="0" w:color="auto"/>
        <w:left w:val="none" w:sz="0" w:space="0" w:color="auto"/>
        <w:bottom w:val="none" w:sz="0" w:space="0" w:color="auto"/>
        <w:right w:val="none" w:sz="0" w:space="0" w:color="auto"/>
      </w:divBdr>
    </w:div>
    <w:div w:id="21360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www.nice.org.uk/guidance/mpg2/chapter/Recommendations" TargetMode="External" Id="rId13" /><Relationship Type="http://schemas.openxmlformats.org/officeDocument/2006/relationships/hyperlink" Target="https://www.medicines.org.uk/emc" TargetMode="External" Id="rId18" /><Relationship Type="http://schemas.openxmlformats.org/officeDocument/2006/relationships/hyperlink" Target="https://www.medicines.org.uk/emc" TargetMode="External" Id="rId26" /><Relationship Type="http://schemas.openxmlformats.org/officeDocument/2006/relationships/hyperlink" Target="https://www.fsrh.org/Public/Documents/ceu-clinical-guidance-drug-interactions-with-hormonal.aspx" TargetMode="External" Id="rId39" /><Relationship Type="http://schemas.openxmlformats.org/officeDocument/2006/relationships/hyperlink" Target="https://products.mhra.gov.uk/" TargetMode="External" Id="rId21" /><Relationship Type="http://schemas.openxmlformats.org/officeDocument/2006/relationships/hyperlink" Target="https://gbr01.safelinks.protection.outlook.com/?url=https%3A%2F%2Fwww.cosrh.org%2FPublic%2FDocuments%2Ffsrh-guideline-combined-hormonal-contraception.aspx&amp;data=05%7C02%7Cbarbara.parkinson4%40nhs.net%7C3457da78f4624d7b06fe08de1d2564e3%7C37c354b285b047f5b22207b48d774ee3%7C0%7C0%7C638980243602879925%7CUnknown%7CTWFpbGZsb3d8eyJFbXB0eU1hcGkiOnRydWUsIlYiOiIwLjAuMDAwMCIsIlAiOiJXaW4zMiIsIkFOIjoiTWFpbCIsIldUIjoyfQ%3D%3D%7C0%7C%7C%7C&amp;sdata=mZef61XDiPhcDg81OzTfpAGG19tqH90%2FWeISW%2FvJgZM%3D&amp;reserved=0" TargetMode="External" Id="rId34" /><Relationship Type="http://schemas.openxmlformats.org/officeDocument/2006/relationships/hyperlink" Target="https://www.fsrh.org/Public/Documents/ceu-guidance-problematic-bleeding-hormonal-contraception.aspx?WebsiteKey=f858b086-d221-4a83-9688-824162920b1b" TargetMode="External" Id="rId42" /><Relationship Type="http://schemas.openxmlformats.org/officeDocument/2006/relationships/header" Target="header1.xml" Id="rId47" /><Relationship Type="http://schemas.openxmlformats.org/officeDocument/2006/relationships/header" Target="header3.xml" Id="rId50"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hyperlink" Target="https://www.fsrh.org/Public/Public/Documents/fsrh-guideline-combined-hormonal-contraception.aspx" TargetMode="External" Id="rId16" /><Relationship Type="http://schemas.openxmlformats.org/officeDocument/2006/relationships/hyperlink" Target="https://www.fsrh.org/Public/Documents/ceu-clinical-guidance-drug-interactions-with-hormonal.aspx" TargetMode="External" Id="rId29" /><Relationship Type="http://schemas.openxmlformats.org/officeDocument/2006/relationships/hyperlink" Target="https://www.sps.nhs.uk/home/guidance/patient-group-directions/templates/" TargetMode="External" Id="rId11" /><Relationship Type="http://schemas.openxmlformats.org/officeDocument/2006/relationships/hyperlink" Target="https://www.fsrh.org/Public/Documents/fsrh-ceu-statement-response-to-recent-publication-regarding.aspx" TargetMode="External" Id="rId24" /><Relationship Type="http://schemas.openxmlformats.org/officeDocument/2006/relationships/hyperlink" Target="https://www.pharmaceuticalpress.com/bnf-and-bnfc/" TargetMode="External" Id="rId32" /><Relationship Type="http://schemas.openxmlformats.org/officeDocument/2006/relationships/hyperlink" Target="https://www.nice.org.uk/guidance/mpg2" TargetMode="External" Id="rId37" /><Relationship Type="http://schemas.openxmlformats.org/officeDocument/2006/relationships/hyperlink" Target="https://www.fsrh.org/Public/Public/Standards-and-Guidance/uk-medical-eligibility-criteria-for-contraceptive-use-ukmec.aspx?hkey=82727ce6-756b-4b88-a5ab-acaf27c48669" TargetMode="External" Id="rId40" /><Relationship Type="http://schemas.openxmlformats.org/officeDocument/2006/relationships/hyperlink" Target="https://fsrh.org/Common/Uploaded%20files/documents/Use-of-desogestrel-and-risk-of-intracranial-meningioma.pdf" TargetMode="External" Id="rId45" /><Relationship Type="http://schemas.openxmlformats.org/officeDocument/2006/relationships/styles" Target="styles.xml" Id="rId5" /><Relationship Type="http://schemas.openxmlformats.org/officeDocument/2006/relationships/hyperlink" Target="https://www.nice.org.uk/guidance/mpg2/resources" TargetMode="External" Id="rId15" /><Relationship Type="http://schemas.openxmlformats.org/officeDocument/2006/relationships/hyperlink" Target="https://www.medicines.org.uk/emc" TargetMode="External" Id="rId23" /><Relationship Type="http://schemas.openxmlformats.org/officeDocument/2006/relationships/hyperlink" Target="https://www.pharmaceuticalpress.com/bnf-and-bnfc/" TargetMode="External" Id="rId28" /><Relationship Type="http://schemas.openxmlformats.org/officeDocument/2006/relationships/hyperlink" Target="https://bnf.nice.org.uk/" TargetMode="External" Id="rId36" /><Relationship Type="http://schemas.openxmlformats.org/officeDocument/2006/relationships/footer" Target="footer1.xml" Id="rId49" /><Relationship Type="http://schemas.openxmlformats.org/officeDocument/2006/relationships/hyperlink" Target="https://www.nice.org.uk/guidance/mpg2/chapter/Recommendations" TargetMode="External" Id="rId10" /><Relationship Type="http://schemas.openxmlformats.org/officeDocument/2006/relationships/hyperlink" Target="https://www.cosrh.org/Common/Uploaded%20files/documents/CEU-statement-GLP-1-agonists-and-contraception.pdf?_gl=1*1ai7lsa*_ga*MTI1NTg5ODU4Ny4xNzEzNTE2Njg4*_ga_S2TDH89J5C*MTc0MTk0NjQyOS42OC4xLjE3NDE5NDY0OTQuMC4wLjA." TargetMode="External" Id="rId19" /><Relationship Type="http://schemas.openxmlformats.org/officeDocument/2006/relationships/hyperlink" Target="https://www.medicines.org.uk/emc" TargetMode="External" Id="rId31" /><Relationship Type="http://schemas.openxmlformats.org/officeDocument/2006/relationships/hyperlink" Target="https://fsrh.org/Common/Uploaded%20files/documents/CEU-statement-GLP-1-agonists-and-contraception.pdf?_gl=1*1ai7lsa*_ga*MTI1NTg5ODU4Ny4xNzEzNTE2Njg4*_ga_S2TDH89J5C*MTc0MTk0NjQyOS42OC4xLjE3NDE5NDY0OTQuMC4wLjA." TargetMode="External" Id="rId44" /><Relationship Type="http://schemas.openxmlformats.org/officeDocument/2006/relationships/theme" Target="theme/theme1.xml" Id="rId52"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e-lfh.org.uk/programmes/patient-group-directions/" TargetMode="External" Id="rId14" /><Relationship Type="http://schemas.openxmlformats.org/officeDocument/2006/relationships/hyperlink" Target="https://www.medicines.org.uk/emc" TargetMode="External" Id="rId22" /><Relationship Type="http://schemas.openxmlformats.org/officeDocument/2006/relationships/hyperlink" Target="https://www.medicines.org.uk/emc" TargetMode="External" Id="rId27" /><Relationship Type="http://schemas.openxmlformats.org/officeDocument/2006/relationships/hyperlink" Target="https://hep-druginteractions.org/checker" TargetMode="External" Id="rId30" /><Relationship Type="http://schemas.openxmlformats.org/officeDocument/2006/relationships/hyperlink" Target="https://www.medicines.org.uk/emc" TargetMode="External" Id="rId35" /><Relationship Type="http://schemas.openxmlformats.org/officeDocument/2006/relationships/hyperlink" Target="https://www.fsrh.org/Common/Uploaded%20files/documents/fsrh-ceu-statement-upa-coc-restart-november-2020.pdf" TargetMode="External" Id="rId43" /><Relationship Type="http://schemas.openxmlformats.org/officeDocument/2006/relationships/header" Target="header2.xml" Id="rId48" /><Relationship Type="http://schemas.openxmlformats.org/officeDocument/2006/relationships/footnotes" Target="footnotes.xml" Id="rId8" /><Relationship Type="http://schemas.openxmlformats.org/officeDocument/2006/relationships/fontTable" Target="fontTable.xml" Id="rId51" /><Relationship Type="http://schemas.openxmlformats.org/officeDocument/2006/relationships/customXml" Target="../customXml/item3.xml" Id="rId3" /><Relationship Type="http://schemas.openxmlformats.org/officeDocument/2006/relationships/hyperlink" Target="https://www.nice.org.uk/Guidance/MPG2" TargetMode="External" Id="rId12" /><Relationship Type="http://schemas.openxmlformats.org/officeDocument/2006/relationships/hyperlink" Target="https://www.medicines.org.uk/emc" TargetMode="External" Id="rId17" /><Relationship Type="http://schemas.openxmlformats.org/officeDocument/2006/relationships/hyperlink" Target="https://www.fsrh.org/Public/Documents/fsrh-clinical-guidance-quick-starting-contraception-april-2017.aspx" TargetMode="External" Id="rId25" /><Relationship Type="http://schemas.openxmlformats.org/officeDocument/2006/relationships/hyperlink" Target="https://yellowcard.mhra.gov.uk/" TargetMode="External" Id="rId33" /><Relationship Type="http://schemas.openxmlformats.org/officeDocument/2006/relationships/hyperlink" Target="https://www.fsrh.org/Public/Documents/fsrh-guideline-combined-hormonal-contraception.aspx" TargetMode="External" Id="rId38" /><Relationship Type="http://schemas.openxmlformats.org/officeDocument/2006/relationships/hyperlink" Target="https://fsrh.org/Common/Uploaded%20files/documents/Patient-information-GLP-1-agonists-and-contraception.pdf?_gl=1*1rbmy9o*_ga*MTI1NTg5ODU4Ny4xNzEzNTE2Njg4*_ga_S2TDH89J5C*MTc0MTk0NjQyOS42OC4xLjE3NDE5NDY0OTcuMC4wLjA." TargetMode="External" Id="rId46" /><Relationship Type="http://schemas.openxmlformats.org/officeDocument/2006/relationships/hyperlink" Target="https://gbr01.safelinks.protection.outlook.com/?url=https%3A%2F%2Fcosrh.org%2FPublic%2FDocuments%2Ffsrh-ceu-statement-contraception-for-women-using-known-teratogenic-drugs.aspx&amp;data=05%7C02%7Cbarbara.parkinson4%40nhs.net%7C3457da78f4624d7b06fe08de1d2564e3%7C37c354b285b047f5b22207b48d774ee3%7C0%7C0%7C638980243602932716%7CUnknown%7CTWFpbGZsb3d8eyJFbXB0eU1hcGkiOnRydWUsIlYiOiIwLjAuMDAwMCIsIlAiOiJXaW4zMiIsIkFOIjoiTWFpbCIsIldUIjoyfQ%3D%3D%7C0%7C%7C%7C&amp;sdata=63vIgjS4Aikgxc%2BFm22n1%2BHT4Rtbo1lr9mmpb7wDqPU%3D&amp;reserved=0" TargetMode="External" Id="rId20" /><Relationship Type="http://schemas.openxmlformats.org/officeDocument/2006/relationships/hyperlink" Target="https://www.fsrh.org/Public/Documents/fsrh-clinical-guidance-quick-starting-contraception-april-2017.aspx" TargetMode="External" Id="rId41" /><Relationship Type="http://schemas.openxmlformats.org/officeDocument/2006/relationships/customXml" Target="../customXml/item1.xml" Id="rId1" /><Relationship Type="http://schemas.openxmlformats.org/officeDocument/2006/relationships/settings" Target="settings.xml" Id="rId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EDB55CA70F904A97CD334C935D89AB" ma:contentTypeVersion="19" ma:contentTypeDescription="Create a new document." ma:contentTypeScope="" ma:versionID="2ff25c9ba4e0d8b4b22936a6d5f18b19">
  <xsd:schema xmlns:xsd="http://www.w3.org/2001/XMLSchema" xmlns:xs="http://www.w3.org/2001/XMLSchema" xmlns:p="http://schemas.microsoft.com/office/2006/metadata/properties" xmlns:ns2="f161132f-3af4-47f5-b28f-8075dccddbe8" targetNamespace="http://schemas.microsoft.com/office/2006/metadata/properties" ma:root="true" ma:fieldsID="238cc67e6f7b512ea7bb1b53bdd966ed" ns2:_="">
    <xsd:import namespace="f161132f-3af4-47f5-b28f-8075dccddbe8"/>
    <xsd:element name="properties">
      <xsd:complexType>
        <xsd:sequence>
          <xsd:element name="documentManagement">
            <xsd:complexType>
              <xsd:all>
                <xsd:element ref="ns2:Versionnumber" minOccurs="0"/>
                <xsd:element ref="ns2:Workstream" minOccurs="0"/>
                <xsd:element ref="ns2:PublishedDate" minOccurs="0"/>
                <xsd:element ref="ns2:Effectivefromdate" minOccurs="0"/>
                <xsd:element ref="ns2:ReviewDate" minOccurs="0"/>
                <xsd:element ref="ns2:ExpiryDate" minOccurs="0"/>
                <xsd:element ref="ns2:ProgrammeBoardMeeting" minOccurs="0"/>
                <xsd:element ref="ns2:MediaServiceMetadata" minOccurs="0"/>
                <xsd:element ref="ns2:MediaServiceFastMetadata" minOccurs="0"/>
                <xsd:element ref="ns2:MediaServiceSearchProperties" minOccurs="0"/>
                <xsd:element ref="ns2:RAGrating" minOccurs="0"/>
                <xsd:element ref="ns2:Templatecounting" minOccurs="0"/>
                <xsd:element ref="ns2:Accessibletemplate" minOccurs="0"/>
                <xsd:element ref="ns2:Cardcreated" minOccurs="0"/>
                <xsd:element ref="ns2:Reviewcompleted"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1132f-3af4-47f5-b28f-8075dccddbe8" elementFormDefault="qualified">
    <xsd:import namespace="http://schemas.microsoft.com/office/2006/documentManagement/types"/>
    <xsd:import namespace="http://schemas.microsoft.com/office/infopath/2007/PartnerControls"/>
    <xsd:element name="Versionnumber" ma:index="8" nillable="true" ma:displayName="Version number" ma:decimals="1" ma:description="Version number  1.0 2.2 etc" ma:format="Dropdown" ma:internalName="Versionnumber" ma:percentage="FALSE">
      <xsd:simpleType>
        <xsd:restriction base="dms:Number"/>
      </xsd:simpleType>
    </xsd:element>
    <xsd:element name="Workstream" ma:index="9" nillable="true" ma:displayName="Workstream" ma:description="Workstream the PGD template belongs to" ma:format="Dropdown" ma:internalName="Workstream">
      <xsd:simpleType>
        <xsd:restriction base="dms:Choice">
          <xsd:enumeration value="Ambulance"/>
          <xsd:enumeration value="Infection &amp; Infectious Diseases"/>
          <xsd:enumeration value="Pregnancy &amp; Supportive Medicines"/>
          <xsd:enumeration value="Public Health (UKHSA)"/>
          <xsd:enumeration value="Radiology"/>
          <xsd:enumeration value="Reproductive Health"/>
          <xsd:enumeration value="Sexual Health"/>
          <xsd:enumeration value="Smoking Cessation"/>
          <xsd:enumeration value="Occupational Health"/>
        </xsd:restriction>
      </xsd:simpleType>
    </xsd:element>
    <xsd:element name="PublishedDate" ma:index="10" nillable="true" ma:displayName="Published Date" ma:format="DateOnly" ma:internalName="PublishedDate">
      <xsd:simpleType>
        <xsd:restriction base="dms:DateTime"/>
      </xsd:simpleType>
    </xsd:element>
    <xsd:element name="Effectivefromdate" ma:index="11" nillable="true" ma:displayName="Effective from date" ma:format="DateOnly" ma:internalName="Effectivefromdate">
      <xsd:simpleType>
        <xsd:restriction base="dms:DateTime"/>
      </xsd:simpleType>
    </xsd:element>
    <xsd:element name="ReviewDate" ma:index="12" nillable="true" ma:displayName="Scheduled Review Date" ma:format="DateOnly" ma:indexed="true" ma:internalName="ReviewDate">
      <xsd:simpleType>
        <xsd:restriction base="dms:DateTime"/>
      </xsd:simpleType>
    </xsd:element>
    <xsd:element name="ExpiryDate" ma:index="13" nillable="true" ma:displayName="Expiry Date" ma:format="DateOnly" ma:indexed="true" ma:internalName="ExpiryDate">
      <xsd:simpleType>
        <xsd:restriction base="dms:DateTime"/>
      </xsd:simpleType>
    </xsd:element>
    <xsd:element name="ProgrammeBoardMeeting" ma:index="14" nillable="true" ma:displayName="Programme Board Meeting" ma:description="Programme Board aiming to take for approval" ma:format="DateOnly" ma:internalName="ProgrammeBoardMeeting">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RAGrating" ma:index="18" nillable="true" ma:displayName="RAG rating" ma:description="RAG rating for completed risk assessments" ma:format="Dropdown" ma:internalName="RAGrating">
      <xsd:simpleType>
        <xsd:restriction base="dms:Choice">
          <xsd:enumeration value="RED"/>
          <xsd:enumeration value="AMBER"/>
          <xsd:enumeration value="GREEN"/>
        </xsd:restriction>
      </xsd:simpleType>
    </xsd:element>
    <xsd:element name="Templatecounting" ma:index="19" nillable="true" ma:displayName="Template  type" ma:format="Dropdown" ma:internalName="Templatecounting">
      <xsd:simpleType>
        <xsd:restriction base="dms:Choice">
          <xsd:enumeration value="PGD for KPI"/>
          <xsd:enumeration value="Protocol for KPI"/>
          <xsd:enumeration value="WI for KPI"/>
        </xsd:restriction>
      </xsd:simpleType>
    </xsd:element>
    <xsd:element name="Accessibletemplate" ma:index="20" nillable="true" ma:displayName="Accessible template" ma:default="1" ma:format="Dropdown" ma:internalName="Accessibletemplate">
      <xsd:simpleType>
        <xsd:restriction base="dms:Boolean"/>
      </xsd:simpleType>
    </xsd:element>
    <xsd:element name="Cardcreated" ma:index="21" nillable="true" ma:displayName="Link to card" ma:description="Link to card on digital shareppoint" ma:format="Hyperlink" ma:internalName="Cardcreated">
      <xsd:complexType>
        <xsd:complexContent>
          <xsd:extension base="dms:URL">
            <xsd:sequence>
              <xsd:element name="Url" type="dms:ValidUrl" minOccurs="0" nillable="true"/>
              <xsd:element name="Description" type="xsd:string" nillable="true"/>
            </xsd:sequence>
          </xsd:extension>
        </xsd:complexContent>
      </xsd:complexType>
    </xsd:element>
    <xsd:element name="Reviewcompleted" ma:index="22" nillable="true" ma:displayName="Review completed" ma:description="Review completed but version remains published until expiry date.  Select to remove from dashboard review due section" ma:format="Dropdown" ma:internalName="Reviewcompleted">
      <xsd:simpleType>
        <xsd:restriction base="dms:Choice">
          <xsd:enumeration value="Yes"/>
          <xsd:enumeration value="No"/>
          <xsd:enumeration value="Choice 3"/>
        </xsd:restriction>
      </xsd:simpleType>
    </xsd:element>
    <xsd:element name="_ApprovalAssignedTo" ma:index="23"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4"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5"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6" nillable="true" ma:displayName="Approval status"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mplatecounting xmlns="f161132f-3af4-47f5-b28f-8075dccddbe8">PGD for KPI</Templatecounting>
    <Workstream xmlns="f161132f-3af4-47f5-b28f-8075dccddbe8">Reproductive Health</Workstream>
    <ReviewDate xmlns="f161132f-3af4-47f5-b28f-8075dccddbe8" xsi:nil="true"/>
    <Versionnumber xmlns="f161132f-3af4-47f5-b28f-8075dccddbe8">2.6</Versionnumber>
    <ProgrammeBoardMeeting xmlns="f161132f-3af4-47f5-b28f-8075dccddbe8" xsi:nil="true"/>
    <PublishedDate xmlns="f161132f-3af4-47f5-b28f-8075dccddbe8" xsi:nil="true"/>
    <Effectivefromdate xmlns="f161132f-3af4-47f5-b28f-8075dccddbe8" xsi:nil="true"/>
    <RAGrating xmlns="f161132f-3af4-47f5-b28f-8075dccddbe8" xsi:nil="true"/>
    <ExpiryDate xmlns="f161132f-3af4-47f5-b28f-8075dccddbe8" xsi:nil="true"/>
    <Accessibletemplate xmlns="f161132f-3af4-47f5-b28f-8075dccddbe8">true</Accessibletemplate>
    <Cardcreated xmlns="f161132f-3af4-47f5-b28f-8075dccddbe8">
      <Url>https://digitalliverpool.sharepoint.com/sites/SPSDigital/Lists/Content%20Directory/DispForm.aspx?ID=2881</Url>
      <Description>COC card</Description>
    </Cardcreated>
    <Reviewcompleted xmlns="f161132f-3af4-47f5-b28f-8075dccddbe8">Yes</Reviewcompleted>
    <_ApprovalAssignedTo xmlns="f161132f-3af4-47f5-b28f-8075dccddbe8">
      <UserInfo>
        <DisplayName/>
        <AccountId xsi:nil="true"/>
        <AccountType/>
      </UserInfo>
    </_ApprovalAssignedTo>
    <_ApprovalStatus xmlns="f161132f-3af4-47f5-b28f-8075dccddbe8">0</_ApprovalStatus>
    <_ApprovalRespondedBy xmlns="f161132f-3af4-47f5-b28f-8075dccddbe8">
      <UserInfo>
        <DisplayName/>
        <AccountId xsi:nil="true"/>
        <AccountType/>
      </UserInfo>
    </_ApprovalRespondedBy>
    <_ApprovalSentBy xmlns="f161132f-3af4-47f5-b28f-8075dccddbe8">
      <UserInfo>
        <DisplayName/>
        <AccountId xsi:nil="true"/>
        <AccountType/>
      </UserInfo>
    </_ApprovalSentBy>
  </documentManagement>
</p:properties>
</file>

<file path=customXml/itemProps1.xml><?xml version="1.0" encoding="utf-8"?>
<ds:datastoreItem xmlns:ds="http://schemas.openxmlformats.org/officeDocument/2006/customXml" ds:itemID="{73A1F892-93FD-44FB-BC43-7E6B80A989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1132f-3af4-47f5-b28f-8075dccdd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778F77-9421-4C7B-863F-37FF5104FEDE}">
  <ds:schemaRefs>
    <ds:schemaRef ds:uri="http://schemas.microsoft.com/sharepoint/v3/contenttype/forms"/>
  </ds:schemaRefs>
</ds:datastoreItem>
</file>

<file path=customXml/itemProps3.xml><?xml version="1.0" encoding="utf-8"?>
<ds:datastoreItem xmlns:ds="http://schemas.openxmlformats.org/officeDocument/2006/customXml" ds:itemID="{1C5AABB6-6BBD-402A-B6FC-C1C8BC9A535B}">
  <ds:schemaRefs>
    <ds:schemaRef ds:uri="http://schemas.microsoft.com/office/infopath/2007/PartnerControls"/>
    <ds:schemaRef ds:uri="http://purl.org/dc/terms/"/>
    <ds:schemaRef ds:uri="f161132f-3af4-47f5-b28f-8075dccddbe8"/>
    <ds:schemaRef ds:uri="http://purl.org/dc/dcmitype/"/>
    <ds:schemaRef ds:uri="http://schemas.microsoft.com/office/2006/metadata/properties"/>
    <ds:schemaRef ds:uri="http://www.w3.org/XML/1998/namespace"/>
    <ds:schemaRef ds:uri="http://purl.org/dc/elements/1.1/"/>
    <ds:schemaRef ds:uri="http://schemas.microsoft.com/office/2006/documentManagement/types"/>
    <ds:schemaRef ds:uri="http://schemas.openxmlformats.org/package/2006/metadata/core-properties"/>
  </ds:schemaRefs>
</ds:datastoreItem>
</file>

<file path=docMetadata/LabelInfo.xml><?xml version="1.0" encoding="utf-8"?>
<clbl:labelList xmlns:clbl="http://schemas.microsoft.com/office/2020/mipLabelMetadata">
  <clbl:label id="{43ed9756-41ff-4cbf-959b-406a4083b78b}" enabled="0" method="" siteId="{43ed9756-41ff-4cbf-959b-406a4083b78b}"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Furner</dc:creator>
  <cp:keywords/>
  <cp:lastModifiedBy>Rosie Furner</cp:lastModifiedBy>
  <cp:revision>3</cp:revision>
  <dcterms:created xsi:type="dcterms:W3CDTF">2026-02-05T16:20:00Z</dcterms:created>
  <dcterms:modified xsi:type="dcterms:W3CDTF">2026-02-12T14:18:32Z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0x01010098EDB55CA70F904A97CD334C935D89AB</vt:lpwstr>
  </property>
</Properties>
</file>