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AB6" w:rsidP="00AA5A30" w:rsidRDefault="00E46E97" w14:paraId="71B767E5" w14:textId="0E134EAA">
      <w:pPr>
        <w:pStyle w:val="PGDlogo"/>
        <w:rPr>
          <w:highlight w:val="cyan"/>
        </w:rPr>
      </w:pPr>
      <w:bookmarkStart w:name="_Toc258333614" w:id="0"/>
      <w:bookmarkStart w:name="_Toc263684039" w:id="1"/>
      <w:bookmarkStart w:name="_Toc264471101" w:id="2"/>
      <w:r w:rsidRPr="6BC48603" w:rsidR="00E46E97">
        <w:rPr>
          <w:highlight w:val="cyan"/>
        </w:rPr>
        <w:t>[</w:t>
      </w:r>
      <w:r w:rsidRPr="6BC48603" w:rsidR="007A1448">
        <w:rPr>
          <w:highlight w:val="cyan"/>
        </w:rPr>
        <w:t xml:space="preserve">Insert </w:t>
      </w:r>
      <w:r w:rsidRPr="6BC48603" w:rsidR="002E0743">
        <w:rPr>
          <w:highlight w:val="cyan"/>
        </w:rPr>
        <w:t xml:space="preserve">the </w:t>
      </w:r>
      <w:r w:rsidRPr="6BC48603" w:rsidR="007A1448">
        <w:rPr>
          <w:highlight w:val="cyan"/>
        </w:rPr>
        <w:t>logo of</w:t>
      </w:r>
      <w:r w:rsidRPr="6BC48603" w:rsidR="002E0743">
        <w:rPr>
          <w:highlight w:val="cyan"/>
        </w:rPr>
        <w:t xml:space="preserve"> the</w:t>
      </w:r>
      <w:r w:rsidRPr="6BC48603" w:rsidR="001D4AB6">
        <w:rPr>
          <w:highlight w:val="cyan"/>
        </w:rPr>
        <w:t xml:space="preserve"> </w:t>
      </w:r>
      <w:r w:rsidRPr="6BC48603" w:rsidR="001D4AB6">
        <w:rPr>
          <w:highlight w:val="cyan"/>
        </w:rPr>
        <w:t>authorising</w:t>
      </w:r>
      <w:r w:rsidRPr="6BC48603" w:rsidR="001D4AB6">
        <w:rPr>
          <w:highlight w:val="cyan"/>
        </w:rPr>
        <w:t xml:space="preserve"> body here</w:t>
      </w:r>
      <w:r w:rsidRPr="6BC48603" w:rsidR="4518480E">
        <w:rPr>
          <w:highlight w:val="cyan"/>
        </w:rPr>
        <w:t>]</w:t>
      </w:r>
    </w:p>
    <w:p w:rsidRPr="00DF77C7" w:rsidR="005F1603" w:rsidP="00AA5A30" w:rsidRDefault="001D4AB6" w14:paraId="0F1FF2E2" w14:textId="7FA10673">
      <w:pPr>
        <w:pStyle w:val="PGDlogo"/>
      </w:pPr>
      <w:r w:rsidRPr="00B36F46">
        <w:rPr>
          <w:highlight w:val="yellow"/>
        </w:rPr>
        <w:t xml:space="preserve"> </w:t>
      </w:r>
      <w:r w:rsidRPr="00B36F46" w:rsidR="00EC5BB8">
        <w:rPr>
          <w:highlight w:val="yellow"/>
        </w:rPr>
        <w:t>[[</w:t>
      </w:r>
      <w:hyperlink w:history="1" w:anchor="terms-used-in-the-guideline" r:id="rId11">
        <w:r w:rsidRPr="00EC5BB8">
          <w:rPr>
            <w:rStyle w:val="Hyperlink"/>
            <w:highlight w:val="yellow"/>
          </w:rPr>
          <w:t>See the NICE guidance for the definition of an authorising body</w:t>
        </w:r>
      </w:hyperlink>
      <w:r w:rsidRPr="00EC5BB8" w:rsidR="002E0743">
        <w:rPr>
          <w:highlight w:val="yellow"/>
        </w:rPr>
        <w:t>]</w:t>
      </w:r>
      <w:r w:rsidRPr="00EC5BB8" w:rsidR="00EC5BB8">
        <w:rPr>
          <w:highlight w:val="yellow"/>
        </w:rPr>
        <w:t>]</w:t>
      </w:r>
    </w:p>
    <w:tbl>
      <w:tblPr>
        <w:tblStyle w:val="TableGrid"/>
        <w:tblW w:w="0" w:type="auto"/>
        <w:tblLook w:val="04A0" w:firstRow="1" w:lastRow="0" w:firstColumn="1" w:lastColumn="0" w:noHBand="0" w:noVBand="1"/>
      </w:tblPr>
      <w:tblGrid>
        <w:gridCol w:w="8495"/>
      </w:tblGrid>
      <w:tr w:rsidRPr="00DF77C7" w:rsidR="00AD67D4" w:rsidTr="00AD67D4" w14:paraId="1FBF41D7" w14:textId="77777777">
        <w:tc>
          <w:tcPr>
            <w:tcW w:w="8495" w:type="dxa"/>
          </w:tcPr>
          <w:p w:rsidRPr="00DF77C7" w:rsidR="00AD67D4" w:rsidP="00BB2C75" w:rsidRDefault="00AD67D4" w14:paraId="68445008" w14:textId="38D8F2C6">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rsidRPr="00DF77C7" w:rsidR="00AD67D4" w:rsidP="00ED232C" w:rsidRDefault="00AD67D4" w14:paraId="440F929F" w14:textId="77777777">
      <w:pPr>
        <w:pStyle w:val="PGDNormal"/>
      </w:pPr>
    </w:p>
    <w:p w:rsidRPr="00DF77C7" w:rsidR="007A1448" w:rsidP="006529F3" w:rsidRDefault="007A1448" w14:paraId="4F81DF8E" w14:textId="5914E859">
      <w:pPr>
        <w:pStyle w:val="PGDTitle1"/>
      </w:pPr>
      <w:r w:rsidRPr="00DF77C7">
        <w:t>Patient Group Direction</w:t>
      </w:r>
    </w:p>
    <w:p w:rsidRPr="00DF77C7" w:rsidR="00903548" w:rsidP="004C1FDF" w:rsidRDefault="00903548" w14:paraId="446A3A01" w14:textId="77777777">
      <w:pPr>
        <w:pStyle w:val="PGDNormal"/>
      </w:pPr>
    </w:p>
    <w:p w:rsidRPr="00E15FB4" w:rsidR="006529F3" w:rsidP="00E15FB4" w:rsidRDefault="007A1448" w14:paraId="62D7E2C0" w14:textId="1C0D5AC6">
      <w:pPr>
        <w:pStyle w:val="PGDTitle2"/>
      </w:pPr>
      <w:r w:rsidRPr="00DF77C7">
        <w:t xml:space="preserve">for the </w:t>
      </w:r>
      <w:r w:rsidRPr="00DF77C7" w:rsidR="00973131">
        <w:t>administration</w:t>
      </w:r>
      <w:r w:rsidRPr="00DF77C7">
        <w:t xml:space="preserve"> of</w:t>
      </w:r>
      <w:r w:rsidRPr="00DF77C7" w:rsidR="00DA12F7">
        <w:t xml:space="preserve"> </w:t>
      </w:r>
      <w:r w:rsidR="00E84F11">
        <w:t xml:space="preserve">intravenous </w:t>
      </w:r>
      <w:r w:rsidR="00E15FB4">
        <w:t>i</w:t>
      </w:r>
      <w:r w:rsidR="00B00474">
        <w:t>oversol</w:t>
      </w:r>
      <w:r w:rsidR="00984BE8">
        <w:t xml:space="preserve"> </w:t>
      </w:r>
      <w:r w:rsidRPr="00E84F11" w:rsidR="00E84F11">
        <w:t xml:space="preserve">(e.g. </w:t>
      </w:r>
      <w:r w:rsidR="00B00474">
        <w:t>Optiray</w:t>
      </w:r>
      <w:r w:rsidRPr="00E84F11" w:rsidR="00E84F11">
        <w:t>®</w:t>
      </w:r>
      <w:r w:rsidR="00B00474">
        <w:t xml:space="preserve"> 240mg/ml</w:t>
      </w:r>
      <w:r w:rsidR="00C16536">
        <w:t>/</w:t>
      </w:r>
      <w:r w:rsidR="00B00474">
        <w:t xml:space="preserve">, </w:t>
      </w:r>
      <w:r w:rsidR="00C16536">
        <w:t>3</w:t>
      </w:r>
      <w:r w:rsidR="00B00474">
        <w:t xml:space="preserve">00mg/ml, </w:t>
      </w:r>
      <w:r w:rsidR="00C16536">
        <w:t>3</w:t>
      </w:r>
      <w:r w:rsidR="00B00474">
        <w:t>20mg</w:t>
      </w:r>
      <w:r w:rsidR="00C16536">
        <w:t>/</w:t>
      </w:r>
      <w:r w:rsidR="00B00474">
        <w:t>ml, 350mg/ml</w:t>
      </w:r>
      <w:r w:rsidRPr="00E84F11" w:rsidR="00C16536">
        <w:t xml:space="preserve">) </w:t>
      </w:r>
      <w:r w:rsidRPr="00E84F11" w:rsidR="00E84F11">
        <w:t xml:space="preserve"> </w:t>
      </w:r>
      <w:r w:rsidRPr="00E15FB4" w:rsidR="00E15FB4">
        <w:t>for imaging investigations and procedures</w:t>
      </w:r>
    </w:p>
    <w:p w:rsidRPr="00DF77C7" w:rsidR="007A1448" w:rsidP="006529F3" w:rsidRDefault="005C6771" w14:paraId="4799BFF7" w14:textId="2F1960B6">
      <w:pPr>
        <w:pStyle w:val="PGDTitle2"/>
      </w:pPr>
      <w:r w:rsidRPr="00DF77C7">
        <w:t xml:space="preserve">in </w:t>
      </w:r>
      <w:r w:rsidR="00E46E97">
        <w:t>[</w:t>
      </w:r>
      <w:r w:rsidRPr="00DF77C7">
        <w:rPr>
          <w:highlight w:val="cyan"/>
        </w:rPr>
        <w:t>location/service/organisation</w:t>
      </w:r>
      <w:r w:rsidR="00E46E97">
        <w:t>]</w:t>
      </w:r>
    </w:p>
    <w:p w:rsidRPr="00DF77C7" w:rsidR="006529F3" w:rsidP="004C1FDF" w:rsidRDefault="006529F3" w14:paraId="446CEE0D" w14:textId="77777777">
      <w:pPr>
        <w:pStyle w:val="PGDNormal"/>
      </w:pPr>
    </w:p>
    <w:p w:rsidRPr="007F687D" w:rsidR="00813399" w:rsidP="007F687D" w:rsidRDefault="00813399" w14:paraId="70665420" w14:textId="2349A25E">
      <w:pPr>
        <w:rPr>
          <w:rStyle w:val="PGDVersionNumber"/>
        </w:rPr>
      </w:pPr>
      <w:r w:rsidRPr="007F687D">
        <w:rPr>
          <w:rStyle w:val="PGDVersionNumber"/>
        </w:rPr>
        <w:t xml:space="preserve">Version Number </w:t>
      </w:r>
      <w:r w:rsidR="009D4A9A">
        <w:rPr>
          <w:rStyle w:val="PGDVersionNumber"/>
        </w:rPr>
        <w:t>3</w:t>
      </w:r>
      <w:r w:rsidRPr="007F687D" w:rsidR="00F605E6">
        <w:rPr>
          <w:rStyle w:val="PGDVersionNumber"/>
        </w:rPr>
        <w:t>.</w:t>
      </w:r>
      <w:r w:rsidR="00E15FB4">
        <w:rPr>
          <w:rStyle w:val="PGDVersionNumber"/>
        </w:rPr>
        <w:t>2</w:t>
      </w:r>
    </w:p>
    <w:p w:rsidRPr="00DF77C7" w:rsidR="00813399" w:rsidP="00F57606" w:rsidRDefault="00813399" w14:paraId="20B630F6" w14:textId="77777777">
      <w:pPr>
        <w:pStyle w:val="Tabletext"/>
      </w:pPr>
    </w:p>
    <w:p w:rsidRPr="00DF77C7" w:rsidR="00763E7A" w:rsidP="00AD67D4" w:rsidRDefault="00763E7A" w14:paraId="4B28C630" w14:textId="1C130391">
      <w:pPr>
        <w:pStyle w:val="Tabletitle"/>
        <w:rPr>
          <w:lang w:val="en-GB"/>
        </w:rPr>
      </w:pPr>
      <w:r w:rsidRPr="00DF77C7">
        <w:rPr>
          <w:lang w:val="en-GB"/>
        </w:rPr>
        <w:t>Change history</w:t>
      </w:r>
    </w:p>
    <w:p w:rsidRPr="00DF77C7" w:rsidR="00813399" w:rsidP="00F57606" w:rsidRDefault="00813399" w14:paraId="0880FF0C" w14:textId="77777777">
      <w:pPr>
        <w:pStyle w:val="Tabletext"/>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Pr="00DF77C7" w:rsidR="00813399" w:rsidTr="00AD27B9" w14:paraId="1AA2173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4C3B7AF4" w14:textId="77777777">
            <w:pPr>
              <w:pStyle w:val="TableHeaderRow"/>
            </w:pPr>
            <w:r w:rsidRPr="00DF77C7">
              <w:t>Version and Date</w:t>
            </w:r>
          </w:p>
        </w:tc>
        <w:tc>
          <w:tcPr>
            <w:tcW w:w="7020" w:type="dxa"/>
            <w:tcBorders>
              <w:top w:val="single" w:color="auto" w:sz="4" w:space="0"/>
              <w:left w:val="single" w:color="auto" w:sz="4" w:space="0"/>
              <w:bottom w:val="single" w:color="auto" w:sz="4" w:space="0"/>
              <w:right w:val="single" w:color="auto" w:sz="4" w:space="0"/>
            </w:tcBorders>
          </w:tcPr>
          <w:p w:rsidRPr="00DF77C7" w:rsidR="00813399" w:rsidP="006829D5" w:rsidRDefault="00813399" w14:paraId="20E8B630" w14:textId="77777777">
            <w:pPr>
              <w:pStyle w:val="TableHeaderRow"/>
            </w:pPr>
            <w:r w:rsidRPr="00DF77C7">
              <w:t>Change details</w:t>
            </w:r>
          </w:p>
        </w:tc>
      </w:tr>
      <w:tr w:rsidRPr="00DF77C7" w:rsidR="00E15FB4" w:rsidTr="00AD27B9" w14:paraId="5448D2B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47DD230" w14:textId="77777777">
            <w:pPr>
              <w:rPr>
                <w:rFonts w:ascii="Arial" w:hAnsi="Arial" w:cs="Arial"/>
                <w:sz w:val="22"/>
                <w:szCs w:val="22"/>
              </w:rPr>
            </w:pPr>
            <w:r w:rsidRPr="00D1051E">
              <w:rPr>
                <w:rFonts w:ascii="Arial" w:hAnsi="Arial" w:cs="Arial"/>
                <w:sz w:val="22"/>
                <w:szCs w:val="22"/>
              </w:rPr>
              <w:t>Version 1</w:t>
            </w:r>
          </w:p>
          <w:p w:rsidRPr="00DF77C7" w:rsidR="00E15FB4" w:rsidP="00E15FB4" w:rsidRDefault="00E15FB4" w14:paraId="564FB0F8" w14:textId="09F5336A">
            <w:pPr>
              <w:pStyle w:val="Tabletext"/>
              <w:rPr>
                <w:color w:val="FF0000"/>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4A45011F" w14:textId="160FF60B">
            <w:pPr>
              <w:pStyle w:val="Tabletext"/>
              <w:rPr>
                <w:lang w:val="en-GB"/>
              </w:rPr>
            </w:pPr>
            <w:r w:rsidRPr="00D1051E">
              <w:rPr>
                <w:rFonts w:cs="Arial"/>
                <w:szCs w:val="22"/>
              </w:rPr>
              <w:t>New template</w:t>
            </w:r>
          </w:p>
        </w:tc>
      </w:tr>
      <w:tr w:rsidRPr="00DF77C7" w:rsidR="00E15FB4" w:rsidTr="00AD27B9" w14:paraId="04154CC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37523BE1" w14:textId="77777777">
            <w:pPr>
              <w:rPr>
                <w:rFonts w:ascii="Arial" w:hAnsi="Arial" w:cs="Arial"/>
                <w:sz w:val="22"/>
                <w:szCs w:val="22"/>
              </w:rPr>
            </w:pPr>
            <w:r w:rsidRPr="00D1051E">
              <w:rPr>
                <w:rFonts w:ascii="Arial" w:hAnsi="Arial" w:cs="Arial"/>
                <w:sz w:val="22"/>
                <w:szCs w:val="22"/>
              </w:rPr>
              <w:t>Version 1.2</w:t>
            </w:r>
          </w:p>
          <w:p w:rsidRPr="00DF77C7" w:rsidR="00E15FB4" w:rsidP="00E15FB4" w:rsidRDefault="00E15FB4" w14:paraId="2E8CDAF5" w14:textId="68CFEA19">
            <w:pPr>
              <w:pStyle w:val="Tabletext"/>
              <w:rPr>
                <w:lang w:val="en-GB"/>
              </w:rPr>
            </w:pPr>
            <w:r w:rsidRPr="00D1051E">
              <w:rPr>
                <w:rFonts w:cs="Arial"/>
                <w:szCs w:val="22"/>
              </w:rPr>
              <w:t>January 2019</w:t>
            </w:r>
          </w:p>
        </w:tc>
        <w:tc>
          <w:tcPr>
            <w:tcW w:w="7020"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6CB8AEC2" w14:textId="497A2DE1">
            <w:pPr>
              <w:pStyle w:val="Tabletext"/>
            </w:pPr>
            <w:r w:rsidRPr="00D1051E">
              <w:rPr>
                <w:rFonts w:cs="Arial"/>
                <w:szCs w:val="22"/>
              </w:rPr>
              <w:t>Exclusion criteria revised – removed ‘Known alcoholism or drug addiction.’</w:t>
            </w:r>
          </w:p>
        </w:tc>
      </w:tr>
      <w:tr w:rsidRPr="00DF77C7" w:rsidR="00E15FB4" w:rsidTr="00AD27B9" w14:paraId="488A6C6F"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5A63F0D3" w14:textId="77777777">
            <w:pPr>
              <w:rPr>
                <w:rFonts w:ascii="Arial" w:hAnsi="Arial" w:cs="Arial"/>
                <w:sz w:val="22"/>
                <w:szCs w:val="22"/>
              </w:rPr>
            </w:pPr>
            <w:r w:rsidRPr="00D1051E">
              <w:rPr>
                <w:rFonts w:ascii="Arial" w:hAnsi="Arial" w:cs="Arial"/>
                <w:sz w:val="22"/>
                <w:szCs w:val="22"/>
              </w:rPr>
              <w:t>Version 2.0</w:t>
            </w:r>
          </w:p>
          <w:p w:rsidRPr="00DF77C7" w:rsidR="00E15FB4" w:rsidP="00E15FB4" w:rsidRDefault="00E15FB4" w14:paraId="776AB6B6" w14:textId="471AC62A">
            <w:pPr>
              <w:pStyle w:val="Tabletext"/>
              <w:rPr>
                <w:lang w:val="en-GB"/>
              </w:rPr>
            </w:pPr>
            <w:r w:rsidRPr="00D1051E">
              <w:rPr>
                <w:rFonts w:cs="Arial"/>
                <w:szCs w:val="22"/>
              </w:rPr>
              <w:t>January 2022</w:t>
            </w:r>
          </w:p>
        </w:tc>
        <w:tc>
          <w:tcPr>
            <w:tcW w:w="7020" w:type="dxa"/>
            <w:tcBorders>
              <w:top w:val="single" w:color="auto" w:sz="4" w:space="0"/>
              <w:left w:val="single" w:color="auto" w:sz="4" w:space="0"/>
              <w:bottom w:val="single" w:color="auto" w:sz="4" w:space="0"/>
              <w:right w:val="single" w:color="auto" w:sz="4" w:space="0"/>
            </w:tcBorders>
          </w:tcPr>
          <w:p w:rsidRPr="0036186E" w:rsidR="00E15FB4" w:rsidP="00E15FB4" w:rsidRDefault="00E15FB4" w14:paraId="53F0661E" w14:textId="1915AA82">
            <w:pPr>
              <w:pStyle w:val="Tabletext"/>
            </w:pPr>
            <w:r w:rsidRPr="00D1051E">
              <w:rPr>
                <w:rFonts w:cs="Arial"/>
                <w:szCs w:val="22"/>
              </w:rPr>
              <w:t>Updated template</w:t>
            </w:r>
          </w:p>
        </w:tc>
      </w:tr>
      <w:tr w:rsidRPr="00DF77C7" w:rsidR="00E15FB4" w:rsidTr="00AD27B9" w14:paraId="60A4C92E"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D1051E" w:rsidR="00E15FB4" w:rsidP="00E15FB4" w:rsidRDefault="00E15FB4" w14:paraId="2CC6D3D0" w14:textId="77777777">
            <w:pPr>
              <w:rPr>
                <w:rFonts w:ascii="Arial" w:hAnsi="Arial" w:cs="Arial"/>
                <w:sz w:val="22"/>
                <w:szCs w:val="22"/>
              </w:rPr>
            </w:pPr>
            <w:r w:rsidRPr="00D1051E">
              <w:rPr>
                <w:rFonts w:ascii="Arial" w:hAnsi="Arial" w:cs="Arial"/>
                <w:sz w:val="22"/>
                <w:szCs w:val="22"/>
              </w:rPr>
              <w:t>Version 3.0</w:t>
            </w:r>
          </w:p>
          <w:p w:rsidRPr="00D1051E" w:rsidR="00E15FB4" w:rsidP="00E15FB4" w:rsidRDefault="00E15FB4" w14:paraId="4699F8AE" w14:textId="62B88DD4">
            <w:pPr>
              <w:rPr>
                <w:rFonts w:ascii="Arial" w:hAnsi="Arial" w:cs="Arial"/>
                <w:sz w:val="22"/>
                <w:szCs w:val="22"/>
              </w:rPr>
            </w:pPr>
            <w:r w:rsidRPr="00D1051E">
              <w:rPr>
                <w:rFonts w:ascii="Arial" w:hAnsi="Arial" w:cs="Arial"/>
                <w:sz w:val="22"/>
                <w:szCs w:val="22"/>
              </w:rPr>
              <w:t>June 2024</w:t>
            </w:r>
          </w:p>
        </w:tc>
        <w:tc>
          <w:tcPr>
            <w:tcW w:w="7020" w:type="dxa"/>
            <w:tcBorders>
              <w:top w:val="single" w:color="auto" w:sz="4" w:space="0"/>
              <w:left w:val="single" w:color="auto" w:sz="4" w:space="0"/>
              <w:bottom w:val="single" w:color="auto" w:sz="4" w:space="0"/>
              <w:right w:val="single" w:color="auto" w:sz="4" w:space="0"/>
            </w:tcBorders>
          </w:tcPr>
          <w:p w:rsidRPr="00D1051E" w:rsidR="00B00474" w:rsidP="00B00474" w:rsidRDefault="00E15FB4" w14:paraId="1BE5F997" w14:textId="7427DDF2">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r w:rsidR="00B00474">
              <w:rPr>
                <w:rFonts w:cs="Arial"/>
                <w:szCs w:val="22"/>
              </w:rPr>
              <w:t xml:space="preserve"> A</w:t>
            </w:r>
            <w:r w:rsidRPr="00C07148" w:rsidR="00B00474">
              <w:rPr>
                <w:rFonts w:cs="Arial"/>
                <w:szCs w:val="22"/>
              </w:rPr>
              <w:t>dded nausea to adverse reaction as per SmPC</w:t>
            </w:r>
          </w:p>
        </w:tc>
      </w:tr>
      <w:tr w:rsidRPr="00DF77C7" w:rsidR="00E15FB4" w:rsidTr="00AD27B9" w14:paraId="58604F4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1CE823C" w14:textId="77777777">
            <w:pPr>
              <w:rPr>
                <w:rFonts w:ascii="Arial" w:hAnsi="Arial" w:cs="Arial"/>
                <w:sz w:val="22"/>
                <w:szCs w:val="22"/>
              </w:rPr>
            </w:pPr>
            <w:r w:rsidRPr="00CB4DF2">
              <w:rPr>
                <w:rFonts w:ascii="Arial" w:hAnsi="Arial" w:cs="Arial"/>
                <w:sz w:val="22"/>
                <w:szCs w:val="22"/>
              </w:rPr>
              <w:t>Version 3.1</w:t>
            </w:r>
          </w:p>
          <w:p w:rsidRPr="00D1051E" w:rsidR="00E15FB4" w:rsidP="00E15FB4" w:rsidRDefault="00E15FB4" w14:paraId="5E7F413C" w14:textId="6A66DBAF">
            <w:pPr>
              <w:rPr>
                <w:rFonts w:ascii="Arial" w:hAnsi="Arial" w:cs="Arial"/>
                <w:sz w:val="22"/>
                <w:szCs w:val="22"/>
              </w:rPr>
            </w:pPr>
            <w:r w:rsidRPr="00CB4DF2">
              <w:rPr>
                <w:rFonts w:ascii="Arial" w:hAnsi="Arial" w:cs="Arial"/>
                <w:sz w:val="22"/>
                <w:szCs w:val="22"/>
              </w:rPr>
              <w:t>December 2024</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0706C902" w14:textId="77777777">
            <w:pPr>
              <w:rPr>
                <w:rFonts w:ascii="Arial" w:hAnsi="Arial" w:cs="Arial"/>
                <w:sz w:val="22"/>
                <w:szCs w:val="22"/>
              </w:rPr>
            </w:pPr>
            <w:r w:rsidRPr="00CB4DF2">
              <w:rPr>
                <w:rFonts w:ascii="Arial" w:hAnsi="Arial" w:cs="Arial"/>
                <w:sz w:val="22"/>
                <w:szCs w:val="22"/>
              </w:rPr>
              <w:t>Updated template</w:t>
            </w:r>
          </w:p>
          <w:p w:rsidRPr="00D1051E" w:rsidR="00E15FB4" w:rsidP="00E15FB4" w:rsidRDefault="00E15FB4" w14:paraId="52F69288" w14:textId="2A5A0295">
            <w:pPr>
              <w:pStyle w:val="Tabletext"/>
              <w:rPr>
                <w:rFonts w:cs="Arial"/>
                <w:szCs w:val="22"/>
              </w:rPr>
            </w:pPr>
            <w:r w:rsidRPr="00CB4DF2">
              <w:rPr>
                <w:rFonts w:cs="Arial"/>
                <w:szCs w:val="22"/>
              </w:rPr>
              <w:t>Consent wording updated following discussions with SoR and RCR</w:t>
            </w:r>
          </w:p>
        </w:tc>
      </w:tr>
      <w:tr w:rsidRPr="00DF77C7" w:rsidR="00E15FB4" w:rsidTr="00AD27B9" w14:paraId="05E1D06C"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30584EB" w14:textId="77777777">
            <w:pPr>
              <w:rPr>
                <w:rFonts w:ascii="Arial" w:hAnsi="Arial" w:cs="Arial"/>
                <w:sz w:val="22"/>
                <w:szCs w:val="22"/>
              </w:rPr>
            </w:pPr>
            <w:r w:rsidRPr="00CB4DF2">
              <w:rPr>
                <w:rFonts w:ascii="Arial" w:hAnsi="Arial" w:cs="Arial"/>
                <w:sz w:val="22"/>
                <w:szCs w:val="22"/>
              </w:rPr>
              <w:t>Version 3.2</w:t>
            </w:r>
          </w:p>
          <w:p w:rsidRPr="00CB4DF2" w:rsidR="00E15FB4" w:rsidP="00E15FB4" w:rsidRDefault="00E15FB4" w14:paraId="446CFE85" w14:textId="45C9025D">
            <w:pPr>
              <w:rPr>
                <w:rFonts w:ascii="Arial" w:hAnsi="Arial" w:cs="Arial"/>
                <w:sz w:val="22"/>
                <w:szCs w:val="22"/>
              </w:rPr>
            </w:pPr>
            <w:r w:rsidRPr="00CB4DF2">
              <w:rPr>
                <w:rFonts w:ascii="Arial" w:hAnsi="Arial" w:cs="Arial"/>
                <w:sz w:val="22"/>
                <w:szCs w:val="22"/>
              </w:rPr>
              <w:t>April 2025</w:t>
            </w:r>
          </w:p>
        </w:tc>
        <w:tc>
          <w:tcPr>
            <w:tcW w:w="7020" w:type="dxa"/>
            <w:tcBorders>
              <w:top w:val="single" w:color="auto" w:sz="4" w:space="0"/>
              <w:left w:val="single" w:color="auto" w:sz="4" w:space="0"/>
              <w:bottom w:val="single" w:color="auto" w:sz="4" w:space="0"/>
              <w:right w:val="single" w:color="auto" w:sz="4" w:space="0"/>
            </w:tcBorders>
          </w:tcPr>
          <w:p w:rsidRPr="00CB4DF2" w:rsidR="00E15FB4" w:rsidP="00E15FB4" w:rsidRDefault="00E15FB4" w14:paraId="4B6C7F34" w14:textId="77777777">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rsidRPr="00CB4DF2" w:rsidR="00E15FB4" w:rsidP="00E15FB4" w:rsidRDefault="00E15FB4" w14:paraId="246D083D" w14:textId="1C58CA6E">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rsidRPr="00DF77C7" w:rsidR="00813399" w:rsidP="00ED232C" w:rsidRDefault="00813399" w14:paraId="403025EC" w14:textId="77777777">
      <w:pPr>
        <w:pStyle w:val="PGDNormal"/>
      </w:pPr>
    </w:p>
    <w:p w:rsidRPr="00DF77C7" w:rsidR="00813399" w:rsidP="00763E7A" w:rsidRDefault="00E46E97" w14:paraId="2CBBA5EF" w14:textId="38129608">
      <w:pPr>
        <w:pStyle w:val="PGDNormal"/>
        <w:rPr>
          <w:lang w:val="en-GB"/>
        </w:rPr>
      </w:pPr>
      <w:r>
        <w:rPr>
          <w:highlight w:val="yellow"/>
          <w:lang w:val="en-GB"/>
        </w:rPr>
        <w:t>[[</w:t>
      </w:r>
      <w:r w:rsidRPr="00DF77C7" w:rsidR="00813399">
        <w:rPr>
          <w:highlight w:val="yellow"/>
          <w:lang w:val="en-GB"/>
        </w:rPr>
        <w:t xml:space="preserve">Each organisation using this PGD must ensure that it is formally signed by a senior pharmacist, a senior doctor and any other professional group representatives involved </w:t>
      </w:r>
      <w:r w:rsidRPr="00DF77C7" w:rsidR="00813399">
        <w:rPr>
          <w:highlight w:val="yellow"/>
          <w:lang w:val="en-GB"/>
        </w:rPr>
        <w:lastRenderedPageBreak/>
        <w:t>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rsidRPr="00DF77C7" w:rsidR="00813399" w:rsidP="004C1FDF" w:rsidRDefault="006829D5" w14:paraId="75C4570A" w14:textId="391B4B37">
      <w:pPr>
        <w:pStyle w:val="Heading1"/>
      </w:pPr>
      <w:r w:rsidRPr="00DF77C7">
        <w:rPr>
          <w:highlight w:val="yellow"/>
        </w:rPr>
        <w:br w:type="page"/>
      </w:r>
      <w:r w:rsidRPr="00DF77C7" w:rsidR="00813399">
        <w:lastRenderedPageBreak/>
        <w:t xml:space="preserve">PGD </w:t>
      </w:r>
      <w:r w:rsidRPr="00DF77C7">
        <w:t>development group</w:t>
      </w: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Pr="00DF77C7" w:rsidR="00E15FB4" w:rsidTr="00043006" w14:paraId="2D1BCEA8" w14:textId="77777777">
        <w:tc>
          <w:tcPr>
            <w:tcW w:w="3969" w:type="dxa"/>
          </w:tcPr>
          <w:p w:rsidRPr="00DF77C7" w:rsidR="00E15FB4" w:rsidP="00E15FB4" w:rsidRDefault="00E15FB4" w14:paraId="68303232" w14:textId="77777777">
            <w:pPr>
              <w:pStyle w:val="Tabletext"/>
              <w:rPr>
                <w:lang w:val="en-GB"/>
              </w:rPr>
            </w:pPr>
            <w:r w:rsidRPr="00DF77C7">
              <w:rPr>
                <w:lang w:val="en-GB"/>
              </w:rPr>
              <w:t xml:space="preserve">Date PGD template comes into effect: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1C02A90B" w14:textId="26DD296C">
            <w:pPr>
              <w:pStyle w:val="Tabletext"/>
              <w:rPr>
                <w:lang w:val="en-GB"/>
              </w:rPr>
            </w:pPr>
            <w:r w:rsidRPr="00F82AC9">
              <w:t>1 January 2025</w:t>
            </w:r>
          </w:p>
        </w:tc>
      </w:tr>
      <w:tr w:rsidRPr="00DF77C7" w:rsidR="00E15FB4" w:rsidTr="00043006" w14:paraId="18F33630" w14:textId="77777777">
        <w:tc>
          <w:tcPr>
            <w:tcW w:w="3969" w:type="dxa"/>
          </w:tcPr>
          <w:p w:rsidRPr="00DF77C7" w:rsidR="00E15FB4" w:rsidP="00E15FB4" w:rsidRDefault="00E15FB4" w14:paraId="1ED3DDB2" w14:textId="77777777">
            <w:pPr>
              <w:pStyle w:val="Tabletext"/>
              <w:rPr>
                <w:lang w:val="en-GB"/>
              </w:rPr>
            </w:pPr>
            <w:r w:rsidRPr="00DF77C7">
              <w:rPr>
                <w:lang w:val="en-GB"/>
              </w:rPr>
              <w:t>Review date</w:t>
            </w:r>
          </w:p>
          <w:p w:rsidRPr="00DF77C7" w:rsidR="00E15FB4" w:rsidP="00E15FB4" w:rsidRDefault="00E15FB4" w14:paraId="40ECC743" w14:textId="77777777">
            <w:pPr>
              <w:pStyle w:val="Tabletext"/>
              <w:rPr>
                <w:lang w:val="en-GB"/>
              </w:rPr>
            </w:pP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6A527C3" w14:textId="2197D1B8">
            <w:pPr>
              <w:pStyle w:val="Tabletext"/>
              <w:rPr>
                <w:lang w:val="en-GB"/>
              </w:rPr>
            </w:pPr>
            <w:r w:rsidRPr="00F82AC9">
              <w:t>June 2027 or earlier in the event of significant changes in best practice</w:t>
            </w:r>
          </w:p>
        </w:tc>
      </w:tr>
      <w:tr w:rsidRPr="00DF77C7" w:rsidR="00E15FB4" w:rsidTr="00043006" w14:paraId="0FB80BBA" w14:textId="77777777">
        <w:tc>
          <w:tcPr>
            <w:tcW w:w="3969" w:type="dxa"/>
          </w:tcPr>
          <w:p w:rsidRPr="00DF77C7" w:rsidR="00E15FB4" w:rsidP="00E15FB4" w:rsidRDefault="00E15FB4" w14:paraId="45729AD1" w14:textId="77777777">
            <w:pPr>
              <w:pStyle w:val="Tabletext"/>
              <w:rPr>
                <w:lang w:val="en-GB"/>
              </w:rPr>
            </w:pPr>
            <w:r w:rsidRPr="00DF77C7">
              <w:rPr>
                <w:lang w:val="en-GB"/>
              </w:rPr>
              <w:t xml:space="preserve">Expiry date: </w:t>
            </w:r>
          </w:p>
        </w:tc>
        <w:tc>
          <w:tcPr>
            <w:tcW w:w="4536" w:type="dxa"/>
            <w:tcBorders>
              <w:top w:val="single" w:color="auto" w:sz="4" w:space="0"/>
              <w:left w:val="single" w:color="auto" w:sz="4" w:space="0"/>
              <w:bottom w:val="single" w:color="auto" w:sz="4" w:space="0"/>
              <w:right w:val="single" w:color="auto" w:sz="4" w:space="0"/>
            </w:tcBorders>
          </w:tcPr>
          <w:p w:rsidRPr="00DF77C7" w:rsidR="00E15FB4" w:rsidP="00E15FB4" w:rsidRDefault="00E15FB4" w14:paraId="58AA136C" w14:textId="5C44ACEB">
            <w:pPr>
              <w:pStyle w:val="Tabletext"/>
              <w:rPr>
                <w:lang w:val="en-GB"/>
              </w:rPr>
            </w:pPr>
            <w:r w:rsidRPr="00F82AC9">
              <w:t>31 December 2027</w:t>
            </w:r>
          </w:p>
        </w:tc>
      </w:tr>
    </w:tbl>
    <w:p w:rsidRPr="00DF77C7" w:rsidR="00050C45" w:rsidP="00F57606" w:rsidRDefault="00050C45" w14:paraId="22A68ADB" w14:textId="77777777">
      <w:pPr>
        <w:pStyle w:val="Tabletext"/>
      </w:pPr>
    </w:p>
    <w:p w:rsidRPr="00DF77C7" w:rsidR="00050C45" w:rsidP="00AD67D4" w:rsidRDefault="00050C45" w14:paraId="6A29B472" w14:textId="77777777">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rsidRPr="00DF77C7" w:rsidR="00050C45" w:rsidP="00AD67D4" w:rsidRDefault="00050C45" w14:paraId="58CD625E" w14:textId="08FA545C">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Pr="00DF77C7" w:rsidR="006829D5">
        <w:rPr>
          <w:lang w:val="en-GB"/>
        </w:rPr>
        <w:t xml:space="preserve">from the </w:t>
      </w:r>
      <w:hyperlink w:history="1" r:id="rId12">
        <w:r w:rsidRPr="00DF77C7" w:rsidR="006829D5">
          <w:rPr>
            <w:rStyle w:val="Hyperlink"/>
            <w:lang w:val="en-GB"/>
          </w:rPr>
          <w:t>SPS national PGD template webpage</w:t>
        </w:r>
      </w:hyperlink>
      <w:r w:rsidRPr="00DF77C7" w:rsidR="006829D5">
        <w:rPr>
          <w:lang w:val="en-GB"/>
        </w:rPr>
        <w:t>.</w:t>
      </w:r>
    </w:p>
    <w:p w:rsidRPr="00DF77C7" w:rsidR="00050C45" w:rsidP="00F57606" w:rsidRDefault="00050C45" w14:paraId="6EA0E318" w14:textId="77777777">
      <w:pPr>
        <w:pStyle w:val="Tabletext"/>
      </w:pPr>
      <w:r w:rsidRPr="00DF77C7">
        <w:rPr>
          <w:rStyle w:val="PGDNormalBold"/>
        </w:rPr>
        <w:t>This section MUST REMAIN when a PGD is adopted by an organisation.</w:t>
      </w:r>
      <w:r w:rsidRPr="00DF77C7">
        <w:t xml:space="preserve"> </w:t>
      </w:r>
    </w:p>
    <w:p w:rsidRPr="002416AD" w:rsidR="008762B8" w:rsidP="002416AD" w:rsidRDefault="008762B8" w14:paraId="0AB2A287" w14:textId="77777777">
      <w:pPr>
        <w:pStyle w:val="Tabletext"/>
        <w:rPr>
          <w:sz w:val="20"/>
        </w:rPr>
      </w:pPr>
    </w:p>
    <w:tbl>
      <w:tblPr>
        <w:tblpPr w:leftFromText="180" w:rightFromText="180" w:vertAnchor="text" w:horzAnchor="margin" w:tblpY="26"/>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Pr="00DF77C7" w:rsidR="005E6963" w:rsidTr="005E6963" w14:paraId="0CD61D6C" w14:textId="77777777">
        <w:trPr>
          <w:trHeight w:val="565"/>
          <w:tblHeader/>
        </w:trPr>
        <w:tc>
          <w:tcPr>
            <w:tcW w:w="2297"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1432670F" w14:textId="77777777">
            <w:pPr>
              <w:pStyle w:val="TableHeaderRow"/>
            </w:pPr>
            <w:r w:rsidRPr="00DF77C7">
              <w:t>Name or Role</w:t>
            </w:r>
          </w:p>
        </w:tc>
        <w:tc>
          <w:tcPr>
            <w:tcW w:w="6912" w:type="dxa"/>
            <w:tcBorders>
              <w:top w:val="single" w:color="auto" w:sz="4" w:space="0"/>
              <w:left w:val="single" w:color="auto" w:sz="4" w:space="0"/>
              <w:bottom w:val="single" w:color="auto" w:sz="4" w:space="0"/>
              <w:right w:val="single" w:color="auto" w:sz="4" w:space="0"/>
            </w:tcBorders>
            <w:shd w:val="clear" w:color="auto" w:fill="auto"/>
            <w:hideMark/>
          </w:tcPr>
          <w:p w:rsidRPr="00DF77C7" w:rsidR="005E6963" w:rsidP="00160183" w:rsidRDefault="005E6963" w14:paraId="6CA85561" w14:textId="77777777">
            <w:pPr>
              <w:pStyle w:val="TableHeaderRow"/>
            </w:pPr>
            <w:r w:rsidRPr="00DF77C7">
              <w:t>Position</w:t>
            </w:r>
          </w:p>
        </w:tc>
      </w:tr>
      <w:tr w:rsidRPr="00DF77C7" w:rsidR="002416AD" w:rsidTr="005E6963" w14:paraId="6D7832C8" w14:textId="77777777">
        <w:trPr>
          <w:trHeight w:val="84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D33821E" w14:textId="693F931A">
            <w:pPr>
              <w:pStyle w:val="Tabletext"/>
              <w:rPr>
                <w:rFonts w:eastAsia="Calibri"/>
                <w:lang w:val="en-GB"/>
              </w:rPr>
            </w:pPr>
            <w:r>
              <w:rPr>
                <w:rFonts w:cs="Arial"/>
                <w:sz w:val="20"/>
              </w:rPr>
              <w:t>Catherine Baldridge</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C137020" w14:textId="2F9346AE">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Pr="00DF77C7" w:rsidR="002416AD" w:rsidTr="002416AD" w14:paraId="15A217EB" w14:textId="77777777">
        <w:trPr>
          <w:trHeight w:val="692"/>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543479AC" w14:textId="400B4818">
            <w:pPr>
              <w:pStyle w:val="Tabletext"/>
              <w:rPr>
                <w:rFonts w:eastAsia="Calibri"/>
                <w:lang w:val="en-GB"/>
              </w:rPr>
            </w:pPr>
            <w:r>
              <w:rPr>
                <w:rFonts w:cs="Arial"/>
                <w:sz w:val="20"/>
              </w:rPr>
              <w:t>Dr Giles Roditi</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7C2C9AF1" w14:textId="3513FCBE">
            <w:pPr>
              <w:pStyle w:val="Tabletext"/>
              <w:rPr>
                <w:rFonts w:eastAsia="Calibri"/>
                <w:sz w:val="20"/>
                <w:lang w:val="en-GB"/>
              </w:rPr>
            </w:pPr>
            <w:r w:rsidRPr="002416AD">
              <w:rPr>
                <w:sz w:val="20"/>
              </w:rPr>
              <w:t>Consultant Radiologist, Glasgow Royal Infirmary and President BSCI.  Representing RCR</w:t>
            </w:r>
          </w:p>
        </w:tc>
      </w:tr>
      <w:tr w:rsidRPr="00DF77C7" w:rsidR="002416AD" w:rsidTr="005E6963" w14:paraId="15C69C66" w14:textId="77777777">
        <w:trPr>
          <w:trHeight w:val="638"/>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067C5D4E" w14:textId="0E6706F5">
            <w:pPr>
              <w:pStyle w:val="Tabletext"/>
              <w:rPr>
                <w:rFonts w:eastAsia="Calibri"/>
                <w:lang w:val="en-GB"/>
              </w:rPr>
            </w:pPr>
            <w:r>
              <w:rPr>
                <w:rFonts w:cs="Arial"/>
                <w:sz w:val="20"/>
              </w:rPr>
              <w:t>Dr Richard Goodwin</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2D289570" w14:textId="77777777">
            <w:pPr>
              <w:pStyle w:val="Tabletext"/>
              <w:rPr>
                <w:sz w:val="20"/>
              </w:rPr>
            </w:pPr>
            <w:r w:rsidRPr="002416AD">
              <w:rPr>
                <w:sz w:val="20"/>
              </w:rPr>
              <w:t>Lead National Specialty Advisor for Imaging </w:t>
            </w:r>
          </w:p>
          <w:p w:rsidRPr="002416AD" w:rsidR="002416AD" w:rsidP="002416AD" w:rsidRDefault="002416AD" w14:paraId="08F9C2EE" w14:textId="77777777">
            <w:pPr>
              <w:pStyle w:val="Tabletext"/>
              <w:rPr>
                <w:sz w:val="20"/>
              </w:rPr>
            </w:pPr>
            <w:r w:rsidRPr="002416AD">
              <w:rPr>
                <w:sz w:val="20"/>
              </w:rPr>
              <w:t>National Diagnostic Programme</w:t>
            </w:r>
          </w:p>
          <w:p w:rsidRPr="002416AD" w:rsidR="002416AD" w:rsidP="002416AD" w:rsidRDefault="002416AD" w14:paraId="53553074" w14:textId="70B7E4BF">
            <w:pPr>
              <w:pStyle w:val="Tabletext"/>
              <w:rPr>
                <w:rFonts w:eastAsia="Calibri"/>
                <w:sz w:val="20"/>
                <w:lang w:val="en-GB"/>
              </w:rPr>
            </w:pPr>
            <w:r w:rsidRPr="002416AD">
              <w:rPr>
                <w:sz w:val="20"/>
              </w:rPr>
              <w:t>NHS England</w:t>
            </w:r>
          </w:p>
        </w:tc>
      </w:tr>
      <w:tr w:rsidRPr="00DF77C7" w:rsidR="002416AD" w:rsidTr="005E6963" w14:paraId="2441A89E" w14:textId="77777777">
        <w:trPr>
          <w:trHeight w:val="56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6ABB2F" w14:textId="05B203B2">
            <w:pPr>
              <w:pStyle w:val="Tabletext"/>
              <w:rPr>
                <w:lang w:val="en-GB"/>
              </w:rPr>
            </w:pPr>
            <w:r>
              <w:rPr>
                <w:rFonts w:cs="Arial"/>
                <w:sz w:val="20"/>
              </w:rPr>
              <w:t xml:space="preserve">Jo Jenkins </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C9BFAE0" w14:textId="70036F9F">
            <w:pPr>
              <w:pStyle w:val="Tabletext"/>
              <w:rPr>
                <w:sz w:val="20"/>
                <w:lang w:val="en-GB"/>
              </w:rPr>
            </w:pPr>
            <w:r w:rsidRPr="002416AD">
              <w:rPr>
                <w:sz w:val="20"/>
              </w:rPr>
              <w:t>Associate Director, Governance, Medicines Use and Safety, NHS Specialist Pharmacy Service</w:t>
            </w:r>
          </w:p>
        </w:tc>
      </w:tr>
      <w:tr w:rsidRPr="00DF77C7" w:rsidR="002416AD" w:rsidTr="002416AD" w14:paraId="0E576D53" w14:textId="77777777">
        <w:trPr>
          <w:trHeight w:val="382"/>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5EE8281" w14:textId="3A67509D">
            <w:pPr>
              <w:pStyle w:val="Tabletext"/>
              <w:rPr>
                <w:lang w:val="en-GB"/>
              </w:rPr>
            </w:pPr>
            <w:r>
              <w:rPr>
                <w:rFonts w:cs="Arial"/>
                <w:sz w:val="20"/>
              </w:rPr>
              <w:t>Paul Newman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A113ED2" w14:textId="2FFB25BA">
            <w:pPr>
              <w:pStyle w:val="Tabletext"/>
              <w:rPr>
                <w:sz w:val="20"/>
                <w:lang w:val="en-GB"/>
              </w:rPr>
            </w:pPr>
            <w:r w:rsidRPr="002416AD">
              <w:rPr>
                <w:sz w:val="20"/>
              </w:rPr>
              <w:t>MRI Radiographer, North West Anglia NHS Foundation Trust</w:t>
            </w:r>
          </w:p>
        </w:tc>
      </w:tr>
      <w:tr w:rsidRPr="00DF77C7" w:rsidR="002416AD" w:rsidTr="005E6963" w14:paraId="06658BE4" w14:textId="77777777">
        <w:trPr>
          <w:trHeight w:val="539"/>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4B09C5EB" w14:textId="356EB4DC">
            <w:pPr>
              <w:pStyle w:val="Tabletext"/>
              <w:rPr>
                <w:lang w:val="en-GB"/>
              </w:rPr>
            </w:pPr>
            <w:r>
              <w:rPr>
                <w:rFonts w:cs="Arial"/>
                <w:sz w:val="20"/>
              </w:rPr>
              <w:t>Sarah Bond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0FAAE1F" w14:textId="43A9DFBE">
            <w:pPr>
              <w:pStyle w:val="Tabletext"/>
              <w:rPr>
                <w:sz w:val="20"/>
                <w:lang w:val="en-GB"/>
              </w:rPr>
            </w:pPr>
            <w:r w:rsidRPr="002416AD">
              <w:rPr>
                <w:sz w:val="20"/>
              </w:rPr>
              <w:t>Radiology Governance Lead and Diagnostic Radiographer, Royal United Hospitals Bath NHS Foundation Trust</w:t>
            </w:r>
          </w:p>
        </w:tc>
      </w:tr>
      <w:tr w:rsidRPr="00DF77C7" w:rsidR="002416AD" w:rsidTr="002416AD" w14:paraId="3803C8B9" w14:textId="77777777">
        <w:trPr>
          <w:trHeight w:val="580"/>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0B466E6" w14:textId="079C02BC">
            <w:pPr>
              <w:pStyle w:val="Tabletext"/>
              <w:rPr>
                <w:lang w:val="en-GB"/>
              </w:rPr>
            </w:pPr>
            <w:r>
              <w:rPr>
                <w:rFonts w:cs="Arial"/>
                <w:sz w:val="20"/>
              </w:rPr>
              <w:t>Peter Caulton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52BB571F" w14:textId="30120739">
            <w:pPr>
              <w:pStyle w:val="Tabletext"/>
              <w:rPr>
                <w:sz w:val="20"/>
                <w:lang w:val="en-GB"/>
              </w:rPr>
            </w:pPr>
            <w:r w:rsidRPr="002416AD">
              <w:rPr>
                <w:sz w:val="20"/>
              </w:rPr>
              <w:t>Clinical Professional Manager for CT &amp; MRI services St Helens &amp; Knowsley Teaching Hospitals NHS Trust</w:t>
            </w:r>
          </w:p>
        </w:tc>
      </w:tr>
      <w:tr w:rsidRPr="00DF77C7" w:rsidR="002416AD" w:rsidTr="005E6963" w14:paraId="2099D9F1" w14:textId="77777777">
        <w:trPr>
          <w:trHeight w:val="764"/>
        </w:trPr>
        <w:tc>
          <w:tcPr>
            <w:tcW w:w="2297" w:type="dxa"/>
            <w:tcBorders>
              <w:top w:val="single" w:color="auto" w:sz="4" w:space="0"/>
              <w:left w:val="single" w:color="auto" w:sz="4" w:space="0"/>
              <w:bottom w:val="single" w:color="auto" w:sz="4" w:space="0"/>
              <w:right w:val="single" w:color="auto" w:sz="4" w:space="0"/>
            </w:tcBorders>
          </w:tcPr>
          <w:p w:rsidRPr="00DF77C7" w:rsidR="002416AD" w:rsidP="002416AD" w:rsidRDefault="002416AD" w14:paraId="784A3A8D" w14:textId="3EABDDB7">
            <w:pPr>
              <w:pStyle w:val="Tabletext"/>
              <w:rPr>
                <w:lang w:val="en-GB"/>
              </w:rPr>
            </w:pPr>
            <w:r>
              <w:rPr>
                <w:rFonts w:cs="Arial"/>
                <w:sz w:val="20"/>
              </w:rPr>
              <w:t>Sue Johnson</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0B5D7B8A" w14:textId="6AAB8BD1">
            <w:pPr>
              <w:pStyle w:val="Tabletext"/>
              <w:rPr>
                <w:sz w:val="20"/>
                <w:lang w:val="en-GB"/>
              </w:rPr>
            </w:pPr>
            <w:r w:rsidRPr="002416AD">
              <w:rPr>
                <w:sz w:val="20"/>
              </w:rPr>
              <w:t>Professional Officer Clinical Imaging, The Society and College of Radiographers</w:t>
            </w:r>
          </w:p>
        </w:tc>
      </w:tr>
      <w:tr w:rsidRPr="00DF77C7" w:rsidR="002416AD" w:rsidTr="005E6963" w14:paraId="4C01E258" w14:textId="77777777">
        <w:trPr>
          <w:trHeight w:val="84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60BFA2D" w14:textId="77777777">
            <w:pPr>
              <w:pStyle w:val="Tabletext"/>
              <w:rPr>
                <w:sz w:val="20"/>
              </w:rPr>
            </w:pPr>
            <w:r w:rsidRPr="002416AD">
              <w:rPr>
                <w:sz w:val="20"/>
              </w:rPr>
              <w:t xml:space="preserve">Jo Wilkinson     </w:t>
            </w:r>
          </w:p>
          <w:p w:rsidRPr="002416AD" w:rsidR="002416AD" w:rsidP="002416AD" w:rsidRDefault="002416AD" w14:paraId="494AA640" w14:textId="521FB913">
            <w:pPr>
              <w:pStyle w:val="Tabletext"/>
              <w:rPr>
                <w:rFonts w:eastAsia="Calibri"/>
                <w:sz w:val="20"/>
                <w:szCs w:val="22"/>
                <w:lang w:val="en-GB"/>
              </w:rPr>
            </w:pP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3B08829" w14:textId="77777777">
            <w:pPr>
              <w:pStyle w:val="Tabletext"/>
              <w:rPr>
                <w:sz w:val="20"/>
              </w:rPr>
            </w:pPr>
            <w:r w:rsidRPr="002416AD">
              <w:rPr>
                <w:sz w:val="20"/>
              </w:rPr>
              <w:t>Specialist Pharmacist – Theatres and Critical Care</w:t>
            </w:r>
          </w:p>
          <w:p w:rsidRPr="002416AD" w:rsidR="002416AD" w:rsidP="002416AD" w:rsidRDefault="002416AD" w14:paraId="4FD8CBD4" w14:textId="76644430">
            <w:pPr>
              <w:pStyle w:val="Tabletext"/>
              <w:rPr>
                <w:rFonts w:eastAsia="Calibri"/>
                <w:sz w:val="20"/>
                <w:lang w:val="en-GB"/>
              </w:rPr>
            </w:pPr>
            <w:r w:rsidRPr="002416AD">
              <w:rPr>
                <w:sz w:val="20"/>
              </w:rPr>
              <w:t>Hinchingbrooke Hospital North West Anglia NHS Foundation Trust</w:t>
            </w:r>
          </w:p>
        </w:tc>
      </w:tr>
      <w:tr w:rsidRPr="00DF77C7" w:rsidR="002416AD" w:rsidTr="005E6963" w14:paraId="69FDDB9F" w14:textId="77777777">
        <w:trPr>
          <w:trHeight w:val="687"/>
        </w:trPr>
        <w:tc>
          <w:tcPr>
            <w:tcW w:w="2297"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7F553184" w14:textId="27F952F7">
            <w:pPr>
              <w:pStyle w:val="Tabletext"/>
              <w:rPr>
                <w:rFonts w:eastAsia="Calibri"/>
                <w:lang w:val="en-GB"/>
              </w:rPr>
            </w:pPr>
            <w:r>
              <w:rPr>
                <w:rFonts w:cs="Arial"/>
                <w:sz w:val="20"/>
              </w:rPr>
              <w:t>Barbara Parkinson – working group lead</w:t>
            </w:r>
          </w:p>
        </w:tc>
        <w:tc>
          <w:tcPr>
            <w:tcW w:w="6912" w:type="dxa"/>
            <w:tcBorders>
              <w:top w:val="single" w:color="auto" w:sz="4" w:space="0"/>
              <w:left w:val="single" w:color="auto" w:sz="4" w:space="0"/>
              <w:bottom w:val="single" w:color="auto" w:sz="4" w:space="0"/>
              <w:right w:val="single" w:color="auto" w:sz="4" w:space="0"/>
            </w:tcBorders>
            <w:hideMark/>
          </w:tcPr>
          <w:p w:rsidRPr="00DF77C7" w:rsidR="002416AD" w:rsidP="002416AD" w:rsidRDefault="002416AD" w14:paraId="02599635" w14:textId="01C746D7">
            <w:pPr>
              <w:pStyle w:val="Tabletext"/>
              <w:rPr>
                <w:rFonts w:eastAsia="Calibri"/>
                <w:lang w:val="en-GB"/>
              </w:rPr>
            </w:pPr>
            <w:r>
              <w:rPr>
                <w:rFonts w:cs="Arial"/>
                <w:sz w:val="20"/>
              </w:rPr>
              <w:t>Advanced Specialist Pharmacy Technician. Governance, Medicines Use and Safety, NHS Specialist Pharmacy Service</w:t>
            </w:r>
          </w:p>
        </w:tc>
      </w:tr>
      <w:tr w:rsidRPr="00DF77C7" w:rsidR="002416AD" w:rsidTr="005E6963" w14:paraId="35233D0C" w14:textId="77777777">
        <w:trPr>
          <w:trHeight w:val="711"/>
        </w:trPr>
        <w:tc>
          <w:tcPr>
            <w:tcW w:w="2297"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7304BC04" w14:textId="54F55F46">
            <w:pPr>
              <w:pStyle w:val="Tabletext"/>
              <w:rPr>
                <w:rFonts w:eastAsia="Calibri"/>
                <w:color w:val="000000"/>
                <w:lang w:val="en-GB"/>
              </w:rPr>
            </w:pPr>
            <w:r w:rsidRPr="002416AD">
              <w:rPr>
                <w:color w:val="000000"/>
              </w:rPr>
              <w:lastRenderedPageBreak/>
              <w:t>Sarah Jenkins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7ADE788" w14:textId="29AD6A8F">
            <w:pPr>
              <w:pStyle w:val="Tabletext"/>
              <w:rPr>
                <w:rFonts w:eastAsia="Calibri"/>
                <w:color w:val="000000"/>
                <w:lang w:val="en-GB"/>
              </w:rPr>
            </w:pPr>
            <w:r w:rsidRPr="002416AD">
              <w:rPr>
                <w:color w:val="000000"/>
              </w:rPr>
              <w:t>Quality and Governance Manager, Imaging services, University hospitals Dorset</w:t>
            </w:r>
          </w:p>
        </w:tc>
      </w:tr>
      <w:tr w:rsidRPr="00DF77C7" w:rsidR="002416AD" w:rsidTr="005E6963" w14:paraId="059ABF45" w14:textId="77777777">
        <w:trPr>
          <w:trHeight w:val="61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3E9CCF4" w14:textId="5EFE50D1">
            <w:pPr>
              <w:pStyle w:val="Tabletext"/>
              <w:rPr>
                <w:rFonts w:eastAsia="Calibri"/>
                <w:color w:val="000000"/>
                <w:lang w:val="en-GB"/>
              </w:rPr>
            </w:pPr>
            <w:r w:rsidRPr="002416AD">
              <w:rPr>
                <w:color w:val="000000"/>
              </w:rPr>
              <w:t>Sue Rimes</w:t>
            </w:r>
          </w:p>
        </w:tc>
        <w:tc>
          <w:tcPr>
            <w:tcW w:w="6912" w:type="dxa"/>
            <w:tcBorders>
              <w:top w:val="single" w:color="auto" w:sz="4" w:space="0"/>
              <w:left w:val="single" w:color="auto" w:sz="4" w:space="0"/>
              <w:bottom w:val="single" w:color="auto" w:sz="4" w:space="0"/>
              <w:right w:val="single" w:color="auto" w:sz="4" w:space="0"/>
            </w:tcBorders>
          </w:tcPr>
          <w:p w:rsidRPr="002416AD" w:rsidR="002416AD" w:rsidP="002416AD" w:rsidRDefault="002416AD" w14:paraId="5D6F5B3C" w14:textId="77777777">
            <w:pPr>
              <w:pStyle w:val="Tabletext"/>
              <w:rPr>
                <w:color w:val="000000"/>
              </w:rPr>
            </w:pPr>
            <w:r w:rsidRPr="002416AD">
              <w:rPr>
                <w:color w:val="000000"/>
              </w:rPr>
              <w:t>Principal Radiographer, Musgrove Park Hospital</w:t>
            </w:r>
          </w:p>
          <w:p w:rsidRPr="002416AD" w:rsidR="002416AD" w:rsidP="002416AD" w:rsidRDefault="002416AD" w14:paraId="502D7A32" w14:textId="140BE990">
            <w:pPr>
              <w:pStyle w:val="Tabletext"/>
              <w:rPr>
                <w:rFonts w:eastAsia="Calibri"/>
                <w:color w:val="000000"/>
                <w:lang w:val="en-GB"/>
              </w:rPr>
            </w:pPr>
            <w:r w:rsidRPr="002416AD">
              <w:rPr>
                <w:color w:val="000000"/>
              </w:rPr>
              <w:t>Somerset NHS Foundation Trust</w:t>
            </w:r>
          </w:p>
        </w:tc>
      </w:tr>
      <w:tr w:rsidRPr="00DF77C7" w:rsidR="002416AD" w:rsidTr="005E6963" w14:paraId="3652FCC6" w14:textId="77777777">
        <w:trPr>
          <w:trHeight w:val="1150"/>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1CA8641B" w14:textId="6BCA1B96">
            <w:pPr>
              <w:pStyle w:val="Tabletext"/>
              <w:rPr>
                <w:rFonts w:eastAsia="Calibri"/>
                <w:color w:val="000000"/>
                <w:lang w:val="en-GB"/>
              </w:rPr>
            </w:pPr>
            <w:r w:rsidRPr="002416AD">
              <w:rPr>
                <w:color w:val="000000"/>
              </w:rPr>
              <w:t>Tamsin Arnold</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3837FE3D" w14:textId="77777777">
            <w:pPr>
              <w:pStyle w:val="Tabletext"/>
              <w:rPr>
                <w:color w:val="000000"/>
              </w:rPr>
            </w:pPr>
            <w:r w:rsidRPr="002416AD">
              <w:rPr>
                <w:color w:val="000000"/>
              </w:rPr>
              <w:t>Accredited Advanced Practitioner Radiographer</w:t>
            </w:r>
          </w:p>
          <w:p w:rsidRPr="002416AD" w:rsidR="002416AD" w:rsidP="002416AD" w:rsidRDefault="002416AD" w14:paraId="57213F21" w14:textId="77777777">
            <w:pPr>
              <w:pStyle w:val="Tabletext"/>
              <w:rPr>
                <w:color w:val="000000"/>
              </w:rPr>
            </w:pPr>
            <w:r w:rsidRPr="002416AD">
              <w:rPr>
                <w:color w:val="000000"/>
              </w:rPr>
              <w:t>CT Dementia Reporting and Radiology Governance, University Hospitals Sussex NHS Foundation Trust</w:t>
            </w:r>
          </w:p>
          <w:p w:rsidRPr="002416AD" w:rsidR="002416AD" w:rsidP="002416AD" w:rsidRDefault="002416AD" w14:paraId="290D7DC5" w14:textId="317FAE14">
            <w:pPr>
              <w:pStyle w:val="Tabletext"/>
              <w:rPr>
                <w:rFonts w:eastAsia="Calibri"/>
                <w:color w:val="000000"/>
                <w:lang w:val="en-GB"/>
              </w:rPr>
            </w:pPr>
            <w:r w:rsidRPr="002416AD">
              <w:rPr>
                <w:color w:val="000000"/>
              </w:rPr>
              <w:t>Joint Chair, Society and College of Radiographers CT Advisory Group</w:t>
            </w:r>
          </w:p>
        </w:tc>
      </w:tr>
      <w:tr w:rsidRPr="00DF77C7" w:rsidR="002416AD" w:rsidTr="005E6963" w14:paraId="33D7CA92" w14:textId="77777777">
        <w:trPr>
          <w:trHeight w:val="665"/>
        </w:trPr>
        <w:tc>
          <w:tcPr>
            <w:tcW w:w="2297"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28B813CB" w14:textId="3C93326C">
            <w:pPr>
              <w:pStyle w:val="Tabletext"/>
              <w:rPr>
                <w:rFonts w:eastAsia="Calibri"/>
                <w:color w:val="000000"/>
                <w:lang w:val="en-GB"/>
              </w:rPr>
            </w:pPr>
            <w:r w:rsidRPr="002416AD">
              <w:rPr>
                <w:color w:val="000000"/>
              </w:rPr>
              <w:t>Tracy Rogers</w:t>
            </w:r>
          </w:p>
        </w:tc>
        <w:tc>
          <w:tcPr>
            <w:tcW w:w="6912" w:type="dxa"/>
            <w:tcBorders>
              <w:top w:val="single" w:color="auto" w:sz="4" w:space="0"/>
              <w:left w:val="single" w:color="auto" w:sz="4" w:space="0"/>
              <w:bottom w:val="single" w:color="auto" w:sz="4" w:space="0"/>
              <w:right w:val="single" w:color="auto" w:sz="4" w:space="0"/>
            </w:tcBorders>
            <w:hideMark/>
          </w:tcPr>
          <w:p w:rsidRPr="002416AD" w:rsidR="002416AD" w:rsidP="002416AD" w:rsidRDefault="002416AD" w14:paraId="6FE11C98" w14:textId="4B20EC16">
            <w:pPr>
              <w:pStyle w:val="Tabletext"/>
              <w:rPr>
                <w:rFonts w:eastAsia="Calibri"/>
                <w:color w:val="000000"/>
                <w:lang w:val="en-GB"/>
              </w:rPr>
            </w:pPr>
            <w:r w:rsidRPr="002416AD">
              <w:rPr>
                <w:color w:val="000000"/>
              </w:rPr>
              <w:t>Director, Medicines Use and Safety, Specialist Pharmacy Services</w:t>
            </w:r>
          </w:p>
        </w:tc>
      </w:tr>
    </w:tbl>
    <w:p w:rsidRPr="00DF77C7" w:rsidR="00050C45" w:rsidP="009811EA" w:rsidRDefault="00050C45" w14:paraId="6C88F5F9" w14:textId="77777777">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rsidRPr="00ED232C" w:rsidR="0059738E" w:rsidP="00ED232C" w:rsidRDefault="00FC4AA5" w14:paraId="5D513D47" w14:textId="77777777">
      <w:pPr>
        <w:pStyle w:val="PGDNormal"/>
        <w:rPr>
          <w:highlight w:val="yellow"/>
        </w:rPr>
      </w:pPr>
      <w:r w:rsidRPr="00ED232C">
        <w:rPr>
          <w:highlight w:val="yellow"/>
        </w:rPr>
        <w:br w:type="page"/>
      </w:r>
    </w:p>
    <w:p w:rsidRPr="00DF77C7" w:rsidR="00813399" w:rsidP="008762B8" w:rsidRDefault="005E6491" w14:paraId="10A8B552" w14:textId="08D1D5D2">
      <w:pPr>
        <w:pStyle w:val="PGDNormal"/>
        <w:rPr>
          <w:lang w:val="en-GB"/>
        </w:rPr>
      </w:pPr>
      <w:r>
        <w:rPr>
          <w:highlight w:val="yellow"/>
          <w:lang w:val="en-GB"/>
        </w:rPr>
        <w:lastRenderedPageBreak/>
        <w:t>[[</w:t>
      </w:r>
      <w:r w:rsidRPr="00DF77C7" w:rsidR="00813399">
        <w:rPr>
          <w:highlight w:val="yellow"/>
          <w:lang w:val="en-GB"/>
        </w:rPr>
        <w:t>The PGD template is not legally valid until it has had the relevant organisational approval.  See below.</w:t>
      </w:r>
      <w:r>
        <w:rPr>
          <w:lang w:val="en-GB"/>
        </w:rPr>
        <w:t>]]</w:t>
      </w:r>
    </w:p>
    <w:p w:rsidRPr="00DF77C7" w:rsidR="00813399" w:rsidP="00B65003" w:rsidRDefault="00B65003" w14:paraId="580C0EA3" w14:textId="18313674">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rsidRPr="00DF77C7" w:rsidR="00813399" w:rsidP="008762B8" w:rsidRDefault="005E6491" w14:paraId="7D746B46" w14:textId="0C6EE685">
      <w:pPr>
        <w:pStyle w:val="PGDNormal"/>
        <w:rPr>
          <w:highlight w:val="yellow"/>
          <w:lang w:val="en-GB"/>
        </w:rPr>
      </w:pPr>
      <w:r>
        <w:rPr>
          <w:highlight w:val="yellow"/>
          <w:lang w:val="en-GB"/>
        </w:rPr>
        <w:t>[[</w:t>
      </w:r>
      <w:r w:rsidRPr="00DF77C7" w:rsidR="00813399">
        <w:rPr>
          <w:highlight w:val="yellow"/>
          <w:lang w:val="en-GB"/>
        </w:rPr>
        <w:t>This page may be deleted if replaced with a format agreed according to local PGD policy with relevant approvals and authorisation.</w:t>
      </w:r>
    </w:p>
    <w:p w:rsidRPr="00DF77C7" w:rsidR="00813399" w:rsidP="008762B8" w:rsidRDefault="00813399" w14:paraId="39BC0C7D" w14:textId="1BB42587">
      <w:pPr>
        <w:pStyle w:val="PGDNormal"/>
        <w:rPr>
          <w:highlight w:val="yellow"/>
          <w:lang w:val="en-GB"/>
        </w:rPr>
      </w:pPr>
      <w:r w:rsidRPr="00DF77C7">
        <w:rPr>
          <w:highlight w:val="yellow"/>
          <w:lang w:val="en-GB"/>
        </w:rPr>
        <w:t>The PGD is not legally valid until it has had the relevant organisational authorisations.</w:t>
      </w:r>
    </w:p>
    <w:p w:rsidRPr="00DF77C7" w:rsidR="00813399" w:rsidP="008762B8" w:rsidRDefault="00813399" w14:paraId="7E37FB70" w14:textId="09849F2A">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w:history="1" r:id="rId13">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Pr="00DF77C7" w:rsidR="00813399" w:rsidTr="00F224C7" w14:paraId="39D55B3E" w14:textId="77777777">
        <w:trPr>
          <w:tblHeader/>
        </w:trPr>
        <w:tc>
          <w:tcPr>
            <w:tcW w:w="313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1057968" w14:textId="77777777">
            <w:pPr>
              <w:pStyle w:val="TableHeaderRow"/>
            </w:pPr>
            <w:r w:rsidRPr="00DF77C7">
              <w:t xml:space="preserve">Name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1A0F4D2C" w14:textId="77777777">
            <w:pPr>
              <w:pStyle w:val="TableHeaderRow"/>
            </w:pPr>
            <w:r w:rsidRPr="00DF77C7">
              <w:t xml:space="preserve">Job title and organisation </w:t>
            </w:r>
          </w:p>
        </w:tc>
        <w:tc>
          <w:tcPr>
            <w:tcW w:w="1535"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581041E9" w14:textId="77777777">
            <w:pPr>
              <w:pStyle w:val="TableHeaderRow"/>
            </w:pPr>
            <w:r w:rsidRPr="00DF77C7">
              <w:t>Signature</w:t>
            </w:r>
          </w:p>
        </w:tc>
        <w:tc>
          <w:tcPr>
            <w:tcW w:w="1074"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A32FA7" w:rsidRDefault="00813399" w14:paraId="02BD78F1" w14:textId="77777777">
            <w:pPr>
              <w:pStyle w:val="TableHeaderRow"/>
            </w:pPr>
            <w:r w:rsidRPr="00DF77C7">
              <w:t>Date</w:t>
            </w:r>
          </w:p>
        </w:tc>
      </w:tr>
      <w:tr w:rsidRPr="00DF77C7" w:rsidR="00813399" w:rsidTr="00A32FA7" w14:paraId="35D56BF3"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491A1B03" w14:textId="77777777">
            <w:pPr>
              <w:rPr>
                <w:rStyle w:val="TableHeaderColumn"/>
              </w:rPr>
            </w:pPr>
            <w:r w:rsidRPr="00872410">
              <w:rPr>
                <w:rStyle w:val="TableHeaderColumn"/>
              </w:rPr>
              <w:t xml:space="preserve">Senior doctor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098B297F"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C393BA"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C070EF3" w14:textId="77777777">
            <w:pPr>
              <w:pStyle w:val="Tabletext"/>
              <w:rPr>
                <w:lang w:val="en-GB"/>
              </w:rPr>
            </w:pPr>
          </w:p>
        </w:tc>
      </w:tr>
      <w:tr w:rsidRPr="00DF77C7" w:rsidR="00813399" w:rsidTr="00A32FA7" w14:paraId="162855C1"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579B23DD" w14:textId="77777777">
            <w:pPr>
              <w:rPr>
                <w:rStyle w:val="TableHeaderColumn"/>
              </w:rPr>
            </w:pPr>
            <w:r w:rsidRPr="00872410">
              <w:rPr>
                <w:rStyle w:val="TableHeaderColumn"/>
              </w:rPr>
              <w:t>Senior pharmacist</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75BBC646"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FB26856"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A597D4A" w14:textId="77777777">
            <w:pPr>
              <w:pStyle w:val="Tabletext"/>
              <w:rPr>
                <w:lang w:val="en-GB"/>
              </w:rPr>
            </w:pPr>
          </w:p>
        </w:tc>
      </w:tr>
      <w:tr w:rsidRPr="00DF77C7" w:rsidR="00813399" w:rsidTr="00A32FA7" w14:paraId="7A2D073B"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46E86BC" w14:textId="77777777">
            <w:pPr>
              <w:rPr>
                <w:rStyle w:val="TableHeaderColumn"/>
              </w:rPr>
            </w:pPr>
            <w:r w:rsidRPr="00872410">
              <w:rPr>
                <w:rStyle w:val="TableHeaderColumn"/>
              </w:rPr>
              <w:t xml:space="preserve">Senior representative of professional group using the PGD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3F33A7EC"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3BBDE978"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7FB2672C" w14:textId="77777777">
            <w:pPr>
              <w:pStyle w:val="Tabletext"/>
              <w:rPr>
                <w:lang w:val="en-GB"/>
              </w:rPr>
            </w:pPr>
          </w:p>
        </w:tc>
      </w:tr>
      <w:tr w:rsidRPr="00DF77C7" w:rsidR="00813399" w:rsidTr="00A32FA7" w14:paraId="317E6CF7" w14:textId="77777777">
        <w:tc>
          <w:tcPr>
            <w:tcW w:w="3133" w:type="dxa"/>
            <w:tcBorders>
              <w:top w:val="single" w:color="auto" w:sz="4" w:space="0"/>
              <w:left w:val="single" w:color="auto" w:sz="4" w:space="0"/>
              <w:bottom w:val="single" w:color="auto" w:sz="4" w:space="0"/>
              <w:right w:val="single" w:color="auto" w:sz="4" w:space="0"/>
            </w:tcBorders>
            <w:shd w:val="clear" w:color="auto" w:fill="auto"/>
          </w:tcPr>
          <w:p w:rsidRPr="00872410" w:rsidR="00813399" w:rsidP="00B65003" w:rsidRDefault="00813399" w14:paraId="2C7B5334" w14:textId="2D01FB95">
            <w:pPr>
              <w:rPr>
                <w:rStyle w:val="TableHeaderColumn"/>
              </w:rPr>
            </w:pPr>
            <w:r w:rsidRPr="00872410">
              <w:rPr>
                <w:rStyle w:val="TableHeaderColumn"/>
              </w:rPr>
              <w:t xml:space="preserve">Person signing on behalf of </w:t>
            </w:r>
            <w:r w:rsidR="009E38CA">
              <w:rPr>
                <w:rStyle w:val="TableHeaderColumn"/>
              </w:rPr>
              <w:t xml:space="preserve">the </w:t>
            </w:r>
            <w:hyperlink w:history="1" w:anchor="terms-used-in-the-guideline" r:id="rId14">
              <w:r w:rsidRPr="00EC5BB8" w:rsidR="00D0044C">
                <w:rPr>
                  <w:rStyle w:val="Hyperlink"/>
                  <w:rFonts w:ascii="Arial" w:hAnsi="Arial"/>
                </w:rPr>
                <w:t>authorising body</w:t>
              </w:r>
              <w:r w:rsidRPr="00EC5BB8" w:rsidR="009E38CA">
                <w:rPr>
                  <w:rStyle w:val="Hyperlink"/>
                </w:rPr>
                <w:t xml:space="preserve"> </w:t>
              </w:r>
              <w:r w:rsidRPr="00EC5BB8" w:rsidR="009E38CA">
                <w:rPr>
                  <w:rStyle w:val="Hyperlink"/>
                  <w:rFonts w:ascii="Arial" w:hAnsi="Arial"/>
                </w:rPr>
                <w:t>as defined by NICE</w:t>
              </w:r>
            </w:hyperlink>
            <w:r w:rsidR="009E38CA">
              <w:t xml:space="preserve"> </w:t>
            </w:r>
          </w:p>
        </w:tc>
        <w:tc>
          <w:tcPr>
            <w:tcW w:w="2753" w:type="dxa"/>
            <w:tcBorders>
              <w:top w:val="single" w:color="auto" w:sz="4" w:space="0"/>
              <w:left w:val="single" w:color="auto" w:sz="4" w:space="0"/>
              <w:bottom w:val="single" w:color="auto" w:sz="4" w:space="0"/>
              <w:right w:val="single" w:color="auto" w:sz="4" w:space="0"/>
            </w:tcBorders>
            <w:shd w:val="clear" w:color="auto" w:fill="auto"/>
          </w:tcPr>
          <w:p w:rsidRPr="00DF77C7" w:rsidR="00813399" w:rsidP="00B65003" w:rsidRDefault="00813399" w14:paraId="1233B39B" w14:textId="77777777">
            <w:pPr>
              <w:pStyle w:val="Tabletext"/>
              <w:rPr>
                <w:lang w:val="en-GB"/>
              </w:rPr>
            </w:pPr>
          </w:p>
        </w:tc>
        <w:tc>
          <w:tcPr>
            <w:tcW w:w="1535"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647E003F" w14:textId="77777777">
            <w:pPr>
              <w:pStyle w:val="Tabletext"/>
              <w:rPr>
                <w:lang w:val="en-GB"/>
              </w:rPr>
            </w:pPr>
          </w:p>
        </w:tc>
        <w:tc>
          <w:tcPr>
            <w:tcW w:w="1074" w:type="dxa"/>
            <w:tcBorders>
              <w:top w:val="single" w:color="auto" w:sz="4" w:space="0"/>
              <w:left w:val="single" w:color="auto" w:sz="4" w:space="0"/>
              <w:bottom w:val="single" w:color="auto" w:sz="4" w:space="0"/>
              <w:right w:val="single" w:color="auto" w:sz="4" w:space="0"/>
            </w:tcBorders>
          </w:tcPr>
          <w:p w:rsidRPr="00DF77C7" w:rsidR="00813399" w:rsidP="00B65003" w:rsidRDefault="00813399" w14:paraId="50DC60E7" w14:textId="77777777">
            <w:pPr>
              <w:pStyle w:val="Tabletext"/>
              <w:rPr>
                <w:lang w:val="en-GB"/>
              </w:rPr>
            </w:pPr>
          </w:p>
        </w:tc>
      </w:tr>
    </w:tbl>
    <w:p w:rsidRPr="00DF77C7" w:rsidR="00B65003" w:rsidP="00B65003" w:rsidRDefault="00B65003" w14:paraId="358A5AE0" w14:textId="77777777">
      <w:pPr>
        <w:pStyle w:val="PGDNormal"/>
        <w:rPr>
          <w:highlight w:val="yellow"/>
          <w:lang w:val="en-GB"/>
        </w:rPr>
      </w:pPr>
    </w:p>
    <w:p w:rsidRPr="00DF77C7" w:rsidR="00813399" w:rsidP="00B65003" w:rsidRDefault="00E46E97" w14:paraId="5A26FA8C" w14:textId="0BDE5500">
      <w:pPr>
        <w:pStyle w:val="PGDNormal"/>
        <w:rPr>
          <w:rFonts w:eastAsia="Calibri"/>
          <w:highlight w:val="yellow"/>
          <w:lang w:val="en-GB"/>
        </w:rPr>
      </w:pPr>
      <w:r w:rsidRPr="00AC0BE9">
        <w:rPr>
          <w:lang w:val="en-GB"/>
        </w:rPr>
        <w:t>[[</w:t>
      </w:r>
      <w:r w:rsidRPr="00DF77C7" w:rsidR="00813399">
        <w:rPr>
          <w:highlight w:val="yellow"/>
          <w:lang w:val="en-GB"/>
        </w:rPr>
        <w:t>It is the responsibility of the provider organisation to ensure that all legal and governance requirements for using the PGD are met.</w:t>
      </w:r>
    </w:p>
    <w:p w:rsidRPr="00DF77C7" w:rsidR="00813399" w:rsidP="00B65003" w:rsidRDefault="00813399" w14:paraId="2466BD41" w14:textId="77777777">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rsidRPr="00DF77C7" w:rsidR="00813399" w:rsidP="00B65003" w:rsidRDefault="00813399" w14:paraId="3AD71782" w14:textId="77777777">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rsidRPr="00DF77C7" w:rsidR="00813399" w:rsidP="008762B8" w:rsidRDefault="00813399" w14:paraId="6831A5E6" w14:textId="24B273E0">
      <w:pPr>
        <w:pStyle w:val="PGDNormal"/>
        <w:rPr>
          <w:highlight w:val="yellow"/>
          <w:lang w:val="en-GB"/>
        </w:rPr>
      </w:pPr>
      <w:r w:rsidRPr="00DF77C7">
        <w:rPr>
          <w:highlight w:val="yellow"/>
          <w:lang w:val="en-GB"/>
        </w:rPr>
        <w:t>O</w:t>
      </w:r>
      <w:r w:rsidRPr="00DF77C7" w:rsidR="008762B8">
        <w:rPr>
          <w:highlight w:val="yellow"/>
          <w:lang w:val="en-GB"/>
        </w:rPr>
        <w:t>rganisations may also add</w:t>
      </w:r>
      <w:r w:rsidRPr="00DF77C7">
        <w:rPr>
          <w:highlight w:val="yellow"/>
          <w:lang w:val="en-GB"/>
        </w:rPr>
        <w:t>:</w:t>
      </w:r>
    </w:p>
    <w:p w:rsidRPr="008C6AC3" w:rsidR="00813399" w:rsidP="008C6AC3" w:rsidRDefault="00813399" w14:paraId="53B6678F" w14:textId="61FBF7EF">
      <w:pPr>
        <w:pStyle w:val="Bulletindent1"/>
        <w:rPr>
          <w:highlight w:val="yellow"/>
        </w:rPr>
      </w:pPr>
      <w:r w:rsidRPr="008C6AC3">
        <w:rPr>
          <w:highlight w:val="yellow"/>
        </w:rPr>
        <w:t xml:space="preserve">Local training and competency assessment documentation </w:t>
      </w:r>
    </w:p>
    <w:p w:rsidRPr="008C6AC3" w:rsidR="00813399" w:rsidP="008C6AC3" w:rsidRDefault="00813399" w14:paraId="17AFAE38" w14:textId="5FC656C0">
      <w:pPr>
        <w:pStyle w:val="Bulletindent1"/>
        <w:rPr>
          <w:highlight w:val="yellow"/>
        </w:rPr>
      </w:pPr>
      <w:r w:rsidRPr="008C6AC3">
        <w:rPr>
          <w:highlight w:val="yellow"/>
        </w:rPr>
        <w:t>Other supporting local guidance or information</w:t>
      </w:r>
    </w:p>
    <w:p w:rsidRPr="00160B58" w:rsidR="00762BFE" w:rsidP="00160B58" w:rsidRDefault="00813399" w14:paraId="0FF3FC45" w14:textId="5E617158">
      <w:pPr>
        <w:pStyle w:val="Bulletindent1"/>
        <w:rPr>
          <w:highlight w:val="yellow"/>
        </w:rPr>
      </w:pPr>
      <w:r w:rsidRPr="00160B58">
        <w:rPr>
          <w:highlight w:val="yellow"/>
        </w:rPr>
        <w:t>Links to local PGD Policy and other supporting guidance</w:t>
      </w:r>
      <w:r w:rsidRPr="00160B58" w:rsidR="00762BFE">
        <w:rPr>
          <w:highlight w:val="yellow"/>
        </w:rPr>
        <w:t xml:space="preserve"> </w:t>
      </w:r>
    </w:p>
    <w:p w:rsidRPr="00293756" w:rsidR="00813399" w:rsidP="00160B58" w:rsidRDefault="00813399" w14:paraId="35B5D425" w14:textId="580BF799">
      <w:pPr>
        <w:pStyle w:val="Bulletindent1"/>
        <w:rPr>
          <w:highlight w:val="yellow"/>
        </w:rPr>
      </w:pPr>
      <w:r w:rsidRPr="00293756">
        <w:rPr>
          <w:highlight w:val="yellow"/>
        </w:rPr>
        <w:t xml:space="preserve">Audit requirements </w:t>
      </w:r>
    </w:p>
    <w:p w:rsidRPr="00DF77C7" w:rsidR="00813399" w:rsidP="008762B8" w:rsidRDefault="00813399" w14:paraId="1B986D2E" w14:textId="358B3C5E">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Pr="00AC0BE9" w:rsidR="00E46E97">
        <w:rPr>
          <w:lang w:val="en-GB"/>
        </w:rPr>
        <w:t>]]</w:t>
      </w:r>
    </w:p>
    <w:p w:rsidRPr="00DF77C7" w:rsidR="007A1448" w:rsidP="008762B8" w:rsidRDefault="007A1448" w14:paraId="41A13A1A" w14:textId="2FC4B1AE">
      <w:pPr>
        <w:pStyle w:val="Heading1"/>
      </w:pPr>
      <w:r w:rsidRPr="00DF77C7">
        <w:br w:type="page"/>
      </w:r>
      <w:bookmarkStart w:name="Table2" w:id="3"/>
      <w:r w:rsidR="004C39C3">
        <w:lastRenderedPageBreak/>
        <w:t>Characteristics of staff</w:t>
      </w:r>
    </w:p>
    <w:p w:rsidRPr="00DF77C7" w:rsidR="00BB2C75" w:rsidP="00BB2C75" w:rsidRDefault="00BB2C75" w14:paraId="24B546B6" w14:textId="6B071A1C">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Pr="00DF77C7" w:rsidR="00B81529" w14:paraId="26A06832"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627BE3CB" w14:textId="77777777">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3D483F" w:rsidP="008762B8" w:rsidRDefault="003D483F" w14:paraId="45DED84F" w14:textId="77777777">
            <w:pPr>
              <w:pStyle w:val="Tabletext"/>
              <w:rPr>
                <w:lang w:val="en-GB"/>
              </w:rPr>
            </w:pPr>
            <w:r w:rsidRPr="00DF77C7">
              <w:rPr>
                <w:lang w:val="en-GB"/>
              </w:rPr>
              <w:t>Radiographers registered with the Health and Care Professions Council (HCPC).</w:t>
            </w:r>
          </w:p>
          <w:p w:rsidRPr="00DF77C7" w:rsidR="00B81529" w:rsidP="008762B8" w:rsidRDefault="003D483F" w14:paraId="111D2851" w14:textId="4253801F">
            <w:pPr>
              <w:pStyle w:val="Tabletext"/>
              <w:rPr>
                <w:lang w:val="en-GB"/>
              </w:rPr>
            </w:pPr>
            <w:r w:rsidRPr="00DF77C7">
              <w:rPr>
                <w:lang w:val="en-GB"/>
              </w:rPr>
              <w:t xml:space="preserve">Successful completion of Society and College of Radiographers approved course in administration of </w:t>
            </w:r>
            <w:r w:rsidRPr="00DF77C7" w:rsidR="005A6885">
              <w:rPr>
                <w:lang w:val="en-GB"/>
              </w:rPr>
              <w:t>intrav</w:t>
            </w:r>
            <w:r w:rsidR="005A6885">
              <w:rPr>
                <w:lang w:val="en-GB"/>
              </w:rPr>
              <w:t>enous</w:t>
            </w:r>
            <w:r w:rsidRPr="00DF77C7" w:rsidR="005A6885">
              <w:rPr>
                <w:lang w:val="en-GB"/>
              </w:rPr>
              <w:t xml:space="preserve"> </w:t>
            </w:r>
            <w:r w:rsidRPr="00DF77C7">
              <w:rPr>
                <w:lang w:val="en-GB"/>
              </w:rPr>
              <w:t>contrast agent including competency assessment or locally authorised training course and competency programme.</w:t>
            </w:r>
          </w:p>
        </w:tc>
      </w:tr>
      <w:tr w:rsidRPr="00DF77C7" w:rsidR="00B81529" w14:paraId="06CF6755"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72CA058D" w14:textId="77777777">
            <w:pPr>
              <w:pStyle w:val="Tabletext"/>
              <w:rPr>
                <w:rStyle w:val="TableHeaderColumn"/>
                <w:lang w:val="en-GB"/>
              </w:rPr>
            </w:pPr>
            <w:r w:rsidRPr="00DF77C7">
              <w:rPr>
                <w:rStyle w:val="TableHeaderColumn"/>
                <w:lang w:val="en-GB"/>
              </w:rPr>
              <w:t>Initial training</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8762B8" w:rsidRDefault="00B154E7" w14:paraId="4B43E5B0" w14:textId="1ABF53B4">
            <w:pPr>
              <w:pStyle w:val="Tabletext"/>
              <w:rPr>
                <w:lang w:val="en-GB"/>
              </w:rPr>
            </w:pPr>
            <w:r w:rsidRPr="00AC0BE9">
              <w:rPr>
                <w:lang w:val="en-GB"/>
              </w:rPr>
              <w:t>[</w:t>
            </w:r>
            <w:r w:rsidRPr="00DF77C7" w:rsidR="00B81529">
              <w:rPr>
                <w:highlight w:val="cyan"/>
                <w:lang w:val="en-GB"/>
              </w:rPr>
              <w:t xml:space="preserve">Anaphylaxis and resuscitation training </w:t>
            </w:r>
            <w:r w:rsidRPr="00DF77C7" w:rsidR="000E2765">
              <w:rPr>
                <w:highlight w:val="cyan"/>
                <w:lang w:val="en-GB"/>
              </w:rPr>
              <w:t xml:space="preserve">and hospital life support relevant to the MR environment </w:t>
            </w:r>
            <w:r w:rsidRPr="00DF77C7" w:rsidR="00B81529">
              <w:rPr>
                <w:highlight w:val="cyan"/>
                <w:lang w:val="en-GB"/>
              </w:rPr>
              <w:t>– review to reflect local organisation policy and training</w:t>
            </w:r>
            <w:r>
              <w:rPr>
                <w:lang w:val="en-GB"/>
              </w:rPr>
              <w:t>]</w:t>
            </w:r>
          </w:p>
        </w:tc>
      </w:tr>
      <w:tr w:rsidRPr="00DF77C7" w:rsidR="00B81529" w14:paraId="15ADED8B"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5DBBEBEA" w14:textId="77777777">
            <w:pPr>
              <w:pStyle w:val="Tabletext"/>
              <w:rPr>
                <w:rStyle w:val="TableHeaderColumn"/>
                <w:lang w:val="en-GB"/>
              </w:rPr>
            </w:pPr>
            <w:r w:rsidRPr="00DF77C7">
              <w:rPr>
                <w:rStyle w:val="TableHeaderColumn"/>
                <w:lang w:val="en-GB"/>
              </w:rPr>
              <w:t>Competency assessment</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30C7E4AB" w14:textId="2910BBA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rsidRPr="00DF77C7" w:rsidR="00B81529" w:rsidP="008762B8" w:rsidRDefault="00C373F2" w14:paraId="0D564727" w14:textId="7F6B616D">
            <w:pPr>
              <w:pStyle w:val="Tabletext"/>
              <w:rPr>
                <w:lang w:val="en-GB"/>
              </w:rPr>
            </w:pPr>
            <w:r>
              <w:t>Registered HCPs</w:t>
            </w:r>
            <w:r w:rsidRPr="00DF77C7" w:rsidR="008B2A57">
              <w:rPr>
                <w:lang w:val="en-GB"/>
              </w:rPr>
              <w:t xml:space="preserve"> </w:t>
            </w:r>
            <w:r w:rsidRPr="00DF77C7" w:rsidR="00B81529">
              <w:rPr>
                <w:lang w:val="en-GB"/>
              </w:rPr>
              <w:t>operating under this PGD are encouraged to review their competency using the</w:t>
            </w:r>
            <w:hyperlink w:history="1" r:id="rId15">
              <w:r w:rsidRPr="000F52B4" w:rsidR="00B81529">
                <w:t xml:space="preserve"> </w:t>
              </w:r>
              <w:r w:rsidRPr="000F52B4" w:rsidR="00B81529">
                <w:rPr>
                  <w:rStyle w:val="Hyperlink"/>
                </w:rPr>
                <w:t>NICE Competency Framework for health professionals using patient group directions</w:t>
              </w:r>
            </w:hyperlink>
            <w:r w:rsidR="000F52B4">
              <w:t xml:space="preserve"> </w:t>
            </w:r>
          </w:p>
          <w:p w:rsidRPr="00DF77C7" w:rsidR="00B81529" w:rsidP="008762B8" w:rsidRDefault="00B154E7" w14:paraId="41F46029" w14:textId="525E20BF">
            <w:pPr>
              <w:pStyle w:val="Tabletext"/>
              <w:rPr>
                <w:lang w:val="en-GB"/>
              </w:rPr>
            </w:pPr>
            <w:r w:rsidRPr="00AC0BE9">
              <w:rPr>
                <w:lang w:val="en-GB"/>
              </w:rPr>
              <w:t>[</w:t>
            </w:r>
            <w:r w:rsidR="003E69CD">
              <w:rPr>
                <w:highlight w:val="cyan"/>
                <w:lang w:val="en-GB"/>
              </w:rPr>
              <w:t xml:space="preserve">Organisational </w:t>
            </w:r>
            <w:r w:rsidRPr="00DF77C7" w:rsidR="00B81529">
              <w:rPr>
                <w:highlight w:val="cyan"/>
                <w:lang w:val="en-GB"/>
              </w:rPr>
              <w:t>PGD</w:t>
            </w:r>
            <w:r w:rsidR="003E69CD">
              <w:rPr>
                <w:highlight w:val="cyan"/>
                <w:lang w:val="en-GB"/>
              </w:rPr>
              <w:t xml:space="preserve"> and/</w:t>
            </w:r>
            <w:r w:rsidRPr="00DF77C7" w:rsidR="00B81529">
              <w:rPr>
                <w:highlight w:val="cyan"/>
                <w:lang w:val="en-GB"/>
              </w:rPr>
              <w:t xml:space="preserve"> or medication training required by </w:t>
            </w:r>
            <w:r w:rsidR="003E69CD">
              <w:rPr>
                <w:highlight w:val="cyan"/>
                <w:lang w:val="en-GB"/>
              </w:rPr>
              <w:t>employing Trust/</w:t>
            </w:r>
            <w:r w:rsidRPr="00DF77C7" w:rsidR="00B81529">
              <w:rPr>
                <w:highlight w:val="cyan"/>
                <w:lang w:val="en-GB"/>
              </w:rPr>
              <w:t>organisation</w:t>
            </w:r>
            <w:r>
              <w:rPr>
                <w:lang w:val="en-GB"/>
              </w:rPr>
              <w:t>]</w:t>
            </w:r>
            <w:r w:rsidRPr="00DF77C7" w:rsidR="00B81529">
              <w:rPr>
                <w:lang w:val="en-GB"/>
              </w:rPr>
              <w:t xml:space="preserve"> </w:t>
            </w:r>
          </w:p>
          <w:p w:rsidRPr="00DF77C7" w:rsidR="00B81529" w:rsidP="008762B8" w:rsidRDefault="00B81529" w14:paraId="5719D930" w14:textId="6B769D7D">
            <w:pPr>
              <w:pStyle w:val="Tabletext"/>
              <w:rPr>
                <w:lang w:val="en-GB"/>
              </w:rPr>
            </w:pPr>
          </w:p>
        </w:tc>
      </w:tr>
      <w:tr w:rsidRPr="00DF77C7" w:rsidR="00B81529" w14:paraId="25FEFD2D" w14:textId="77777777">
        <w:tc>
          <w:tcPr>
            <w:tcW w:w="1525" w:type="pct"/>
            <w:tcBorders>
              <w:top w:val="single" w:color="auto" w:sz="4" w:space="0"/>
              <w:left w:val="single" w:color="auto" w:sz="4" w:space="0"/>
              <w:bottom w:val="single" w:color="auto" w:sz="4" w:space="0"/>
              <w:right w:val="single" w:color="auto" w:sz="4" w:space="0"/>
            </w:tcBorders>
            <w:shd w:val="clear" w:color="auto" w:fill="auto"/>
          </w:tcPr>
          <w:p w:rsidRPr="00DF77C7" w:rsidR="00B81529" w:rsidP="00B81529" w:rsidRDefault="00B81529" w14:paraId="4C7E9E93" w14:textId="77777777">
            <w:pPr>
              <w:pStyle w:val="Tabletext"/>
              <w:rPr>
                <w:rStyle w:val="TableHeaderColumn"/>
                <w:lang w:val="en-GB"/>
              </w:rPr>
            </w:pPr>
            <w:r w:rsidRPr="00DF77C7">
              <w:rPr>
                <w:rStyle w:val="TableHeaderColumn"/>
                <w:lang w:val="en-GB"/>
              </w:rPr>
              <w:t>Ongoing training and competency</w:t>
            </w:r>
          </w:p>
        </w:tc>
        <w:tc>
          <w:tcPr>
            <w:tcW w:w="3475" w:type="pct"/>
            <w:tcBorders>
              <w:top w:val="single" w:color="auto" w:sz="4" w:space="0"/>
              <w:left w:val="single" w:color="auto" w:sz="4" w:space="0"/>
              <w:bottom w:val="single" w:color="auto" w:sz="4" w:space="0"/>
              <w:right w:val="single" w:color="auto" w:sz="4" w:space="0"/>
            </w:tcBorders>
            <w:shd w:val="clear" w:color="auto" w:fill="auto"/>
          </w:tcPr>
          <w:p w:rsidR="003E69CD" w:rsidP="008762B8" w:rsidRDefault="00C373F2" w14:paraId="5599DF98" w14:textId="15D0C3D5">
            <w:pPr>
              <w:pStyle w:val="Tabletext"/>
              <w:rPr>
                <w:highlight w:val="cyan"/>
                <w:lang w:val="en-GB"/>
              </w:rPr>
            </w:pPr>
            <w:r>
              <w:t>Registered HCPs</w:t>
            </w:r>
            <w:r w:rsidRPr="00DF77C7" w:rsidR="003E69CD">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Pr="00DF77C7" w:rsidR="003E69CD">
              <w:rPr>
                <w:lang w:val="en-GB"/>
              </w:rPr>
              <w:t>to act under the PGD and further training provided as required.</w:t>
            </w:r>
          </w:p>
          <w:p w:rsidRPr="00DF77C7" w:rsidR="00B81529" w:rsidP="008762B8" w:rsidRDefault="00B154E7" w14:paraId="30964645" w14:textId="2608E504">
            <w:pPr>
              <w:pStyle w:val="Tabletext"/>
              <w:rPr>
                <w:lang w:val="en-GB"/>
              </w:rPr>
            </w:pPr>
            <w:r w:rsidRPr="00AC0BE9">
              <w:rPr>
                <w:lang w:val="en-GB"/>
              </w:rPr>
              <w:t>[</w:t>
            </w:r>
            <w:r w:rsidR="008B2A57">
              <w:rPr>
                <w:highlight w:val="cyan"/>
                <w:lang w:val="en-GB"/>
              </w:rPr>
              <w:t>Organisational</w:t>
            </w:r>
            <w:r w:rsidRPr="00DF77C7" w:rsidR="00B81529">
              <w:rPr>
                <w:highlight w:val="cyan"/>
                <w:lang w:val="en-GB"/>
              </w:rPr>
              <w:t xml:space="preserve"> </w:t>
            </w:r>
            <w:r w:rsidR="008B2A57">
              <w:rPr>
                <w:highlight w:val="cyan"/>
                <w:lang w:val="en-GB"/>
              </w:rPr>
              <w:t>PGD and/or</w:t>
            </w:r>
            <w:r w:rsidRPr="00DF77C7" w:rsidR="00B81529">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Pr="00DF77C7" w:rsidR="00B36F46">
              <w:rPr>
                <w:highlight w:val="cyan"/>
                <w:lang w:val="en-GB"/>
              </w:rPr>
              <w:t>required</w:t>
            </w:r>
            <w:r w:rsidRPr="00DF77C7" w:rsidR="00B81529">
              <w:rPr>
                <w:highlight w:val="cyan"/>
                <w:lang w:val="en-GB"/>
              </w:rPr>
              <w:t xml:space="preserve"> by</w:t>
            </w:r>
            <w:r w:rsidR="008B2A57">
              <w:rPr>
                <w:highlight w:val="cyan"/>
                <w:lang w:val="en-GB"/>
              </w:rPr>
              <w:t xml:space="preserve"> employing Trust/</w:t>
            </w:r>
            <w:r w:rsidRPr="00DF77C7" w:rsidR="00B81529">
              <w:rPr>
                <w:highlight w:val="cyan"/>
                <w:lang w:val="en-GB"/>
              </w:rPr>
              <w:t xml:space="preserve"> organisation</w:t>
            </w:r>
          </w:p>
          <w:p w:rsidRPr="00DF77C7" w:rsidR="00B81529" w:rsidP="008762B8" w:rsidRDefault="00B81529" w14:paraId="101288E1" w14:textId="2DA5E1A6">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rsidRPr="00DF77C7" w:rsidR="00B81529" w:rsidP="008762B8" w:rsidRDefault="00B81529" w14:paraId="3219E1FA" w14:textId="77777777">
            <w:pPr>
              <w:pStyle w:val="Tabletext"/>
              <w:rPr>
                <w:lang w:val="en-GB"/>
              </w:rPr>
            </w:pPr>
            <w:r w:rsidRPr="00DF77C7">
              <w:rPr>
                <w:lang w:val="en-GB"/>
              </w:rPr>
              <w:t>Completion and submission of Continuous Professional Development (CPD) as required by HCPC.</w:t>
            </w:r>
          </w:p>
        </w:tc>
      </w:tr>
    </w:tbl>
    <w:p w:rsidR="007A1448" w:rsidP="00BB2C75" w:rsidRDefault="007A1448" w14:paraId="2F8A9B4B" w14:textId="72BCB8C7">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rsidTr="6BC48603" w14:paraId="06FC28D1" w14:textId="77777777">
        <w:tc>
          <w:tcPr>
            <w:tcW w:w="2689" w:type="dxa"/>
            <w:tcMar/>
          </w:tcPr>
          <w:p w:rsidRPr="005A6168" w:rsidR="00D36D23" w:rsidP="005A6168" w:rsidRDefault="00D36D23" w14:paraId="7ABDE5EA" w14:textId="3B5A4183">
            <w:pPr>
              <w:rPr>
                <w:rStyle w:val="TableHeaderColumn"/>
              </w:rPr>
            </w:pPr>
            <w:r w:rsidRPr="005A6168">
              <w:rPr>
                <w:rStyle w:val="TableHeaderColumn"/>
              </w:rPr>
              <w:t>Clinical condition or situation to which this PGD applies</w:t>
            </w:r>
          </w:p>
        </w:tc>
        <w:tc>
          <w:tcPr>
            <w:tcW w:w="5806" w:type="dxa"/>
            <w:tcMar/>
          </w:tcPr>
          <w:p w:rsidR="00D36D23" w:rsidP="0032348B" w:rsidRDefault="00D36D23" w14:paraId="622A2C8E" w14:textId="649028D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Pr="0019584B" w:rsidR="00771143">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rsidTr="6BC48603" w14:paraId="423D958D" w14:textId="77777777">
        <w:tc>
          <w:tcPr>
            <w:tcW w:w="2689" w:type="dxa"/>
            <w:tcMar/>
          </w:tcPr>
          <w:p w:rsidRPr="005A6168" w:rsidR="00AE4F4B" w:rsidP="00E4552C" w:rsidRDefault="003E69CD" w14:paraId="12B69C9D" w14:textId="0A77D3DB">
            <w:pPr>
              <w:jc w:val="right"/>
              <w:rPr>
                <w:rStyle w:val="TableHeaderColumn"/>
              </w:rPr>
            </w:pPr>
            <w:r>
              <w:rPr>
                <w:rStyle w:val="TableHeaderColumn"/>
              </w:rPr>
              <w:t>Criteria for i</w:t>
            </w:r>
            <w:r w:rsidRPr="005A6168" w:rsidR="00CA3998">
              <w:rPr>
                <w:rStyle w:val="TableHeaderColumn"/>
              </w:rPr>
              <w:t xml:space="preserve">nclusion </w:t>
            </w:r>
          </w:p>
        </w:tc>
        <w:tc>
          <w:tcPr>
            <w:tcW w:w="5806" w:type="dxa"/>
            <w:tcMar/>
          </w:tcPr>
          <w:p w:rsidR="00AE4F4B" w:rsidP="00160B58" w:rsidRDefault="00AE4F4B" w14:paraId="70DBD4B3" w14:textId="182F4F1A">
            <w:pPr>
              <w:pStyle w:val="Bulletindent1"/>
            </w:pPr>
            <w:r w:rsidRPr="003C2F45">
              <w:t>Individual consent gained.  Where practical a copy of the manufacturer’s information leaflet should be offered to the individual at the time of consenting to treatment to ensure informed consent can be given.</w:t>
            </w:r>
          </w:p>
          <w:p w:rsidRPr="000411B7" w:rsidR="00AE4F4B" w:rsidP="009B62D2" w:rsidRDefault="00AE4F4B" w14:paraId="3C7BBBBC" w14:textId="77777777">
            <w:pPr>
              <w:pStyle w:val="Tabletext"/>
              <w:rPr>
                <w:rFonts w:eastAsia="Calibri"/>
              </w:rPr>
            </w:pPr>
            <w:r w:rsidRPr="000B7935">
              <w:rPr>
                <w:rFonts w:eastAsia="Calibri" w:cs="Arial"/>
                <w:b/>
                <w:bCs/>
              </w:rPr>
              <w:t>OR</w:t>
            </w:r>
          </w:p>
          <w:p w:rsidR="00AE4F4B" w:rsidP="00160B58" w:rsidRDefault="00B154E7" w14:paraId="71DDDF1B" w14:textId="4952CDF8">
            <w:pPr>
              <w:pStyle w:val="Bulletindent1"/>
            </w:pPr>
            <w:r w:rsidRPr="00AC0BE9">
              <w:t>[[</w:t>
            </w:r>
            <w:r w:rsidRPr="00700A9C" w:rsidR="00AE4F4B">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Pr="00700A9C" w:rsidR="00AE4F4B">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rsidRPr="003C2F45" w:rsidR="00AE4F4B" w:rsidP="009B62D2" w:rsidRDefault="00AE4F4B" w14:paraId="67C4F768" w14:textId="77777777">
            <w:pPr>
              <w:pStyle w:val="Tabletext"/>
            </w:pPr>
          </w:p>
          <w:p w:rsidRPr="003C2F45" w:rsidR="00AE4F4B" w:rsidP="00160B58" w:rsidRDefault="00AE4F4B" w14:paraId="0A544081" w14:textId="15F134FF">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611DA8">
              <w:rPr>
                <w:bCs/>
              </w:rPr>
              <w:t>ioversol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Pr="00AC0BE9" w:rsidR="00B154E7">
              <w:t>]</w:t>
            </w:r>
            <w:r w:rsidRPr="00AC0BE9">
              <w:t>.</w:t>
            </w:r>
          </w:p>
          <w:p w:rsidRPr="003C2F45" w:rsidR="00AE4F4B" w:rsidP="00160B58" w:rsidRDefault="00AE4F4B" w14:paraId="5D3B41AB" w14:textId="79282970">
            <w:pPr>
              <w:pStyle w:val="Bulletindent1"/>
            </w:pPr>
            <w:r w:rsidRPr="003C2F45">
              <w:t xml:space="preserve">The </w:t>
            </w:r>
            <w:r w:rsidR="00C373F2">
              <w:t>practitioner</w:t>
            </w:r>
            <w:r w:rsidRPr="003C2F45" w:rsidR="00C373F2">
              <w:t xml:space="preserve"> </w:t>
            </w:r>
            <w:r w:rsidRPr="003C2F45">
              <w:t xml:space="preserve">acting under this PGD must have evidence of a valid referral which has been justified and authorised by an entitled Radiologist/Clinical Oncologist or appropriately qualified </w:t>
            </w:r>
            <w:r w:rsidRPr="003C2F45" w:rsidR="00504FB7">
              <w:t>Radiographe</w:t>
            </w:r>
            <w:r w:rsidR="001A11C9">
              <w:t>r</w:t>
            </w:r>
            <w:r w:rsidRPr="003C2F45" w:rsidR="00504FB7">
              <w:t>,</w:t>
            </w:r>
            <w:r w:rsidRPr="003C2F45">
              <w:t xml:space="preserve"> and this details contrast agent to be administered.  </w:t>
            </w:r>
          </w:p>
          <w:p w:rsidRPr="00D843E4" w:rsidR="00AE4F4B" w:rsidP="00160B58" w:rsidRDefault="00504FB7" w14:paraId="45532ECA" w14:textId="1D7B6FF7">
            <w:pPr>
              <w:pStyle w:val="Bulletindent1"/>
            </w:pPr>
            <w:r>
              <w:t xml:space="preserve">The practitioner </w:t>
            </w:r>
            <w:r w:rsidRPr="00504FB7">
              <w:t xml:space="preserve">acting under this PGD </w:t>
            </w:r>
            <w:r w:rsidRPr="003C2F45" w:rsidR="00AE4F4B">
              <w:t>must have completed a pre-examination checklist relevant to the imaging procedure being undertaken.</w:t>
            </w:r>
            <w:r w:rsidRPr="00D843E4" w:rsidR="00AE4F4B">
              <w:t xml:space="preserve">  </w:t>
            </w:r>
          </w:p>
          <w:p w:rsidR="00AE4F4B" w:rsidP="00160B58" w:rsidRDefault="00AE4F4B" w14:paraId="2336C3EA" w14:textId="17175B79">
            <w:pPr>
              <w:pStyle w:val="Bulletindent1"/>
            </w:pPr>
            <w:r>
              <w:t>Chronic Kidney Disease (CKD) and Acute Kidney Injury (AKI):</w:t>
            </w:r>
          </w:p>
          <w:p w:rsidRPr="00024120" w:rsidR="00771143" w:rsidP="00771143" w:rsidRDefault="00771143" w14:paraId="3A2DFABF" w14:textId="61FEA2DB">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in order to obtain renal function testing results prior to the procedure (e.g. acute stroke, acute bleeding, trauma) - contrast can be administered under this PGD. </w:t>
            </w:r>
            <w:r w:rsidRPr="00024120">
              <w:lastRenderedPageBreak/>
              <w:t>Advice from the RCR</w:t>
            </w:r>
            <w:r w:rsidR="00763BD7">
              <w:t xml:space="preserve"> and SoR</w:t>
            </w:r>
            <w:r w:rsidRPr="00024120">
              <w:t xml:space="preserve"> is available </w:t>
            </w:r>
            <w:r w:rsidR="00763BD7">
              <w:t xml:space="preserve"> in the </w:t>
            </w:r>
            <w:hyperlink w:history="1" r:id="rId16">
              <w:r w:rsidRPr="00763BD7" w:rsid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rsidRPr="00771143" w:rsidR="00771143" w:rsidP="007E2778" w:rsidRDefault="00771143" w14:paraId="34B243EE" w14:textId="77777777">
            <w:pPr>
              <w:pStyle w:val="Bulletindent1"/>
              <w:numPr>
                <w:ilvl w:val="1"/>
                <w:numId w:val="21"/>
              </w:numPr>
              <w:rPr>
                <w:rFonts w:cs="Arial"/>
                <w:b/>
                <w:bCs/>
                <w:szCs w:val="22"/>
                <w:u w:val="single"/>
              </w:rPr>
            </w:pPr>
            <w:r w:rsidRPr="00771143">
              <w:rPr>
                <w:b/>
                <w:bCs/>
                <w:lang w:val="en-US"/>
              </w:rPr>
              <w:t xml:space="preserve">Outpatient, non-urgent inpatient and community settings: </w:t>
            </w:r>
          </w:p>
          <w:p w:rsidRPr="00993F59" w:rsidR="00771143" w:rsidP="008B54A7" w:rsidRDefault="00771143" w14:paraId="54458BB5" w14:textId="27098EA6">
            <w:pPr>
              <w:pStyle w:val="Tabletext"/>
              <w:ind w:left="1440"/>
              <w:rPr>
                <w:b/>
                <w:bCs/>
              </w:rPr>
            </w:pPr>
            <w:r w:rsidRPr="00993F59">
              <w:rPr>
                <w:b/>
                <w:bCs/>
              </w:rPr>
              <w:t>If eGFR result reported within past 6 months is available:</w:t>
            </w:r>
          </w:p>
          <w:p w:rsidRPr="00CB4DF2" w:rsidR="00771143" w:rsidP="00771143" w:rsidRDefault="00771143" w14:paraId="0B0D7DD7" w14:textId="77777777">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rsidRPr="00CB4DF2" w:rsidR="00771143" w:rsidP="00771143" w:rsidRDefault="00771143" w14:paraId="1FA167D7" w14:textId="77777777">
            <w:pPr>
              <w:pStyle w:val="NICEnormalsinglespacing"/>
              <w:spacing w:after="0"/>
              <w:ind w:left="1080"/>
              <w:rPr>
                <w:sz w:val="22"/>
                <w:szCs w:val="22"/>
              </w:rPr>
            </w:pPr>
          </w:p>
          <w:p w:rsidRPr="002416AD" w:rsidR="00771143" w:rsidP="00771143" w:rsidRDefault="00771143" w14:paraId="0E196891" w14:textId="77777777">
            <w:pPr>
              <w:pStyle w:val="NICEnormalsinglespacing"/>
              <w:spacing w:after="0"/>
              <w:ind w:left="1440"/>
              <w:rPr>
                <w:b/>
                <w:bCs/>
                <w:sz w:val="22"/>
                <w:szCs w:val="22"/>
              </w:rPr>
            </w:pPr>
            <w:r w:rsidRPr="002416AD">
              <w:rPr>
                <w:b/>
                <w:bCs/>
                <w:sz w:val="22"/>
                <w:szCs w:val="22"/>
              </w:rPr>
              <w:t>If no eGFR is available from the past 6 months:</w:t>
            </w:r>
          </w:p>
          <w:p w:rsidRPr="00CB4DF2" w:rsidR="00771143" w:rsidP="008B54A7" w:rsidRDefault="00771143" w14:paraId="7FCD44C2" w14:textId="77777777">
            <w:pPr>
              <w:pStyle w:val="Tabletext"/>
              <w:ind w:left="1440"/>
            </w:pPr>
            <w:r w:rsidRPr="00CB4DF2">
              <w:t xml:space="preserve">Complete further screening - ask the individual/their carer: </w:t>
            </w:r>
          </w:p>
          <w:p w:rsidRPr="00CB4DF2" w:rsidR="00771143" w:rsidP="008B54A7" w:rsidRDefault="00771143" w14:paraId="00D3CEA0" w14:textId="385BBA77">
            <w:pPr>
              <w:pStyle w:val="Bulletindent1"/>
              <w:numPr>
                <w:ilvl w:val="2"/>
                <w:numId w:val="21"/>
              </w:numPr>
            </w:pPr>
            <w:r w:rsidRPr="00CB4DF2">
              <w:t>do they have kidney disease, or have they had a kidney transplant?</w:t>
            </w:r>
          </w:p>
          <w:p w:rsidRPr="00CB4DF2" w:rsidR="00771143" w:rsidP="008B54A7" w:rsidRDefault="00771143" w14:paraId="58AA853F" w14:textId="1253E860">
            <w:pPr>
              <w:pStyle w:val="Bulletindent1"/>
              <w:numPr>
                <w:ilvl w:val="2"/>
                <w:numId w:val="21"/>
              </w:numPr>
            </w:pPr>
            <w:r w:rsidRPr="00CB4DF2">
              <w:t xml:space="preserve"> have they seen or are waiting to see a kidney specialist, or a kidney surgeon or urologist?</w:t>
            </w:r>
          </w:p>
          <w:p w:rsidRPr="00CB4DF2" w:rsidR="00771143" w:rsidP="008B54A7" w:rsidRDefault="00771143" w14:paraId="20C6B9C6" w14:textId="2452E5E0">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rsidRPr="00CB4DF2" w:rsidR="00771143" w:rsidP="008B54A7" w:rsidRDefault="00771143" w14:paraId="02D1B7DA" w14:textId="7777777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rsidR="00AE4F4B" w:rsidP="6BC48603" w:rsidRDefault="00771143" w14:paraId="02A2FFD7" w14:textId="4A6DAE93">
            <w:pPr>
              <w:pStyle w:val="Bulletindent1"/>
              <w:rPr/>
            </w:pPr>
            <w:r w:rsidR="5F7BFA91">
              <w:rPr/>
              <w:t xml:space="preserve">If the screening questions indicate a history of CKD (i.e. under care of a renal/urology team/known CKD of all stages/history of renal transplant) or acute </w:t>
            </w:r>
            <w:r w:rsidR="5F7BFA91">
              <w:rPr/>
              <w:t>illness suggestive of acute kidney injury (e.g.</w:t>
            </w:r>
            <w:r w:rsidR="5F7BFA91">
              <w:rPr/>
              <w:t xml:space="preserve"> </w:t>
            </w:r>
            <w:r w:rsidR="5F7BFA91">
              <w:rPr/>
              <w:t xml:space="preserve">diarrhoea, vomiting, fever, hypovolaemia, infection or difficulty passing urine) obtain an eGFR and review result: if result reports eGFR </w:t>
            </w:r>
            <w:r w:rsidR="5F7BFA91">
              <w:rPr/>
              <w:t>&gt;</w:t>
            </w:r>
            <w:r w:rsidR="5F7BFA91">
              <w:rPr/>
              <w:t>30ml/min/</w:t>
            </w:r>
            <w:r w:rsidR="6FBFD5E8">
              <w:rPr/>
              <w:t>1.73</w:t>
            </w:r>
            <w:r w:rsidR="5F7BFA91">
              <w:rPr/>
              <w:t>m</w:t>
            </w:r>
            <w:r w:rsidR="5F7BFA91">
              <w:rPr/>
              <w:t>2</w:t>
            </w:r>
            <w:r w:rsidR="5F7BFA91">
              <w:rPr/>
              <w:t xml:space="preserve"> contrast can be administered; if unobtainable or eGFR &lt;30ml/min/</w:t>
            </w:r>
            <w:r w:rsidR="2935981D">
              <w:rPr/>
              <w:t>1.73</w:t>
            </w:r>
            <w:r w:rsidR="5F7BFA91">
              <w:rPr/>
              <w:t>m</w:t>
            </w:r>
            <w:r w:rsidRPr="6BC48603" w:rsidR="5F7BFA91">
              <w:rPr>
                <w:vertAlign w:val="superscript"/>
              </w:rPr>
              <w:t>2</w:t>
            </w:r>
            <w:r w:rsidRPr="6BC48603" w:rsidR="5F7BFA91">
              <w:rPr>
                <w:vertAlign w:val="superscript"/>
              </w:rPr>
              <w:t xml:space="preserve"> </w:t>
            </w:r>
            <w:r w:rsidRPr="6BC48603" w:rsidR="5F7BFA91">
              <w:rPr>
                <w:b w:val="1"/>
                <w:bCs w:val="1"/>
              </w:rPr>
              <w:t>do not administer contrast under this PGD</w:t>
            </w:r>
            <w:r w:rsidR="5F7BFA91">
              <w:rPr/>
              <w:t xml:space="preserve"> and refer to a radiologist or the referrer.</w:t>
            </w:r>
          </w:p>
        </w:tc>
      </w:tr>
      <w:tr w:rsidR="00AE4F4B" w:rsidTr="6BC48603" w14:paraId="6FC007A9" w14:textId="77777777">
        <w:tc>
          <w:tcPr>
            <w:tcW w:w="2689" w:type="dxa"/>
            <w:tcMar/>
          </w:tcPr>
          <w:p w:rsidRPr="005A6168" w:rsidR="00AE4F4B" w:rsidP="005A6168" w:rsidRDefault="003E69CD" w14:paraId="4F9F0FC6" w14:textId="72CE5320">
            <w:pPr>
              <w:rPr>
                <w:rStyle w:val="TableHeaderColumn"/>
              </w:rPr>
            </w:pPr>
            <w:r>
              <w:rPr>
                <w:rStyle w:val="TableHeaderColumn"/>
              </w:rPr>
              <w:lastRenderedPageBreak/>
              <w:t>Criteria for exclusion</w:t>
            </w:r>
          </w:p>
        </w:tc>
        <w:tc>
          <w:tcPr>
            <w:tcW w:w="5806" w:type="dxa"/>
            <w:tcMar/>
          </w:tcPr>
          <w:p w:rsidR="00945C75" w:rsidP="00160B58" w:rsidRDefault="00945C75" w14:paraId="08871CFA" w14:textId="77777777">
            <w:pPr>
              <w:pStyle w:val="Bulletindent1"/>
            </w:pPr>
            <w:r w:rsidRPr="000B7935">
              <w:rPr>
                <w:rFonts w:cs="Arial"/>
              </w:rPr>
              <w:t>Informed</w:t>
            </w:r>
            <w:r w:rsidRPr="00387754">
              <w:t xml:space="preserve"> </w:t>
            </w:r>
            <w:r>
              <w:t>c</w:t>
            </w:r>
            <w:r w:rsidRPr="00387754">
              <w:t>onsent refused.</w:t>
            </w:r>
          </w:p>
          <w:p w:rsidRPr="000411B7" w:rsidR="00945C75" w:rsidP="009B62D2" w:rsidRDefault="00945C75" w14:paraId="426F66B5" w14:textId="77777777">
            <w:pPr>
              <w:pStyle w:val="Tabletext"/>
              <w:rPr>
                <w:rFonts w:eastAsia="Calibri"/>
              </w:rPr>
            </w:pPr>
            <w:r w:rsidRPr="000B7935">
              <w:rPr>
                <w:rFonts w:eastAsia="Calibri" w:cs="Arial"/>
                <w:b/>
                <w:bCs/>
              </w:rPr>
              <w:t>OR</w:t>
            </w:r>
          </w:p>
          <w:p w:rsidRPr="00AC0BE9" w:rsidR="00945C75" w:rsidP="00160B58" w:rsidRDefault="00B154E7" w14:paraId="46C3F6F5" w14:textId="2EE6194D">
            <w:pPr>
              <w:pStyle w:val="Bulletindent1"/>
            </w:pPr>
            <w:r w:rsidRPr="00AC0BE9">
              <w:t>[</w:t>
            </w:r>
            <w:r w:rsidRPr="00AC0BE9" w:rsidR="00945C75">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rsidRPr="00AC0BE9" w:rsidR="00945C75" w:rsidP="00160B58" w:rsidRDefault="00B154E7" w14:paraId="20B1E77E" w14:textId="26123C74">
            <w:pPr>
              <w:pStyle w:val="Bulletindent1"/>
            </w:pPr>
            <w:r w:rsidRPr="00AC0BE9">
              <w:t>[</w:t>
            </w:r>
            <w:r w:rsidRPr="00AC0BE9" w:rsidR="00945C75">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Pr="00AC0BE9" w:rsidR="00AC0BE9">
              <w:rPr>
                <w:highlight w:val="cyan"/>
              </w:rPr>
              <w:t xml:space="preserve"> (amend as per inclusion criteria to meet local population</w:t>
            </w:r>
            <w:r w:rsidRPr="00AC0BE9" w:rsidR="005E6E51">
              <w:rPr>
                <w:highlight w:val="cyan"/>
              </w:rPr>
              <w:t>)</w:t>
            </w:r>
            <w:r w:rsidR="005E6E51">
              <w:t>]</w:t>
            </w:r>
            <w:r w:rsidRPr="00AC0BE9" w:rsidR="00945C75">
              <w:t xml:space="preserve"> </w:t>
            </w:r>
          </w:p>
          <w:p w:rsidRPr="00763BD7" w:rsidR="00763BD7" w:rsidP="00763BD7" w:rsidRDefault="00945C75" w14:paraId="7CB354D7" w14:textId="787AB1FF">
            <w:pPr>
              <w:pStyle w:val="Bulletindent1"/>
            </w:pPr>
            <w:r>
              <w:t xml:space="preserve">Previous adverse drug reaction (allergic, hypersensitivity or other) after administration of </w:t>
            </w:r>
            <w:r w:rsidR="00B00474">
              <w:t>ioversol</w:t>
            </w:r>
            <w:r w:rsidRPr="00D843E4">
              <w:t xml:space="preserve"> or a contrast agent of a similar nature or to any component of </w:t>
            </w:r>
            <w:r w:rsidR="00B00474">
              <w:t>ioversol</w:t>
            </w:r>
            <w:r w:rsidRPr="00763BD7" w:rsidR="00763BD7">
              <w:t xml:space="preserve"> including iodine (excluding topical preparations). </w:t>
            </w:r>
          </w:p>
          <w:p w:rsidR="00763BD7" w:rsidP="00763BD7" w:rsidRDefault="00945C75" w14:paraId="1645D473" w14:textId="39ACFBC8">
            <w:pPr>
              <w:pStyle w:val="Bulletindent1"/>
            </w:pPr>
            <w:r w:rsidRPr="00D843E4">
              <w:t xml:space="preserve">Individuals with </w:t>
            </w:r>
            <w:r w:rsidR="002416AD">
              <w:t xml:space="preserve">an </w:t>
            </w:r>
            <w:r w:rsidRPr="00D843E4" w:rsidR="002416AD">
              <w:t>eGFR</w:t>
            </w:r>
            <w:r w:rsidRPr="00D843E4">
              <w:t xml:space="preserve"> of &lt;30ml/min/1.73m</w:t>
            </w:r>
            <w:r w:rsidRPr="00D843E4">
              <w:rPr>
                <w:vertAlign w:val="superscript"/>
              </w:rPr>
              <w:t>2</w:t>
            </w:r>
            <w:r w:rsidRPr="00D843E4">
              <w:t xml:space="preserve"> </w:t>
            </w:r>
            <w:r w:rsidRPr="00763BD7" w:rsidR="00763BD7">
              <w:t xml:space="preserve">where imaging is not being undertaken as emergency/unscheduled care (see Inclusion Criteria) </w:t>
            </w:r>
          </w:p>
          <w:p w:rsidRPr="00763BD7" w:rsidR="00763BD7" w:rsidP="00763BD7" w:rsidRDefault="00763BD7" w14:paraId="62DE8ABD" w14:textId="14118FCB">
            <w:pPr>
              <w:pStyle w:val="Bulletindent1"/>
              <w:rPr/>
            </w:pPr>
            <w:r w:rsidR="01927509">
              <w:rPr/>
              <w:t xml:space="preserve">Outpatient, non-urgent </w:t>
            </w:r>
            <w:r w:rsidR="01927509">
              <w:rPr/>
              <w:t>inpatient</w:t>
            </w:r>
            <w:r w:rsidR="01927509">
              <w:rPr/>
              <w:t xml:space="preserve"> and community settings - individuals with eGFR &gt;30ml/min/</w:t>
            </w:r>
            <w:r w:rsidR="186902FA">
              <w:rPr/>
              <w:t>1.73</w:t>
            </w:r>
            <w:r w:rsidR="01927509">
              <w:rPr/>
              <w:t>m</w:t>
            </w:r>
            <w:r w:rsidRPr="6BC48603" w:rsidR="01927509">
              <w:rPr>
                <w:vertAlign w:val="superscript"/>
              </w:rPr>
              <w:t>2</w:t>
            </w:r>
            <w:r w:rsidR="01927509">
              <w:rPr/>
              <w:t xml:space="preserve"> recorded in past 6 months presenting with acute illness suggestive of acute kidney injury since last eGFR (e.g. diarrhoea, vomiting, fever, hypovolaemia, infection or difficulty passing urine)</w:t>
            </w:r>
          </w:p>
          <w:p w:rsidR="00763BD7" w:rsidP="00763BD7" w:rsidRDefault="00763BD7" w14:paraId="4F035534" w14:textId="77777777">
            <w:pPr>
              <w:pStyle w:val="Bulletindent1"/>
            </w:pPr>
            <w:r>
              <w:t xml:space="preserve">Outpatient, non-urgent inpatient and community settings – individuals who have no eGFR recorded within past 6 months/eGFR unobtainable at time of imaging </w:t>
            </w:r>
            <w:r w:rsidRPr="00993F59">
              <w:rPr>
                <w:b/>
                <w:bCs/>
              </w:rPr>
              <w:t>and also answer yes</w:t>
            </w:r>
            <w:r>
              <w:t xml:space="preserve"> to one or more of the following screening questions: </w:t>
            </w:r>
          </w:p>
          <w:p w:rsidR="00763BD7" w:rsidP="00763BD7" w:rsidRDefault="00763BD7" w14:paraId="4DE8929E" w14:textId="77777777">
            <w:pPr>
              <w:pStyle w:val="Bulletindent1"/>
              <w:numPr>
                <w:ilvl w:val="1"/>
                <w:numId w:val="21"/>
              </w:numPr>
            </w:pPr>
            <w:r>
              <w:t>do they have kidney disease, or have they had a kidney transplant?</w:t>
            </w:r>
          </w:p>
          <w:p w:rsidR="00763BD7" w:rsidP="00763BD7" w:rsidRDefault="00763BD7" w14:paraId="6E4D925C" w14:textId="77777777">
            <w:pPr>
              <w:pStyle w:val="Bulletindent1"/>
              <w:numPr>
                <w:ilvl w:val="1"/>
                <w:numId w:val="21"/>
              </w:numPr>
            </w:pPr>
            <w:r>
              <w:lastRenderedPageBreak/>
              <w:t>have they seen or are waiting to see a kidney specialist, or a kidney surgeon or urologist?</w:t>
            </w:r>
          </w:p>
          <w:p w:rsidR="00763BD7" w:rsidP="00CB4A2B" w:rsidRDefault="00763BD7" w14:paraId="30F4C0E5" w14:textId="77777777">
            <w:pPr>
              <w:pStyle w:val="Bulletindent1"/>
              <w:numPr>
                <w:ilvl w:val="1"/>
                <w:numId w:val="21"/>
              </w:numPr>
            </w:pPr>
            <w:r>
              <w:t xml:space="preserve">do they have symptoms of acute illness likely to cause acute kidney injury such as diarrhoea, vomiting, fever, hypovolaemia, infection or difficulty passing urine? </w:t>
            </w:r>
          </w:p>
          <w:p w:rsidRPr="00D843E4" w:rsidR="00945C75" w:rsidP="00160B58" w:rsidRDefault="00945C75" w14:paraId="4F0C977E" w14:textId="5BC2FD8C">
            <w:pPr>
              <w:pStyle w:val="Bulletindent1"/>
            </w:pPr>
            <w:r>
              <w:t>Known p</w:t>
            </w:r>
            <w:r w:rsidRPr="00D843E4">
              <w:t>regnancy.</w:t>
            </w:r>
          </w:p>
          <w:p w:rsidR="004E03A1" w:rsidP="00160B58" w:rsidRDefault="00945C75" w14:paraId="06CBFFE6" w14:textId="77777777">
            <w:pPr>
              <w:pStyle w:val="Bulletindent1"/>
            </w:pPr>
            <w:r>
              <w:t>Any clinical</w:t>
            </w:r>
            <w:r w:rsidRPr="00CA4395">
              <w:t xml:space="preserve"> history </w:t>
            </w:r>
            <w:r>
              <w:t xml:space="preserve">documented in the radiology referral/imaging referral/request </w:t>
            </w:r>
            <w:r w:rsidRPr="00CA4395">
              <w:t>of</w:t>
            </w:r>
            <w:r w:rsidR="004E03A1">
              <w:t>:</w:t>
            </w:r>
          </w:p>
          <w:p w:rsidRPr="00CB4A2B" w:rsidR="00CB4A2B" w:rsidP="00CB4A2B" w:rsidRDefault="00CB4A2B" w14:paraId="29BEB5E1" w14:textId="77777777">
            <w:pPr>
              <w:pStyle w:val="Bulletindent1"/>
              <w:numPr>
                <w:ilvl w:val="1"/>
                <w:numId w:val="21"/>
              </w:numPr>
              <w:rPr>
                <w:rFonts w:cs="Arial"/>
              </w:rPr>
            </w:pPr>
            <w:r w:rsidRPr="00CB4A2B">
              <w:rPr>
                <w:rFonts w:cs="Arial"/>
              </w:rPr>
              <w:t>Manifest thyrotoxicosis.</w:t>
            </w:r>
          </w:p>
          <w:p w:rsidRPr="00CB4A2B" w:rsidR="00CB4A2B" w:rsidP="00CB4A2B" w:rsidRDefault="00CB4A2B" w14:paraId="1454513B" w14:textId="77777777">
            <w:pPr>
              <w:pStyle w:val="Bulletindent1"/>
              <w:numPr>
                <w:ilvl w:val="1"/>
                <w:numId w:val="21"/>
              </w:numPr>
              <w:rPr>
                <w:rFonts w:cs="Arial"/>
              </w:rPr>
            </w:pPr>
            <w:r w:rsidRPr="00CB4A2B">
              <w:rPr>
                <w:rFonts w:cs="Arial"/>
              </w:rPr>
              <w:t>Myasthenia gravis.</w:t>
            </w:r>
          </w:p>
          <w:p w:rsidRPr="00CB4A2B" w:rsidR="00CB4A2B" w:rsidP="00CB4A2B" w:rsidRDefault="00CB4A2B" w14:paraId="01BD0BC5" w14:textId="77777777">
            <w:pPr>
              <w:pStyle w:val="Bulletindent1"/>
              <w:numPr>
                <w:ilvl w:val="1"/>
                <w:numId w:val="21"/>
              </w:numPr>
              <w:rPr>
                <w:rFonts w:cs="Arial"/>
              </w:rPr>
            </w:pPr>
            <w:r w:rsidRPr="00CB4A2B">
              <w:rPr>
                <w:rFonts w:cs="Arial"/>
              </w:rPr>
              <w:t>Congestive heart failure, severe cardiac disease or pulmonary hypertension.</w:t>
            </w:r>
          </w:p>
          <w:p w:rsidRPr="00CB4A2B" w:rsidR="00CB4A2B" w:rsidP="00CB4A2B" w:rsidRDefault="00CB4A2B" w14:paraId="4C79350B" w14:textId="77777777">
            <w:pPr>
              <w:pStyle w:val="Bulletindent1"/>
              <w:numPr>
                <w:ilvl w:val="1"/>
                <w:numId w:val="21"/>
              </w:numPr>
              <w:rPr>
                <w:rFonts w:cs="Arial"/>
              </w:rPr>
            </w:pPr>
            <w:r w:rsidRPr="00CB4A2B">
              <w:rPr>
                <w:rFonts w:cs="Arial"/>
              </w:rPr>
              <w:t>Homocystinuria.</w:t>
            </w:r>
          </w:p>
          <w:p w:rsidRPr="00CB4A2B" w:rsidR="00CB4A2B" w:rsidP="00CB4A2B" w:rsidRDefault="00CB4A2B" w14:paraId="60F4D4D7" w14:textId="77777777">
            <w:pPr>
              <w:pStyle w:val="Bulletindent1"/>
              <w:numPr>
                <w:ilvl w:val="1"/>
                <w:numId w:val="21"/>
              </w:numPr>
              <w:rPr>
                <w:rFonts w:cs="Arial"/>
              </w:rPr>
            </w:pPr>
            <w:r w:rsidRPr="00CB4A2B">
              <w:rPr>
                <w:rFonts w:cs="Arial"/>
              </w:rPr>
              <w:t>Sickle cell disease.</w:t>
            </w:r>
          </w:p>
          <w:p w:rsidRPr="00CB4A2B" w:rsidR="00CB4A2B" w:rsidP="00CB4A2B" w:rsidRDefault="00CB4A2B" w14:paraId="2B9637E3" w14:textId="77777777">
            <w:pPr>
              <w:pStyle w:val="Bulletindent1"/>
              <w:numPr>
                <w:ilvl w:val="1"/>
                <w:numId w:val="21"/>
              </w:numPr>
              <w:rPr>
                <w:rFonts w:cs="Arial"/>
              </w:rPr>
            </w:pPr>
            <w:r w:rsidRPr="00CB4A2B">
              <w:rPr>
                <w:rFonts w:cs="Arial"/>
              </w:rPr>
              <w:t xml:space="preserve">Severe liver impairment or peri-operative liver transplant period. </w:t>
            </w:r>
          </w:p>
          <w:p w:rsidRPr="00CB4A2B" w:rsidR="00CB4A2B" w:rsidP="00CB4A2B" w:rsidRDefault="00CB4A2B" w14:paraId="3CEADC00" w14:textId="77777777">
            <w:pPr>
              <w:pStyle w:val="Bulletindent1"/>
              <w:numPr>
                <w:ilvl w:val="1"/>
                <w:numId w:val="21"/>
              </w:numPr>
              <w:rPr>
                <w:rFonts w:cs="Arial"/>
              </w:rPr>
            </w:pPr>
            <w:r w:rsidRPr="00CB4A2B">
              <w:rPr>
                <w:rFonts w:cs="Arial"/>
              </w:rPr>
              <w:t xml:space="preserve">Asthma which is poorly controlled at the time of procedure.  </w:t>
            </w:r>
          </w:p>
          <w:p w:rsidRPr="00CB4A2B" w:rsidR="00CB4A2B" w:rsidP="00CB4A2B" w:rsidRDefault="00CB4A2B" w14:paraId="1906D25B" w14:textId="77777777">
            <w:pPr>
              <w:pStyle w:val="Bulletindent1"/>
              <w:numPr>
                <w:ilvl w:val="1"/>
                <w:numId w:val="21"/>
              </w:numPr>
              <w:rPr>
                <w:rFonts w:cs="Arial"/>
              </w:rPr>
            </w:pPr>
            <w:r w:rsidRPr="00CB4A2B">
              <w:rPr>
                <w:rFonts w:cs="Arial"/>
              </w:rPr>
              <w:t>Myeloma.</w:t>
            </w:r>
          </w:p>
          <w:p w:rsidRPr="00CB4A2B" w:rsidR="004E03A1" w:rsidP="00CB4A2B" w:rsidRDefault="00CB4A2B" w14:paraId="01B76393" w14:textId="77777777">
            <w:pPr>
              <w:pStyle w:val="Bulletindent1"/>
              <w:numPr>
                <w:ilvl w:val="1"/>
                <w:numId w:val="21"/>
              </w:numPr>
            </w:pPr>
            <w:r w:rsidRPr="00CB4A2B">
              <w:rPr>
                <w:rFonts w:cs="Arial"/>
              </w:rPr>
              <w:t>Phaeochromocytoma</w:t>
            </w:r>
          </w:p>
          <w:p w:rsidR="00CB4A2B" w:rsidP="00CB4A2B" w:rsidRDefault="00CB4A2B" w14:paraId="242D0FB3" w14:textId="06D08590">
            <w:pPr>
              <w:pStyle w:val="Bulletindent1"/>
            </w:pPr>
            <w:r w:rsidRPr="00CB4A2B">
              <w:t>Previous episode of Drug hypersensitivity syndrome (DRESS) related to iodinated contrast.</w:t>
            </w:r>
          </w:p>
        </w:tc>
      </w:tr>
      <w:tr w:rsidR="00AE4F4B" w:rsidTr="6BC48603" w14:paraId="2086F951" w14:textId="77777777">
        <w:tc>
          <w:tcPr>
            <w:tcW w:w="2689" w:type="dxa"/>
            <w:tcMar/>
          </w:tcPr>
          <w:p w:rsidRPr="005A6168" w:rsidR="00AE4F4B" w:rsidP="005A6168" w:rsidRDefault="00AA150C" w14:paraId="34F2E318" w14:textId="7E1AEDD6">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Mar/>
          </w:tcPr>
          <w:p w:rsidR="007F3C0C" w:rsidP="00160B58" w:rsidRDefault="007F3C0C" w14:paraId="50521D41" w14:textId="40259330">
            <w:pPr>
              <w:pStyle w:val="Bulletindent1"/>
            </w:pPr>
            <w:r w:rsidRPr="007A6E51">
              <w:t>Previous history of any adverse drug reaction to a</w:t>
            </w:r>
            <w:r>
              <w:t xml:space="preserve">n </w:t>
            </w:r>
            <w:r w:rsidR="00B36F46">
              <w:t>intravenous</w:t>
            </w:r>
            <w:r w:rsidRPr="007A6E51" w:rsidR="00C373F2">
              <w:t xml:space="preserve"> </w:t>
            </w:r>
            <w:r w:rsidRPr="007A6E51">
              <w:t xml:space="preserve">contrast </w:t>
            </w:r>
            <w:r>
              <w:t>agent</w:t>
            </w:r>
            <w:r w:rsidRPr="007A6E51">
              <w:t xml:space="preserve"> not listed in the exclusion criteria.  Caution should be exercised where there is a known previous moderately severe reaction to </w:t>
            </w:r>
            <w:r w:rsidRPr="007A6E51" w:rsidR="00C373F2">
              <w:t>intrav</w:t>
            </w:r>
            <w:r w:rsidR="00C373F2">
              <w:t>enous</w:t>
            </w:r>
            <w:r w:rsidRPr="007A6E51" w:rsidR="00C373F2">
              <w:t xml:space="preserve"> </w:t>
            </w:r>
            <w:r w:rsidRPr="007A6E51">
              <w:t xml:space="preserve">contrast such as bronchospasm or urticaria requiring treatment or severe reactions (e.g. laryngeal or angioneurotic oedema, severe bronchospasm or collapse) to </w:t>
            </w:r>
            <w:r w:rsidRPr="007A6E51" w:rsidR="005A6885">
              <w:t>intrav</w:t>
            </w:r>
            <w:r w:rsidR="005A6885">
              <w:t>enous</w:t>
            </w:r>
            <w:r w:rsidRPr="007A6E51" w:rsidR="005A6885">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rsidRPr="00CB4A2B" w:rsidR="00CB4A2B" w:rsidP="00CB4A2B" w:rsidRDefault="00CB4A2B" w14:paraId="219E2A47" w14:textId="77777777">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AE4F4B" w:rsidP="00160B58" w:rsidRDefault="007F3C0C" w14:paraId="6550FBF2" w14:textId="77777777">
            <w:pPr>
              <w:pStyle w:val="Bulletindent1"/>
            </w:pPr>
            <w:r w:rsidRPr="0054549D">
              <w:t xml:space="preserve">History of severe/multiple </w:t>
            </w:r>
            <w:r w:rsidRPr="0054549D" w:rsidR="00504FB7">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rsidRPr="00CB4A2B" w:rsidR="00CB4A2B" w:rsidP="00CB4A2B" w:rsidRDefault="00CB4A2B" w14:paraId="549E39AB" w14:textId="77777777">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rsidR="00CB4A2B" w:rsidP="00CB4A2B" w:rsidRDefault="00CB4A2B" w14:paraId="64FEDD91" w14:textId="7BCFBD50">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(and also in interactions and follow up sections) or remove this highlighted text where applicable</w:t>
            </w:r>
            <w:r w:rsidRPr="00CB4A2B">
              <w:rPr>
                <w:highlight w:val="cyan"/>
              </w:rPr>
              <w:t>.</w:t>
            </w:r>
            <w:r>
              <w:t>]</w:t>
            </w:r>
            <w:r w:rsidRPr="00CB4A2B">
              <w:t xml:space="preserve">  </w:t>
            </w:r>
          </w:p>
        </w:tc>
      </w:tr>
      <w:tr w:rsidR="00AE4F4B" w:rsidTr="6BC48603" w14:paraId="6142EA67" w14:textId="77777777">
        <w:tc>
          <w:tcPr>
            <w:tcW w:w="2689" w:type="dxa"/>
            <w:tcMar/>
          </w:tcPr>
          <w:p w:rsidRPr="005A6168" w:rsidR="00AE4F4B" w:rsidP="005A6168" w:rsidRDefault="003E69CD" w14:paraId="751752A4" w14:textId="3BF2F402">
            <w:pPr>
              <w:rPr>
                <w:rStyle w:val="TableHeaderColumn"/>
              </w:rPr>
            </w:pPr>
            <w:r>
              <w:rPr>
                <w:rStyle w:val="TableHeaderColumn"/>
              </w:rPr>
              <w:lastRenderedPageBreak/>
              <w:t>Actions to be taken if the individual is excluded or declines treatment</w:t>
            </w:r>
          </w:p>
        </w:tc>
        <w:tc>
          <w:tcPr>
            <w:tcW w:w="5806" w:type="dxa"/>
            <w:tcMar/>
          </w:tcPr>
          <w:p w:rsidR="00AE4F4B" w:rsidP="009B62D2" w:rsidRDefault="0090103B" w14:paraId="1ACA62F4" w14:textId="65C385F5">
            <w:pPr>
              <w:pStyle w:val="Tabletext"/>
            </w:pPr>
            <w:r>
              <w:t>Refer to Radiologist/Clinical Oncologist/medically qualified imaging expert or referring medical team and enter details into the clinical/radiology record.</w:t>
            </w:r>
          </w:p>
        </w:tc>
      </w:tr>
    </w:tbl>
    <w:p w:rsidR="00BB2599" w:rsidP="005A6168" w:rsidRDefault="00BB2599" w14:paraId="33A25EBD" w14:textId="75A4AEE9">
      <w:pPr>
        <w:pStyle w:val="PGDNormal"/>
      </w:pPr>
    </w:p>
    <w:p w:rsidR="00BB2599" w:rsidP="00F57606" w:rsidRDefault="00BB2599" w14:paraId="49D72199" w14:textId="77777777">
      <w:pPr>
        <w:pStyle w:val="Tabletext"/>
      </w:pPr>
      <w:r>
        <w:br w:type="page"/>
      </w:r>
    </w:p>
    <w:p w:rsidR="007A1448" w:rsidP="00BB2C75" w:rsidRDefault="00C25DE0" w14:paraId="035E86F2" w14:textId="4D5F1530">
      <w:pPr>
        <w:pStyle w:val="Heading1"/>
      </w:pPr>
      <w:r w:rsidRPr="00DF77C7">
        <w:lastRenderedPageBreak/>
        <w:t>D</w:t>
      </w:r>
      <w:r w:rsidRPr="00DF77C7" w:rsidR="007A1448">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rsidTr="6BC48603" w14:paraId="2B351AEC" w14:textId="77777777">
        <w:tc>
          <w:tcPr>
            <w:tcW w:w="3397" w:type="dxa"/>
            <w:tcMar/>
          </w:tcPr>
          <w:p w:rsidRPr="005A6168" w:rsidR="00165DD9" w:rsidP="005A6168" w:rsidRDefault="00165DD9" w14:paraId="6EB1838B" w14:textId="56417B3C">
            <w:pPr>
              <w:rPr>
                <w:rStyle w:val="TableHeaderColumn"/>
              </w:rPr>
            </w:pPr>
            <w:r w:rsidRPr="005A6168">
              <w:rPr>
                <w:rStyle w:val="TableHeaderColumn"/>
              </w:rPr>
              <w:t>Name, form and strength of contrast</w:t>
            </w:r>
          </w:p>
        </w:tc>
        <w:tc>
          <w:tcPr>
            <w:tcW w:w="5529" w:type="dxa"/>
            <w:tcMar/>
          </w:tcPr>
          <w:p w:rsidR="00B00474" w:rsidP="00B00474" w:rsidRDefault="00B00474" w14:paraId="4C461FEA" w14:textId="77777777">
            <w:pPr>
              <w:pStyle w:val="Tabletext"/>
            </w:pPr>
            <w:r>
              <w:t>Ioversol solution for injection:</w:t>
            </w:r>
          </w:p>
          <w:p w:rsidR="00B00474" w:rsidP="00B00474" w:rsidRDefault="00B00474" w14:paraId="394338A3" w14:textId="77777777">
            <w:pPr>
              <w:pStyle w:val="Bulletindent1"/>
            </w:pPr>
            <w:r>
              <w:t>240mg/ml - 1ml of solution for injection contains 509mg ioversol equivalent to 240mg iodine.</w:t>
            </w:r>
          </w:p>
          <w:p w:rsidR="00B00474" w:rsidP="00B00474" w:rsidRDefault="00B00474" w14:paraId="62E09CE1" w14:textId="77777777">
            <w:pPr>
              <w:pStyle w:val="Bulletindent1"/>
            </w:pPr>
            <w:r>
              <w:t>300mg/ml - 1ml of solution for injection contains 636mg ioversol equivalent to 300mg iodine.</w:t>
            </w:r>
          </w:p>
          <w:p w:rsidR="00B00474" w:rsidP="00B00474" w:rsidRDefault="00B00474" w14:paraId="5DEF5182" w14:textId="77777777">
            <w:pPr>
              <w:pStyle w:val="Bulletindent1"/>
            </w:pPr>
            <w:r>
              <w:t>320mg/ml - 1ml of solution for injection contains 678mg ioversol equivalent to 320mg iodine.</w:t>
            </w:r>
          </w:p>
          <w:p w:rsidR="00165DD9" w:rsidP="00B00474" w:rsidRDefault="00B00474" w14:paraId="2B104BB5" w14:textId="4116C609">
            <w:pPr>
              <w:pStyle w:val="Bulletindent1"/>
            </w:pPr>
            <w:r>
              <w:t>350mg/ml - 1ml of solution for injection contains 741mg ioversol equivalent to 350mg iodine.</w:t>
            </w:r>
            <w:r w:rsidR="00C16536">
              <w:rPr>
                <w:szCs w:val="22"/>
              </w:rPr>
              <w:t xml:space="preserve">.  </w:t>
            </w:r>
          </w:p>
        </w:tc>
      </w:tr>
      <w:tr w:rsidR="00165DD9" w:rsidTr="6BC48603" w14:paraId="6DAA0645" w14:textId="77777777">
        <w:tc>
          <w:tcPr>
            <w:tcW w:w="3397" w:type="dxa"/>
            <w:tcMar/>
          </w:tcPr>
          <w:p w:rsidRPr="005A6168" w:rsidR="00165DD9" w:rsidP="005A6168" w:rsidRDefault="00165DD9" w14:paraId="2F56A41B" w14:textId="05091A78">
            <w:pPr>
              <w:rPr>
                <w:rStyle w:val="TableHeaderColumn"/>
              </w:rPr>
            </w:pPr>
            <w:r w:rsidRPr="005A6168">
              <w:rPr>
                <w:rStyle w:val="TableHeaderColumn"/>
              </w:rPr>
              <w:t>Legal category</w:t>
            </w:r>
          </w:p>
        </w:tc>
        <w:tc>
          <w:tcPr>
            <w:tcW w:w="5529" w:type="dxa"/>
            <w:tcMar/>
          </w:tcPr>
          <w:p w:rsidR="00165DD9" w:rsidP="009B62D2" w:rsidRDefault="00165DD9" w14:paraId="29E26784" w14:textId="49492B56">
            <w:pPr>
              <w:pStyle w:val="Tabletext"/>
            </w:pPr>
            <w:r w:rsidRPr="008676A6">
              <w:t>POM</w:t>
            </w:r>
          </w:p>
        </w:tc>
      </w:tr>
      <w:tr w:rsidR="00165DD9" w:rsidTr="6BC48603" w14:paraId="44E2B1CC" w14:textId="77777777">
        <w:tc>
          <w:tcPr>
            <w:tcW w:w="3397" w:type="dxa"/>
            <w:tcMar/>
          </w:tcPr>
          <w:p w:rsidRPr="005A6168" w:rsidR="00165DD9" w:rsidP="005A6168" w:rsidRDefault="00165DD9" w14:paraId="2EBF84AC" w14:textId="3F02AFE0">
            <w:pPr>
              <w:rPr>
                <w:rStyle w:val="TableHeaderColumn"/>
              </w:rPr>
            </w:pPr>
            <w:r w:rsidRPr="005A6168">
              <w:rPr>
                <w:rStyle w:val="TableHeaderColumn"/>
              </w:rPr>
              <w:t>Route</w:t>
            </w:r>
            <w:r w:rsidRPr="005A6168" w:rsidR="009604EE">
              <w:rPr>
                <w:rStyle w:val="TableHeaderColumn"/>
              </w:rPr>
              <w:t xml:space="preserve"> or </w:t>
            </w:r>
            <w:r w:rsidRPr="005A6168">
              <w:rPr>
                <w:rStyle w:val="TableHeaderColumn"/>
              </w:rPr>
              <w:t>method of administration</w:t>
            </w:r>
          </w:p>
        </w:tc>
        <w:tc>
          <w:tcPr>
            <w:tcW w:w="5529" w:type="dxa"/>
            <w:tcMar/>
          </w:tcPr>
          <w:p w:rsidR="00165DD9" w:rsidP="009B62D2" w:rsidRDefault="00165DD9" w14:paraId="04517ADA" w14:textId="0566B800">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rsidTr="6BC48603" w14:paraId="264CA183" w14:textId="77777777">
        <w:tc>
          <w:tcPr>
            <w:tcW w:w="3397" w:type="dxa"/>
            <w:tcMar/>
          </w:tcPr>
          <w:p w:rsidRPr="005A6168" w:rsidR="003E69CD" w:rsidP="005A6168" w:rsidRDefault="003E69CD" w14:paraId="011DED45" w14:textId="0D334062">
            <w:pPr>
              <w:rPr>
                <w:rStyle w:val="TableHeaderColumn"/>
              </w:rPr>
            </w:pPr>
            <w:r>
              <w:rPr>
                <w:rStyle w:val="TableHeaderColumn"/>
              </w:rPr>
              <w:t>Off label use</w:t>
            </w:r>
          </w:p>
        </w:tc>
        <w:tc>
          <w:tcPr>
            <w:tcW w:w="5529" w:type="dxa"/>
            <w:tcMar/>
          </w:tcPr>
          <w:p w:rsidRPr="005A6885" w:rsidR="005F17C5" w:rsidP="005A6885" w:rsidRDefault="005F17C5" w14:paraId="2B5A6675" w14:textId="77777777">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rsidRPr="005A6885" w:rsidR="005F17C5" w:rsidP="005A6885" w:rsidRDefault="005F17C5" w14:paraId="46196D32" w14:textId="77777777">
            <w:pPr>
              <w:pStyle w:val="Tabletext"/>
            </w:pPr>
          </w:p>
          <w:p w:rsidRPr="003B61FD" w:rsidR="003E69CD" w:rsidP="005F17C5" w:rsidRDefault="005F17C5" w14:paraId="74240E7C" w14:textId="587EF712">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rsidTr="6BC48603" w14:paraId="27DDC201" w14:textId="77777777">
        <w:tc>
          <w:tcPr>
            <w:tcW w:w="3397" w:type="dxa"/>
            <w:tcMar/>
          </w:tcPr>
          <w:p w:rsidRPr="005A6168" w:rsidR="00165DD9" w:rsidP="005A6168" w:rsidRDefault="00165DD9" w14:paraId="47CBA637" w14:textId="26C43375">
            <w:pPr>
              <w:rPr>
                <w:rStyle w:val="TableHeaderColumn"/>
              </w:rPr>
            </w:pPr>
            <w:r w:rsidRPr="005A6168">
              <w:rPr>
                <w:rStyle w:val="TableHeaderColumn"/>
              </w:rPr>
              <w:t>Dose and frequency</w:t>
            </w:r>
            <w:r w:rsidR="005F17C5">
              <w:rPr>
                <w:rStyle w:val="TableHeaderColumn"/>
              </w:rPr>
              <w:t xml:space="preserve"> of administration</w:t>
            </w:r>
          </w:p>
        </w:tc>
        <w:tc>
          <w:tcPr>
            <w:tcW w:w="5529" w:type="dxa"/>
            <w:tcMar/>
          </w:tcPr>
          <w:p w:rsidR="00165DD9" w:rsidP="009B62D2" w:rsidRDefault="00165DD9" w14:paraId="48A9CDF2" w14:textId="6624929D">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rsidR="00165DD9" w:rsidP="009B62D2" w:rsidRDefault="00165DD9" w14:paraId="6AB47447" w14:textId="354E98DA">
            <w:pPr>
              <w:pStyle w:val="Tabletext"/>
            </w:pPr>
            <w:r w:rsidRPr="00191FDD">
              <w:t>Note: all doses should be calculated by weight (kg)</w:t>
            </w:r>
          </w:p>
        </w:tc>
      </w:tr>
      <w:tr w:rsidR="00165DD9" w:rsidTr="6BC48603" w14:paraId="25154B5D" w14:textId="77777777">
        <w:tc>
          <w:tcPr>
            <w:tcW w:w="3397" w:type="dxa"/>
            <w:tcMar/>
          </w:tcPr>
          <w:p w:rsidRPr="005A6168" w:rsidR="00165DD9" w:rsidP="005A6168" w:rsidRDefault="00165DD9" w14:paraId="01685DA9" w14:textId="38F39E7A">
            <w:pPr>
              <w:rPr>
                <w:rStyle w:val="TableHeaderColumn"/>
              </w:rPr>
            </w:pPr>
            <w:r w:rsidRPr="005A6168">
              <w:rPr>
                <w:rStyle w:val="TableHeaderColumn"/>
              </w:rPr>
              <w:t xml:space="preserve">Quantity to be administered </w:t>
            </w:r>
          </w:p>
        </w:tc>
        <w:tc>
          <w:tcPr>
            <w:tcW w:w="5529" w:type="dxa"/>
            <w:tcMar/>
          </w:tcPr>
          <w:p w:rsidR="00165DD9" w:rsidP="009B62D2" w:rsidRDefault="00165DD9" w14:paraId="1BDDBFD7" w14:textId="2A420B4D">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rsidTr="6BC48603" w14:paraId="073231F9"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6A7AF1" w:rsidP="005A6168" w:rsidRDefault="005F17C5" w14:paraId="3CF8ECDD" w14:textId="525F8E89">
            <w:pPr>
              <w:rPr>
                <w:rStyle w:val="TableHeaderColumn"/>
              </w:rPr>
            </w:pPr>
            <w:r>
              <w:rPr>
                <w:rStyle w:val="TableHeaderColumn"/>
              </w:rPr>
              <w:t>Duration of treatment</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6A7AF1" w:rsidP="009B62D2" w:rsidRDefault="006A7AF1" w14:paraId="0733367E" w14:textId="77777777">
            <w:pPr>
              <w:pStyle w:val="Tabletext"/>
              <w:rPr>
                <w:rFonts w:cs="Arial"/>
              </w:rPr>
            </w:pPr>
            <w:r w:rsidRPr="007D1E21">
              <w:rPr>
                <w:rFonts w:cs="Arial"/>
              </w:rPr>
              <w:t>Single procedure permitted under this PGD.</w:t>
            </w:r>
          </w:p>
          <w:p w:rsidRPr="007D1E21" w:rsidR="006A7AF1" w:rsidP="009B62D2" w:rsidRDefault="006A7AF1" w14:paraId="52BE3E0A" w14:textId="77777777">
            <w:pPr>
              <w:pStyle w:val="Tabletext"/>
              <w:rPr>
                <w:rFonts w:cs="Arial"/>
              </w:rPr>
            </w:pPr>
          </w:p>
          <w:p w:rsidRPr="009A5221" w:rsidR="00CB4A2B" w:rsidP="00CB4A2B" w:rsidRDefault="00CB4A2B" w14:paraId="2E25915C" w14:textId="77777777">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rsidR="00CB4A2B" w:rsidP="6BC48603" w:rsidRDefault="00CB4A2B" w14:paraId="1A6DCDC0" w14:textId="77777777">
            <w:pPr>
              <w:keepNext w:val="1"/>
              <w:spacing w:after="60"/>
              <w:rPr>
                <w:rFonts w:ascii="Arial" w:hAnsi="Arial"/>
                <w:sz w:val="22"/>
                <w:szCs w:val="22"/>
                <w:lang w:val="en-GB"/>
              </w:rPr>
            </w:pPr>
            <w:r w:rsidRPr="6BC48603" w:rsidR="00CB4A2B">
              <w:rPr>
                <w:rFonts w:ascii="Arial" w:hAnsi="Arial"/>
                <w:sz w:val="22"/>
                <w:szCs w:val="22"/>
                <w:lang w:val="en-GB"/>
              </w:rPr>
              <w:t xml:space="preserve">Individuals with normal or moderately reduced renal function (eGFR </w:t>
            </w:r>
            <w:r w:rsidRPr="6BC48603" w:rsidR="00CB4A2B">
              <w:rPr>
                <w:rFonts w:ascii="Arial" w:hAnsi="Arial"/>
                <w:sz w:val="22"/>
                <w:szCs w:val="22"/>
                <w:u w:val="single"/>
                <w:lang w:val="en-GB"/>
              </w:rPr>
              <w:t>&gt;</w:t>
            </w:r>
            <w:r w:rsidRPr="6BC48603" w:rsidR="00CB4A2B">
              <w:rPr>
                <w:rFonts w:ascii="Arial" w:hAnsi="Arial"/>
                <w:sz w:val="22"/>
                <w:szCs w:val="22"/>
                <w:lang w:val="en-GB"/>
              </w:rPr>
              <w:t xml:space="preserve"> 30 ml/min/1.73 m</w:t>
            </w:r>
            <w:r w:rsidRPr="6BC48603" w:rsidR="00CB4A2B">
              <w:rPr>
                <w:rFonts w:ascii="Arial" w:hAnsi="Arial"/>
                <w:sz w:val="22"/>
                <w:szCs w:val="22"/>
                <w:vertAlign w:val="superscript"/>
                <w:lang w:val="en-GB"/>
              </w:rPr>
              <w:t>2</w:t>
            </w:r>
            <w:r w:rsidRPr="6BC48603" w:rsidR="00CB4A2B">
              <w:rPr>
                <w:rFonts w:ascii="Arial" w:hAnsi="Arial"/>
                <w:sz w:val="22"/>
                <w:szCs w:val="22"/>
                <w:lang w:val="en-GB"/>
              </w:rPr>
              <w:t>)</w:t>
            </w:r>
            <w:r w:rsidRPr="6BC48603" w:rsidR="00CB4A2B">
              <w:rPr>
                <w:rFonts w:ascii="Arial" w:hAnsi="Arial"/>
                <w:sz w:val="22"/>
                <w:szCs w:val="22"/>
                <w:lang w:val="en-GB"/>
              </w:rPr>
              <w:t xml:space="preserve">.  </w:t>
            </w:r>
            <w:r w:rsidRPr="6BC48603" w:rsidR="00CB4A2B">
              <w:rPr>
                <w:rFonts w:ascii="Arial" w:hAnsi="Arial"/>
                <w:sz w:val="22"/>
                <w:szCs w:val="22"/>
                <w:lang w:val="en-GB"/>
              </w:rPr>
              <w:t xml:space="preserve">There should </w:t>
            </w:r>
            <w:r w:rsidRPr="6BC48603" w:rsidR="00CB4A2B">
              <w:rPr>
                <w:rFonts w:ascii="Arial" w:hAnsi="Arial"/>
                <w:sz w:val="22"/>
                <w:szCs w:val="22"/>
                <w:lang w:val="en-GB"/>
              </w:rPr>
              <w:t xml:space="preserve">be 4 </w:t>
            </w:r>
            <w:r w:rsidRPr="6BC48603" w:rsidR="00CB4A2B">
              <w:rPr>
                <w:rFonts w:ascii="Arial" w:hAnsi="Arial"/>
                <w:sz w:val="22"/>
                <w:szCs w:val="22"/>
                <w:lang w:val="en-GB"/>
              </w:rPr>
              <w:t>hours between injections of iodine-based contrast medium.</w:t>
            </w:r>
          </w:p>
          <w:p w:rsidRPr="009A5221" w:rsidR="00CB4A2B" w:rsidP="00CB4A2B" w:rsidRDefault="00CB4A2B" w14:paraId="72463150" w14:textId="057FFF32">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rsidR="006A7AF1" w:rsidP="00CB4A2B" w:rsidRDefault="00CB4A2B" w14:paraId="34A3B3B7" w14:textId="09DEC16D">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rsidTr="6BC48603" w14:paraId="28CB51BD"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005F17C5" w:rsidP="005A6168" w:rsidRDefault="005F17C5" w14:paraId="69119C98" w14:textId="4AFD6B1F">
            <w:pPr>
              <w:rPr>
                <w:rStyle w:val="TableHeaderColumn"/>
              </w:rPr>
            </w:pPr>
            <w:r>
              <w:rPr>
                <w:rStyle w:val="TableHeaderColumn"/>
              </w:rPr>
              <w:lastRenderedPageBreak/>
              <w:t>Storage</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Pr="005A6885" w:rsidR="005F17C5" w:rsidP="005F17C5" w:rsidRDefault="005F17C5" w14:paraId="332998FA" w14:textId="77777777">
            <w:pPr>
              <w:overflowPunct w:val="0"/>
              <w:autoSpaceDE w:val="0"/>
              <w:autoSpaceDN w:val="0"/>
              <w:adjustRightInd w:val="0"/>
              <w:textAlignment w:val="baseline"/>
              <w:rPr>
                <w:rFonts w:ascii="Arial" w:hAnsi="Arial" w:eastAsia="Times New Roman" w:cs="Arial"/>
                <w:kern w:val="0"/>
                <w:sz w:val="22"/>
                <w:lang w:val="en-US"/>
                <w14:ligatures w14:val="none"/>
              </w:rPr>
            </w:pPr>
            <w:r w:rsidRPr="005A6885">
              <w:rPr>
                <w:rFonts w:ascii="Arial" w:hAnsi="Arial" w:eastAsia="Times New Roman" w:cs="Arial"/>
                <w:kern w:val="0"/>
                <w:sz w:val="22"/>
                <w:lang w:val="en-US"/>
                <w14:ligatures w14:val="none"/>
              </w:rPr>
              <w:t>Medicines must be stored securely according to national guidelines and in accordance with the product SPC.</w:t>
            </w:r>
          </w:p>
          <w:p w:rsidRPr="005A6885" w:rsidR="005F17C5" w:rsidP="005F17C5" w:rsidRDefault="005F17C5" w14:paraId="5DDE8AE8" w14:textId="77777777">
            <w:pPr>
              <w:overflowPunct w:val="0"/>
              <w:autoSpaceDE w:val="0"/>
              <w:autoSpaceDN w:val="0"/>
              <w:adjustRightInd w:val="0"/>
              <w:textAlignment w:val="baseline"/>
              <w:rPr>
                <w:rFonts w:ascii="Arial" w:hAnsi="Arial" w:eastAsia="Times New Roman" w:cs="Arial"/>
                <w:kern w:val="0"/>
                <w:sz w:val="22"/>
                <w:lang w:val="en-US"/>
                <w14:ligatures w14:val="none"/>
              </w:rPr>
            </w:pPr>
          </w:p>
          <w:p w:rsidR="000F2735" w:rsidP="000F2735" w:rsidRDefault="000F2735" w14:paraId="6A4B9DFD" w14:textId="77777777">
            <w:pPr>
              <w:pStyle w:val="Bulletindent1"/>
            </w:pPr>
            <w:r>
              <w:t>Store below 30</w:t>
            </w:r>
            <w:r>
              <w:rPr>
                <w:rFonts w:cs="Arial"/>
              </w:rPr>
              <w:t>º</w:t>
            </w:r>
            <w:r>
              <w:t>C and store in outer carton to protect from light.</w:t>
            </w:r>
          </w:p>
          <w:p w:rsidR="006245F7" w:rsidP="000F2735" w:rsidRDefault="006245F7" w14:paraId="5EF188F5" w14:textId="063AAE07">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rsidRPr="007D1E21" w:rsidR="005F17C5" w:rsidP="000F2735" w:rsidRDefault="006245F7" w14:paraId="63B16DBA" w14:textId="01FA3947">
            <w:pPr>
              <w:pStyle w:val="Bulletindent1"/>
              <w:rPr>
                <w:rFonts w:cs="Arial"/>
              </w:rPr>
            </w:pPr>
            <w:r>
              <w:t xml:space="preserve">Contrast agent should ideally be warmed to body temperature prior to administration.  </w:t>
            </w:r>
          </w:p>
        </w:tc>
      </w:tr>
      <w:tr w:rsidR="00700627" w:rsidTr="6BC48603" w14:paraId="2CD9E9DF" w14:textId="77777777">
        <w:tc>
          <w:tcPr>
            <w:tcW w:w="3397" w:type="dxa"/>
            <w:tcBorders>
              <w:top w:val="single" w:color="auto" w:sz="4" w:space="0"/>
              <w:left w:val="single" w:color="auto" w:sz="4" w:space="0"/>
              <w:bottom w:val="single" w:color="auto" w:sz="4" w:space="0"/>
              <w:right w:val="single" w:color="auto" w:sz="4" w:space="0"/>
            </w:tcBorders>
            <w:tcMar/>
          </w:tcPr>
          <w:p w:rsidRPr="005A6168" w:rsidR="00700627" w:rsidP="005A6168" w:rsidRDefault="00700627" w14:paraId="580D0647" w14:textId="706B8F3C">
            <w:pPr>
              <w:rPr>
                <w:rStyle w:val="TableHeaderColumn"/>
              </w:rPr>
            </w:pPr>
            <w:r w:rsidRPr="005A6168">
              <w:rPr>
                <w:rStyle w:val="TableHeaderColumn"/>
              </w:rPr>
              <w:t>Drug interactions</w:t>
            </w:r>
          </w:p>
        </w:tc>
        <w:tc>
          <w:tcPr>
            <w:tcW w:w="5529" w:type="dxa"/>
            <w:tcBorders>
              <w:top w:val="single" w:color="auto" w:sz="4" w:space="0"/>
              <w:left w:val="single" w:color="auto" w:sz="4" w:space="0"/>
              <w:bottom w:val="single" w:color="auto" w:sz="4" w:space="0"/>
              <w:right w:val="single" w:color="auto" w:sz="4" w:space="0"/>
            </w:tcBorders>
            <w:tcMar/>
          </w:tcPr>
          <w:p w:rsidR="00EF69F8" w:rsidP="009B62D2" w:rsidRDefault="00EF69F8" w14:paraId="6EC4A8D3" w14:textId="5096EA5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w:history="1" r:id="rId17">
              <w:r w:rsidR="00B00474">
                <w:rPr>
                  <w:rStyle w:val="Hyperlink"/>
                  <w:rFonts w:cs="Arial"/>
                  <w:lang w:val="en-GB"/>
                </w:rPr>
                <w:t>ioversol Summary of Product Characteristics (SmPC) on the MHRA website</w:t>
              </w:r>
            </w:hyperlink>
            <w:r>
              <w:rPr>
                <w:rFonts w:cs="Arial"/>
                <w:color w:val="000000"/>
                <w:lang w:val="en-GB"/>
              </w:rPr>
              <w:t xml:space="preserve"> </w:t>
            </w:r>
          </w:p>
          <w:p w:rsidR="00EF69F8" w:rsidP="009B62D2" w:rsidRDefault="00EF69F8" w14:paraId="754E7B93" w14:textId="77777777">
            <w:pPr>
              <w:pStyle w:val="Tabletext"/>
            </w:pPr>
          </w:p>
          <w:p w:rsidR="00EF69F8" w:rsidP="009B62D2" w:rsidRDefault="00700627" w14:paraId="6B6510F6" w14:textId="4CE45604">
            <w:pPr>
              <w:pStyle w:val="Tabletext"/>
            </w:pPr>
            <w:r>
              <w:t>No reported</w:t>
            </w:r>
            <w:r w:rsidR="00EF69F8">
              <w:t xml:space="preserve"> interactions relevant to administration under this PGD.</w:t>
            </w:r>
          </w:p>
          <w:p w:rsidR="00700627" w:rsidP="009B62D2" w:rsidRDefault="00700627" w14:paraId="06B6C616" w14:textId="717D6560">
            <w:pPr>
              <w:pStyle w:val="Tabletext"/>
            </w:pPr>
          </w:p>
        </w:tc>
      </w:tr>
      <w:tr w:rsidR="00700627" w:rsidTr="6BC48603" w14:paraId="39E46197" w14:textId="77777777">
        <w:tc>
          <w:tcPr>
            <w:tcW w:w="3397" w:type="dxa"/>
            <w:tcBorders>
              <w:top w:val="single" w:color="auto" w:sz="4" w:space="0"/>
              <w:left w:val="single" w:color="auto" w:sz="4" w:space="0"/>
              <w:bottom w:val="single" w:color="auto" w:sz="4" w:space="0"/>
              <w:right w:val="single" w:color="auto" w:sz="4" w:space="0"/>
            </w:tcBorders>
            <w:shd w:val="clear" w:color="auto" w:fill="auto"/>
            <w:tcMar/>
          </w:tcPr>
          <w:p w:rsidRPr="005A6168" w:rsidR="00700627" w:rsidP="005A6168" w:rsidRDefault="00AE7448" w14:paraId="338D9536" w14:textId="7100B09A">
            <w:pPr>
              <w:rPr>
                <w:rStyle w:val="TableHeaderColumn"/>
              </w:rPr>
            </w:pPr>
            <w:r>
              <w:rPr>
                <w:rStyle w:val="TableHeaderColumn"/>
              </w:rPr>
              <w:t>Identification and management of adverse reactions</w:t>
            </w:r>
          </w:p>
        </w:tc>
        <w:tc>
          <w:tcPr>
            <w:tcW w:w="5529" w:type="dxa"/>
            <w:tcBorders>
              <w:top w:val="single" w:color="auto" w:sz="4" w:space="0"/>
              <w:left w:val="single" w:color="auto" w:sz="4" w:space="0"/>
              <w:bottom w:val="single" w:color="auto" w:sz="4" w:space="0"/>
              <w:right w:val="single" w:color="auto" w:sz="4" w:space="0"/>
            </w:tcBorders>
            <w:shd w:val="clear" w:color="auto" w:fill="auto"/>
            <w:tcMar/>
          </w:tcPr>
          <w:p w:rsidR="00700627" w:rsidP="009B62D2" w:rsidRDefault="00700627" w14:paraId="4E800F41" w14:textId="088956EA">
            <w:pPr>
              <w:pStyle w:val="Tabletext"/>
              <w:rPr>
                <w:szCs w:val="22"/>
              </w:rPr>
            </w:pPr>
            <w:r>
              <w:rPr>
                <w:szCs w:val="22"/>
              </w:rPr>
              <w:t xml:space="preserve">Refer </w:t>
            </w:r>
            <w:r w:rsidR="00802041">
              <w:rPr>
                <w:szCs w:val="22"/>
              </w:rPr>
              <w:t>to the</w:t>
            </w:r>
            <w:r w:rsidR="005A6885">
              <w:rPr>
                <w:szCs w:val="22"/>
              </w:rPr>
              <w:t xml:space="preserve"> </w:t>
            </w:r>
            <w:hyperlink w:history="1" r:id="rId18">
              <w:r w:rsidR="00B00474">
                <w:rPr>
                  <w:rStyle w:val="Hyperlink"/>
                  <w:rFonts w:cs="Arial"/>
                  <w:lang w:val="en-GB"/>
                </w:rPr>
                <w:t>ioversol Summary of Product Characteristics (SmPC) on the MHRA website</w:t>
              </w:r>
            </w:hyperlink>
            <w:r w:rsidRPr="005A6885" w:rsidR="005A6885">
              <w:rPr>
                <w:szCs w:val="22"/>
                <w:lang w:val="en-GB"/>
              </w:rPr>
              <w:t xml:space="preserve"> </w:t>
            </w:r>
            <w:r>
              <w:rPr>
                <w:szCs w:val="22"/>
              </w:rPr>
              <w:t>for full details of known adverse effects.</w:t>
            </w:r>
          </w:p>
          <w:p w:rsidR="00700627" w:rsidP="009B62D2" w:rsidRDefault="00700627" w14:paraId="21D60669" w14:textId="56E88CC1">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rsidR="008A4D2A" w:rsidP="000F2735" w:rsidRDefault="008A4D2A" w14:paraId="651CA2FF" w14:textId="77777777">
            <w:pPr>
              <w:pStyle w:val="Bulletindent1"/>
            </w:pPr>
            <w:r w:rsidRPr="008A4D2A">
              <w:t>Feeling hot/flushed</w:t>
            </w:r>
          </w:p>
          <w:p w:rsidRPr="0076347B" w:rsidR="000F2735" w:rsidP="000F2735" w:rsidRDefault="000F2735" w14:paraId="0E7046ED" w14:textId="77777777">
            <w:pPr>
              <w:pStyle w:val="Bulletindent1"/>
            </w:pPr>
            <w:r>
              <w:t>Pain</w:t>
            </w:r>
          </w:p>
          <w:p w:rsidRPr="003A7ED6" w:rsidR="000F2735" w:rsidP="000F2735" w:rsidRDefault="000F2735" w14:paraId="045DB6BC" w14:textId="77777777">
            <w:pPr>
              <w:pStyle w:val="Bulletindent1"/>
            </w:pPr>
            <w:r>
              <w:t>Nausea</w:t>
            </w:r>
          </w:p>
          <w:p w:rsidR="008A4D2A" w:rsidP="008A4D2A" w:rsidRDefault="008A4D2A" w14:paraId="732E5125" w14:textId="77777777">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rsidR="008A4D2A" w:rsidP="000F2735" w:rsidRDefault="008A4D2A" w14:paraId="52EBEB15" w14:textId="45AC6B83">
            <w:pPr>
              <w:pStyle w:val="Bulletindent1"/>
            </w:pPr>
            <w:r>
              <w:t>High fever</w:t>
            </w:r>
          </w:p>
          <w:p w:rsidR="008A4D2A" w:rsidP="000F2735" w:rsidRDefault="008A4D2A" w14:paraId="3FA65B2C" w14:textId="1AA2559F">
            <w:pPr>
              <w:pStyle w:val="Bulletindent1"/>
            </w:pPr>
            <w:r>
              <w:t>Morbilliform eruption</w:t>
            </w:r>
          </w:p>
          <w:p w:rsidR="008A4D2A" w:rsidP="000F2735" w:rsidRDefault="008A4D2A" w14:paraId="6C0478F4" w14:textId="120AC449">
            <w:pPr>
              <w:pStyle w:val="Bulletindent1"/>
            </w:pPr>
            <w:r>
              <w:t>Haematological abnormalities</w:t>
            </w:r>
          </w:p>
          <w:p w:rsidR="008A4D2A" w:rsidP="000F2735" w:rsidRDefault="008A4D2A" w14:paraId="02A11DE8" w14:textId="4E26032E">
            <w:pPr>
              <w:pStyle w:val="Bulletindent1"/>
            </w:pPr>
            <w:r>
              <w:t>Lymphadenopathy</w:t>
            </w:r>
          </w:p>
          <w:p w:rsidR="008A4D2A" w:rsidP="000F2735" w:rsidRDefault="008A4D2A" w14:paraId="7A050B18" w14:textId="07E1FBCA">
            <w:pPr>
              <w:pStyle w:val="Bulletindent1"/>
            </w:pPr>
            <w:r>
              <w:lastRenderedPageBreak/>
              <w:t>Inflammation of one or more internal organs.</w:t>
            </w:r>
          </w:p>
          <w:p w:rsidR="00700627" w:rsidP="008A4D2A" w:rsidRDefault="008A4D2A" w14:paraId="59A213F4" w14:textId="33A230FB">
            <w:pPr>
              <w:pStyle w:val="Tabletext"/>
            </w:pPr>
            <w:r>
              <w:t xml:space="preserve"> Onset is typically 2-6 weeks after first exposure (reduced to days after subsequent exposure). If signs and symptoms suggestive of DRESS appear, </w:t>
            </w:r>
            <w:r w:rsidR="003B7DE2">
              <w:t>ioversol</w:t>
            </w:r>
            <w:r>
              <w:t xml:space="preserve"> should be withdrawn immediately and the patient referred to a prescriber. </w:t>
            </w:r>
            <w:r w:rsidR="003B7DE2">
              <w:t>Ioverso</w:t>
            </w:r>
            <w:r w:rsidR="00AB1EA8">
              <w:t>l</w:t>
            </w:r>
            <w:r>
              <w:t xml:space="preserve"> must not be restarted in these individuals at any time.</w:t>
            </w:r>
          </w:p>
        </w:tc>
      </w:tr>
      <w:tr w:rsidR="00700627" w:rsidTr="6BC48603" w14:paraId="08C3469A" w14:textId="77777777">
        <w:tc>
          <w:tcPr>
            <w:tcW w:w="3397" w:type="dxa"/>
            <w:tcMar/>
          </w:tcPr>
          <w:p w:rsidRPr="005A6168" w:rsidR="00700627" w:rsidP="005A6168" w:rsidRDefault="00AE7448" w14:paraId="0980B18E" w14:textId="77777777">
            <w:pPr>
              <w:rPr>
                <w:rStyle w:val="TableHeaderColumn"/>
              </w:rPr>
            </w:pPr>
            <w:r>
              <w:rPr>
                <w:rStyle w:val="TableHeaderColumn"/>
              </w:rPr>
              <w:lastRenderedPageBreak/>
              <w:t>Management of and reporting procedures for adverse reactions</w:t>
            </w:r>
          </w:p>
        </w:tc>
        <w:tc>
          <w:tcPr>
            <w:tcW w:w="5529" w:type="dxa"/>
            <w:tcMar/>
          </w:tcPr>
          <w:p w:rsidR="00C5216A" w:rsidP="00160B58" w:rsidRDefault="00C5216A" w14:paraId="25A14757" w14:textId="414F6CDD">
            <w:pPr>
              <w:pStyle w:val="Bulletindent1"/>
            </w:pPr>
            <w:r w:rsidRPr="00504FB7">
              <w:t xml:space="preserve">The </w:t>
            </w:r>
            <w:r w:rsidRPr="00504FB7" w:rsid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Pr="00504FB7" w:rsidR="00E57A07">
              <w:t>PGD.</w:t>
            </w:r>
          </w:p>
          <w:p w:rsidRPr="00504FB7" w:rsidR="005C68D1" w:rsidP="00160B58" w:rsidRDefault="005C68D1" w14:paraId="2C3599A7" w14:textId="4EBAF8DB">
            <w:pPr>
              <w:pStyle w:val="Bulletindent1"/>
            </w:pPr>
            <w:r w:rsidRPr="005C68D1">
              <w:t>Anaphylaxis kit and resuscitation trolley or kit should be immediately available</w:t>
            </w:r>
          </w:p>
          <w:p w:rsidRPr="00AC0BE9" w:rsidR="00C5216A" w:rsidP="00160B58" w:rsidRDefault="00B154E7" w14:paraId="373AAE38" w14:textId="1B534EAA">
            <w:pPr>
              <w:pStyle w:val="Bulletindent1"/>
            </w:pPr>
            <w:r w:rsidRPr="00AC0BE9">
              <w:t>[</w:t>
            </w:r>
            <w:r w:rsidRPr="00AC0BE9" w:rsidR="00C5216A">
              <w:rPr>
                <w:highlight w:val="cyan"/>
              </w:rPr>
              <w:t>There should be a system in place to call an appropriately trained clinician/s who can deal immediately with a severe contrast agent reaction in the MR environment (link to organisation protocol/s as relevant).</w:t>
            </w:r>
            <w:r w:rsidRPr="00AC0BE9">
              <w:t>]</w:t>
            </w:r>
          </w:p>
          <w:p w:rsidRPr="00AC0BE9" w:rsidR="00C5216A" w:rsidP="00160B58" w:rsidRDefault="00B154E7" w14:paraId="613A7D79" w14:textId="4D2F9D79">
            <w:pPr>
              <w:pStyle w:val="Bulletindent1"/>
            </w:pPr>
            <w:r w:rsidRPr="00AC0BE9">
              <w:t>[</w:t>
            </w:r>
            <w:r w:rsidRPr="00AC0BE9" w:rsidR="00C5216A">
              <w:rPr>
                <w:highlight w:val="cyan"/>
              </w:rPr>
              <w:t>If required the crash or resuscitation team should be called immediately (link to organisation protocol/s as relevant)</w:t>
            </w:r>
            <w:r w:rsidRPr="00AC0BE9" w:rsidR="00C5216A">
              <w:t>.</w:t>
            </w:r>
            <w:r w:rsidRPr="00AC0BE9">
              <w:t>]</w:t>
            </w:r>
            <w:r w:rsidRPr="00AC0BE9" w:rsidR="00C5216A">
              <w:t xml:space="preserve">  </w:t>
            </w:r>
          </w:p>
          <w:p w:rsidRPr="005C68D1" w:rsidR="005C68D1" w:rsidP="005C68D1" w:rsidRDefault="005C68D1" w14:paraId="13822FC4" w14:textId="5E13CD2C">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rsidRPr="00504FB7" w:rsidR="00C5216A" w:rsidP="00160B58" w:rsidRDefault="00C5216A" w14:paraId="76CA11A8" w14:textId="3E2D0C70">
            <w:pPr>
              <w:pStyle w:val="Bulletindent1"/>
            </w:pPr>
            <w:r w:rsidRPr="00504FB7">
              <w:t>Record all ADRs in the individual’s radiology record including name and dose of contrast administered.</w:t>
            </w:r>
          </w:p>
          <w:p w:rsidRPr="005A6885" w:rsidR="00C5216A" w:rsidP="00160B58" w:rsidRDefault="00B154E7" w14:paraId="411463D3" w14:textId="08197B14">
            <w:pPr>
              <w:pStyle w:val="Bulletindent1"/>
            </w:pPr>
            <w:r w:rsidRPr="00AC0BE9">
              <w:t>[</w:t>
            </w:r>
            <w:r w:rsidRPr="00802041" w:rsidR="00C5216A">
              <w:rPr>
                <w:highlight w:val="cyan"/>
              </w:rPr>
              <w:t>Report via organisation incident policy (include link and any further detail required)</w:t>
            </w:r>
            <w:r w:rsidRPr="00AC0BE9">
              <w:t>]</w:t>
            </w:r>
          </w:p>
          <w:p w:rsidRPr="00504FB7" w:rsidR="00700627" w:rsidP="00802041" w:rsidRDefault="00C5216A" w14:paraId="292843F1" w14:textId="0F7AA725">
            <w:pPr>
              <w:pStyle w:val="Bulletindent1"/>
            </w:pPr>
            <w:r w:rsidRPr="00504FB7">
              <w:t xml:space="preserve">Report all serious suspected adverse reactions to the </w:t>
            </w:r>
            <w:hyperlink w:history="1" r:id="rId19">
              <w:r w:rsidRPr="00504FB7" w:rsidR="00557D6E">
                <w:rPr>
                  <w:rStyle w:val="Hyperlink"/>
                </w:rPr>
                <w:t>MHRA's Yellow Card Scheme</w:t>
              </w:r>
            </w:hyperlink>
            <w:r w:rsidRPr="00504FB7">
              <w:t xml:space="preserve"> </w:t>
            </w:r>
            <w:r w:rsidRPr="00AC0BE9" w:rsidR="00B154E7">
              <w:t>[</w:t>
            </w:r>
            <w:r w:rsidRPr="00504FB7">
              <w:rPr>
                <w:highlight w:val="cyan"/>
              </w:rPr>
              <w:t>follow organisation policy (include link and any further detail required)</w:t>
            </w:r>
            <w:r w:rsidRPr="00AC0BE9" w:rsidR="00B154E7">
              <w:t>]</w:t>
            </w:r>
          </w:p>
        </w:tc>
      </w:tr>
      <w:tr w:rsidR="00700627" w:rsidTr="6BC48603" w14:paraId="2A29C951" w14:textId="77777777">
        <w:tc>
          <w:tcPr>
            <w:tcW w:w="3397" w:type="dxa"/>
            <w:tcMar/>
          </w:tcPr>
          <w:p w:rsidRPr="005A6168" w:rsidR="00700627" w:rsidP="005A6168" w:rsidRDefault="00B410F0" w14:paraId="0CA74E78" w14:textId="789129CF">
            <w:pPr>
              <w:rPr>
                <w:rStyle w:val="TableHeaderColumn"/>
              </w:rPr>
            </w:pPr>
            <w:r w:rsidRPr="009A3A3E">
              <w:rPr>
                <w:rStyle w:val="TableHeaderColumn"/>
              </w:rPr>
              <w:t>Additional resources required</w:t>
            </w:r>
            <w:r w:rsidRPr="005A6168">
              <w:rPr>
                <w:rStyle w:val="TableHeaderColumn"/>
              </w:rPr>
              <w:t>/Additional advice</w:t>
            </w:r>
          </w:p>
        </w:tc>
        <w:tc>
          <w:tcPr>
            <w:tcW w:w="5529" w:type="dxa"/>
            <w:tcMar/>
          </w:tcPr>
          <w:p w:rsidR="000B6CB9" w:rsidP="00160B58" w:rsidRDefault="000B6CB9" w14:paraId="20988294" w14:textId="5535BF29">
            <w:pPr>
              <w:pStyle w:val="Bulletindent1"/>
            </w:pPr>
            <w:r>
              <w:t xml:space="preserve">All individuals must be continuously observed for the first 5 minutes post contrast agent injection. </w:t>
            </w:r>
          </w:p>
          <w:p w:rsidR="00700627" w:rsidP="00160B58" w:rsidRDefault="000B6CB9" w14:paraId="097A0BF7" w14:textId="3CC677DB">
            <w:pPr>
              <w:pStyle w:val="Bulletindent1"/>
            </w:pPr>
            <w:r>
              <w:lastRenderedPageBreak/>
              <w:t>All outpatients must remain within the radiology/imaging unit for a minimum of 15 minutes post contrast agent injection.</w:t>
            </w:r>
          </w:p>
        </w:tc>
      </w:tr>
      <w:tr w:rsidR="00700627" w:rsidTr="6BC48603" w14:paraId="2D254ACF" w14:textId="77777777">
        <w:tc>
          <w:tcPr>
            <w:tcW w:w="3397" w:type="dxa"/>
            <w:tcMar/>
          </w:tcPr>
          <w:p w:rsidRPr="005A6168" w:rsidR="00700627" w:rsidP="005A6168" w:rsidRDefault="008B3958" w14:paraId="4807EA10" w14:textId="15F96C63">
            <w:pPr>
              <w:rPr>
                <w:rStyle w:val="TableHeaderColumn"/>
              </w:rPr>
            </w:pPr>
            <w:r w:rsidRPr="005A6168">
              <w:rPr>
                <w:rStyle w:val="TableHeaderColumn"/>
              </w:rPr>
              <w:lastRenderedPageBreak/>
              <w:t>Written information</w:t>
            </w:r>
            <w:r w:rsidR="006245F7">
              <w:rPr>
                <w:rStyle w:val="TableHeaderColumn"/>
              </w:rPr>
              <w:t xml:space="preserve"> and further advice </w:t>
            </w:r>
            <w:r w:rsidRPr="005A6168" w:rsidR="006245F7">
              <w:rPr>
                <w:rStyle w:val="TableHeaderColumn"/>
              </w:rPr>
              <w:t>to</w:t>
            </w:r>
            <w:r w:rsidRPr="005A6168">
              <w:rPr>
                <w:rStyle w:val="TableHeaderColumn"/>
              </w:rPr>
              <w:t xml:space="preserve"> be given to individual or carer</w:t>
            </w:r>
          </w:p>
        </w:tc>
        <w:tc>
          <w:tcPr>
            <w:tcW w:w="5529" w:type="dxa"/>
            <w:tcMar/>
          </w:tcPr>
          <w:p w:rsidRPr="00D843E4" w:rsidR="00002ACC" w:rsidP="00160B58" w:rsidRDefault="00002ACC" w14:paraId="779838F1" w14:textId="6AAAEA35">
            <w:pPr>
              <w:pStyle w:val="Bulletindent1"/>
            </w:pPr>
            <w:r w:rsidRPr="00D843E4">
              <w:t>Where practical a copy of the</w:t>
            </w:r>
            <w:hyperlink w:history="1" r:id="rId20">
              <w:r w:rsidR="006F0F64">
                <w:rPr>
                  <w:rStyle w:val="Hyperlink"/>
                </w:rPr>
                <w:t xml:space="preserve"> </w:t>
              </w:r>
              <w:hyperlink w:history="1" r:id="rId21">
                <w:r w:rsidR="00B00474">
                  <w:rPr>
                    <w:rStyle w:val="Hyperlink"/>
                    <w:rFonts w:cs="Arial"/>
                  </w:rPr>
                  <w:t>ioversol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Pr="00D843E4" w:rsidR="00504FB7">
              <w:t>consent,</w:t>
            </w:r>
            <w:r w:rsidRPr="00D843E4">
              <w:t xml:space="preserve"> then a copy should be offered if possible.  </w:t>
            </w:r>
          </w:p>
          <w:p w:rsidRPr="00AC0BE9" w:rsidR="00002ACC" w:rsidP="00160B58" w:rsidRDefault="00B154E7" w14:paraId="25CD5A7B" w14:textId="02199B8F">
            <w:pPr>
              <w:pStyle w:val="Bulletindent1"/>
            </w:pPr>
            <w:r w:rsidRPr="00AC0BE9">
              <w:t>[</w:t>
            </w:r>
            <w:r w:rsidRPr="00AC0BE9" w:rsidR="00002ACC">
              <w:rPr>
                <w:highlight w:val="cyan"/>
              </w:rPr>
              <w:t>Include any details and links to organisation specific information resources.</w:t>
            </w:r>
            <w:r w:rsidRPr="00AC0BE9">
              <w:rPr>
                <w:highlight w:val="cyan"/>
              </w:rPr>
              <w:t>]</w:t>
            </w:r>
            <w:r w:rsidRPr="00AC0BE9" w:rsidR="00002ACC">
              <w:t xml:space="preserve"> </w:t>
            </w:r>
          </w:p>
          <w:p w:rsidR="005C68D1" w:rsidP="005C68D1" w:rsidRDefault="005C68D1" w14:paraId="0EF1CF0B" w14:textId="77777777">
            <w:pPr>
              <w:pStyle w:val="Bulletindent1"/>
            </w:pPr>
            <w:r>
              <w:t>Individual should be informed that they may experience a metallic taste, hot flush or a feeling of passing urine during administration and that this happens briefly.</w:t>
            </w:r>
          </w:p>
          <w:p w:rsidR="005C68D1" w:rsidP="005C68D1" w:rsidRDefault="005C68D1" w14:paraId="6DA08161" w14:textId="77777777">
            <w:pPr>
              <w:pStyle w:val="Bulletindent1"/>
            </w:pPr>
            <w:r>
              <w:t xml:space="preserve">Individual should be advised to drink plenty of fluid following the procedure if possible.  </w:t>
            </w:r>
          </w:p>
          <w:p w:rsidR="005C68D1" w:rsidP="005C68D1" w:rsidRDefault="005C68D1" w14:paraId="419062C5" w14:textId="77777777">
            <w:pPr>
              <w:pStyle w:val="Bulletindent1"/>
            </w:pPr>
            <w:r>
              <w:t xml:space="preserve">If relevant individual should be advised on management of injection site/s and any infection control or self-management required.  </w:t>
            </w:r>
          </w:p>
          <w:p w:rsidR="005C68D1" w:rsidP="005C68D1" w:rsidRDefault="005C68D1" w14:paraId="5B29F535" w14:textId="77777777">
            <w:pPr>
              <w:pStyle w:val="Bulletindent1"/>
            </w:pPr>
            <w:r>
              <w:t>Individual should also be informed that a mild allergic reaction such as rash, itchiness, feeling hot or nauseated may occur and that they must inform a healthcare professional if they experience these symptoms.</w:t>
            </w:r>
          </w:p>
          <w:p w:rsidR="00700627" w:rsidP="005C68D1" w:rsidRDefault="005C68D1" w14:paraId="72AB3536" w14:textId="1EB60CB5">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Pr="008F2B54" w:rsidR="008F2B54">
              <w:t xml:space="preserve">Advice from the RCR is available in the </w:t>
            </w:r>
            <w:hyperlink w:history="1" r:id="rId22">
              <w:r w:rsidRPr="008F2B54" w:rsidR="008F2B54">
                <w:rPr>
                  <w:rStyle w:val="Hyperlink"/>
                </w:rPr>
                <w:t>RCR and SoR  joint statement  on patients who are breastfeeding who require a CT or MRI with contrast available on the RCR website</w:t>
              </w:r>
            </w:hyperlink>
          </w:p>
        </w:tc>
      </w:tr>
      <w:tr w:rsidR="00700627" w:rsidTr="6BC48603" w14:paraId="09A371CA" w14:textId="77777777">
        <w:tc>
          <w:tcPr>
            <w:tcW w:w="3397" w:type="dxa"/>
            <w:tcMar/>
          </w:tcPr>
          <w:p w:rsidRPr="005A6168" w:rsidR="00700627" w:rsidP="005A6168" w:rsidRDefault="00742444" w14:paraId="0AB3BA26" w14:textId="4DA8AED8">
            <w:pPr>
              <w:rPr>
                <w:rStyle w:val="TableHeaderColumn"/>
              </w:rPr>
            </w:pPr>
            <w:r w:rsidRPr="005A6168">
              <w:rPr>
                <w:rStyle w:val="TableHeaderColumn"/>
              </w:rPr>
              <w:t xml:space="preserve">Follow-up </w:t>
            </w:r>
            <w:r w:rsidR="006245F7">
              <w:rPr>
                <w:rStyle w:val="TableHeaderColumn"/>
              </w:rPr>
              <w:t>treatment</w:t>
            </w:r>
          </w:p>
        </w:tc>
        <w:tc>
          <w:tcPr>
            <w:tcW w:w="5529" w:type="dxa"/>
            <w:tcMar/>
          </w:tcPr>
          <w:p w:rsidR="00C84817" w:rsidP="00160B58" w:rsidRDefault="00C84817" w14:paraId="1C2BE7D0" w14:textId="3A6E71B6">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Pr="00AC0BE9" w:rsidR="00B154E7">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rsidR="00700627" w:rsidP="00160B58" w:rsidRDefault="00C84817" w14:paraId="2BF8FA34" w14:textId="2CA671BB">
            <w:pPr>
              <w:pStyle w:val="Bulletindent1"/>
            </w:pPr>
            <w:r>
              <w:lastRenderedPageBreak/>
              <w:t>Advise of possible adverse effects and where to seek advice in the event of a suspected adverse</w:t>
            </w:r>
            <w:r w:rsidR="00DE4D52">
              <w:t xml:space="preserve"> reaction developing</w:t>
            </w:r>
            <w:r w:rsidR="004E03A1">
              <w:t>.</w:t>
            </w:r>
          </w:p>
        </w:tc>
      </w:tr>
      <w:tr w:rsidR="00700627" w:rsidTr="6BC48603" w14:paraId="589EF44D" w14:textId="77777777">
        <w:tc>
          <w:tcPr>
            <w:tcW w:w="3397" w:type="dxa"/>
            <w:tcMar/>
          </w:tcPr>
          <w:p w:rsidRPr="005A6168" w:rsidR="00700627" w:rsidP="005A6168" w:rsidRDefault="0097352C" w14:paraId="0194F7E0" w14:textId="7E52FBD6">
            <w:pPr>
              <w:rPr>
                <w:rStyle w:val="TableHeaderColumn"/>
              </w:rPr>
            </w:pPr>
            <w:r w:rsidRPr="005A6168">
              <w:rPr>
                <w:rStyle w:val="TableHeaderColumn"/>
              </w:rPr>
              <w:lastRenderedPageBreak/>
              <w:t>Records to be kept</w:t>
            </w:r>
          </w:p>
        </w:tc>
        <w:tc>
          <w:tcPr>
            <w:tcW w:w="5529" w:type="dxa"/>
            <w:tcMar/>
          </w:tcPr>
          <w:p w:rsidR="00572A06" w:rsidP="009B62D2" w:rsidRDefault="005D65E1" w14:paraId="5727EFDE" w14:textId="4026FD46">
            <w:pPr>
              <w:pStyle w:val="Tabletext"/>
              <w:rPr>
                <w:lang w:val="en-GB"/>
              </w:rPr>
            </w:pPr>
            <w:r>
              <w:t xml:space="preserve">The following must be recorded in relation to the </w:t>
            </w:r>
            <w:r>
              <w:rPr>
                <w:lang w:val="en-GB"/>
              </w:rPr>
              <w:t>individual</w:t>
            </w:r>
            <w:r w:rsidR="00572A06">
              <w:rPr>
                <w:lang w:val="en-GB"/>
              </w:rPr>
              <w:t>:</w:t>
            </w:r>
          </w:p>
          <w:p w:rsidRPr="00572A06" w:rsidR="00572A06" w:rsidP="00572A06" w:rsidRDefault="00572A06" w14:paraId="1E81CA87" w14:textId="554C91CC">
            <w:pPr>
              <w:pStyle w:val="Tabletext"/>
              <w:numPr>
                <w:ilvl w:val="0"/>
                <w:numId w:val="25"/>
              </w:numPr>
            </w:pPr>
            <w:r w:rsidRPr="00C3010B">
              <w:rPr>
                <w:lang w:val="en-GB"/>
              </w:rPr>
              <w:t>N</w:t>
            </w:r>
            <w:r w:rsidRPr="00C3010B" w:rsidR="005D65E1">
              <w:rPr>
                <w:lang w:val="en-GB"/>
              </w:rPr>
              <w:t>ame</w:t>
            </w:r>
          </w:p>
          <w:p w:rsidRPr="00572A06" w:rsidR="00572A06" w:rsidP="00572A06" w:rsidRDefault="00572A06" w14:paraId="1443635E" w14:textId="21478DAC">
            <w:pPr>
              <w:pStyle w:val="Tabletext"/>
              <w:numPr>
                <w:ilvl w:val="0"/>
                <w:numId w:val="25"/>
              </w:numPr>
            </w:pPr>
            <w:r>
              <w:rPr>
                <w:lang w:val="en-GB"/>
              </w:rPr>
              <w:t>D</w:t>
            </w:r>
            <w:r w:rsidRPr="00C3010B" w:rsidR="005D65E1">
              <w:rPr>
                <w:lang w:val="en-GB"/>
              </w:rPr>
              <w:t>ate of birth</w:t>
            </w:r>
          </w:p>
          <w:p w:rsidR="005D65E1" w:rsidP="00572A06" w:rsidRDefault="00572A06" w14:paraId="0D0FB725" w14:textId="445FBE4E">
            <w:pPr>
              <w:pStyle w:val="Tabletext"/>
              <w:numPr>
                <w:ilvl w:val="0"/>
                <w:numId w:val="25"/>
              </w:numPr>
            </w:pPr>
            <w:r>
              <w:rPr>
                <w:lang w:val="en-GB"/>
              </w:rPr>
              <w:t>H</w:t>
            </w:r>
            <w:r w:rsidRPr="00C3010B" w:rsidR="005D65E1">
              <w:rPr>
                <w:lang w:val="en-GB"/>
              </w:rPr>
              <w:t>ospital or NHS number/CHI number</w:t>
            </w:r>
            <w:r w:rsidR="005D65E1">
              <w:t xml:space="preserve"> </w:t>
            </w:r>
            <w:r w:rsidR="00B154E7">
              <w:t>[</w:t>
            </w:r>
            <w:r w:rsidRPr="008D60AD" w:rsidR="005D65E1">
              <w:rPr>
                <w:highlight w:val="cyan"/>
              </w:rPr>
              <w:t>in line with local procedures for recording clinical records</w:t>
            </w:r>
            <w:r w:rsidR="00B154E7">
              <w:t>]</w:t>
            </w:r>
          </w:p>
          <w:p w:rsidR="005D65E1" w:rsidP="00160B58" w:rsidRDefault="005D65E1" w14:paraId="2EF1C708" w14:textId="77777777">
            <w:pPr>
              <w:pStyle w:val="Bulletindent1"/>
            </w:pPr>
            <w:r>
              <w:t>Inclusion or exclusion from PGD</w:t>
            </w:r>
          </w:p>
          <w:p w:rsidR="005D65E1" w:rsidP="00160B58" w:rsidRDefault="005D65E1" w14:paraId="0C6D476A" w14:textId="77777777">
            <w:pPr>
              <w:pStyle w:val="Bulletindent1"/>
            </w:pPr>
            <w:r>
              <w:t>Date and time of administration</w:t>
            </w:r>
          </w:p>
          <w:p w:rsidR="005D65E1" w:rsidP="00160B58" w:rsidRDefault="005D65E1" w14:paraId="57596840" w14:textId="38D4B58B">
            <w:pPr>
              <w:pStyle w:val="Bulletindent1"/>
            </w:pPr>
            <w:r>
              <w:t xml:space="preserve">Clinical history </w:t>
            </w:r>
            <w:r w:rsidR="00AD79E7">
              <w:t>regarding</w:t>
            </w:r>
            <w:r>
              <w:t xml:space="preserve"> allergies, previous adverse events and the criteria under which the individual fits the PGD</w:t>
            </w:r>
          </w:p>
          <w:p w:rsidR="005D65E1" w:rsidP="00160B58" w:rsidRDefault="005D65E1" w14:paraId="1C0148AD" w14:textId="77777777">
            <w:pPr>
              <w:pStyle w:val="Bulletindent1"/>
            </w:pPr>
            <w:r>
              <w:t>Details of contrast including name, strength dose, route and site of administration.</w:t>
            </w:r>
          </w:p>
          <w:p w:rsidR="005D65E1" w:rsidP="00160B58" w:rsidRDefault="005D65E1" w14:paraId="784DDE20" w14:textId="77777777">
            <w:pPr>
              <w:pStyle w:val="Bulletindent1"/>
            </w:pPr>
            <w:r>
              <w:t>Batch number and expiry date of contrast administered.</w:t>
            </w:r>
          </w:p>
          <w:p w:rsidR="005D65E1" w:rsidP="00160B58" w:rsidRDefault="005D65E1" w14:paraId="5E4F6430" w14:textId="77777777">
            <w:pPr>
              <w:pStyle w:val="Bulletindent1"/>
            </w:pPr>
            <w:r>
              <w:t>A statement that administration is under a PGD.</w:t>
            </w:r>
          </w:p>
          <w:p w:rsidR="005D65E1" w:rsidP="00160B58" w:rsidRDefault="005D65E1" w14:paraId="26C37B4D" w14:textId="77777777">
            <w:pPr>
              <w:pStyle w:val="Bulletindent1"/>
            </w:pPr>
            <w:r>
              <w:t>Name</w:t>
            </w:r>
            <w:r w:rsidRPr="00490073">
              <w:t>/identifier</w:t>
            </w:r>
            <w:r>
              <w:t xml:space="preserve"> and signature (which may be electronic) of healthcare professional acting under the PGD to administer the contrast agents.</w:t>
            </w:r>
          </w:p>
          <w:p w:rsidR="005D65E1" w:rsidP="00160B58" w:rsidRDefault="005D65E1" w14:paraId="345E0819" w14:textId="77777777">
            <w:pPr>
              <w:pStyle w:val="Bulletindent1"/>
            </w:pPr>
            <w:r>
              <w:t>Relevant information that was given to the individual/carer.</w:t>
            </w:r>
          </w:p>
          <w:p w:rsidRPr="00490073" w:rsidR="005D65E1" w:rsidP="00160B58" w:rsidRDefault="005D65E1" w14:paraId="166979BB" w14:textId="77777777">
            <w:pPr>
              <w:pStyle w:val="Bulletindent1"/>
            </w:pPr>
            <w:r w:rsidRPr="00490073">
              <w:t xml:space="preserve">Record that consent refused – if consent refused record actions taken. </w:t>
            </w:r>
          </w:p>
          <w:p w:rsidR="00700627" w:rsidP="00160B58" w:rsidRDefault="005D65E1" w14:paraId="4AF5F403" w14:textId="676FBBD2">
            <w:pPr>
              <w:pStyle w:val="Bulletindent1"/>
            </w:pPr>
            <w:r>
              <w:t xml:space="preserve">Record details of and outcomes to any discussion with clinician/s under Cautions section of the PGD.  </w:t>
            </w:r>
          </w:p>
        </w:tc>
      </w:tr>
    </w:tbl>
    <w:p w:rsidRPr="00BB2599" w:rsidR="00BB2599" w:rsidP="005A6168" w:rsidRDefault="00BB2599" w14:paraId="53B0192F" w14:textId="77777777">
      <w:pPr>
        <w:pStyle w:val="PGDNormal"/>
      </w:pPr>
    </w:p>
    <w:bookmarkEnd w:id="3"/>
    <w:p w:rsidR="00725927" w:rsidP="00BB2C75" w:rsidRDefault="00725927" w14:paraId="74DEDA30" w14:textId="35ED2CD6">
      <w:pPr>
        <w:pStyle w:val="Heading1"/>
      </w:pPr>
      <w:r w:rsidRPr="00DF77C7">
        <w:t xml:space="preserve">Key references </w:t>
      </w:r>
      <w:r w:rsidRPr="00DF77C7" w:rsidR="00510425">
        <w:t>(accessed</w:t>
      </w:r>
      <w:r w:rsidRPr="00DF77C7" w:rsidR="00D0044C">
        <w:t xml:space="preserve"> </w:t>
      </w:r>
      <w:r w:rsidR="000F2735">
        <w:t>June</w:t>
      </w:r>
      <w:r w:rsidRPr="008F2B54" w:rsidR="008F2B54">
        <w:t xml:space="preserve"> 2024 – January 2025</w:t>
      </w:r>
      <w:r w:rsidRPr="00DF77C7" w:rsidR="00510425">
        <w:t>)</w:t>
      </w:r>
    </w:p>
    <w:p w:rsidRPr="00877396" w:rsidR="00351BBC" w:rsidP="00877396" w:rsidRDefault="00226222" w14:paraId="05FDCC63" w14:textId="36F694F1">
      <w:pPr>
        <w:pStyle w:val="Bulletindent1"/>
        <w:ind w:left="714" w:hanging="357"/>
        <w:rPr>
          <w:rStyle w:val="Hyperlink"/>
        </w:rPr>
      </w:pPr>
      <w:hyperlink w:history="1" r:id="rId23">
        <w:r w:rsidRPr="00877396">
          <w:rPr>
            <w:rStyle w:val="Hyperlink"/>
          </w:rPr>
          <w:t xml:space="preserve">MHRA </w:t>
        </w:r>
        <w:r w:rsidRPr="00877396" w:rsidR="00351BBC">
          <w:rPr>
            <w:rStyle w:val="Hyperlink"/>
          </w:rPr>
          <w:t>Summary of Product Characteristics</w:t>
        </w:r>
      </w:hyperlink>
    </w:p>
    <w:p w:rsidRPr="00877396" w:rsidR="00351BBC" w:rsidP="00877396" w:rsidRDefault="00426C26" w14:paraId="7496AC55" w14:textId="563619B2">
      <w:pPr>
        <w:pStyle w:val="Bulletindent1"/>
        <w:ind w:left="714" w:hanging="357"/>
        <w:rPr>
          <w:rStyle w:val="Hyperlink"/>
        </w:rPr>
      </w:pPr>
      <w:hyperlink w:history="1" r:id="rId24">
        <w:r w:rsidRPr="00877396">
          <w:rPr>
            <w:rStyle w:val="Hyperlink"/>
          </w:rPr>
          <w:t>RANZCR Iodinated Contrast Guidelines</w:t>
        </w:r>
      </w:hyperlink>
      <w:r w:rsidRPr="00877396">
        <w:rPr>
          <w:rStyle w:val="Hyperlink"/>
        </w:rPr>
        <w:t xml:space="preserve"> </w:t>
      </w:r>
    </w:p>
    <w:p w:rsidRPr="00877396" w:rsidR="00351BBC" w:rsidP="00877396" w:rsidRDefault="00351BBC" w14:paraId="5DDDEDB0" w14:textId="19E02F25">
      <w:pPr>
        <w:pStyle w:val="Bulletindent1"/>
        <w:ind w:left="714" w:hanging="357"/>
        <w:rPr>
          <w:rStyle w:val="Hyperlink"/>
        </w:rPr>
      </w:pPr>
      <w:hyperlink w:history="1" r:id="rId25">
        <w:r w:rsidRPr="00877396">
          <w:rPr>
            <w:rStyle w:val="Hyperlink"/>
          </w:rPr>
          <w:t>Current edition of British National Formulary</w:t>
        </w:r>
      </w:hyperlink>
      <w:r w:rsidRPr="00877396">
        <w:rPr>
          <w:rStyle w:val="Hyperlink"/>
        </w:rPr>
        <w:t xml:space="preserve"> </w:t>
      </w:r>
    </w:p>
    <w:p w:rsidRPr="00877396" w:rsidR="00351BBC" w:rsidP="00877396" w:rsidRDefault="00351BBC" w14:paraId="25F45134" w14:textId="307B379E">
      <w:pPr>
        <w:pStyle w:val="Bulletindent1"/>
        <w:ind w:left="714" w:hanging="357"/>
        <w:rPr>
          <w:rStyle w:val="Hyperlink"/>
        </w:rPr>
      </w:pPr>
      <w:hyperlink w:history="1" r:id="rId26">
        <w:r w:rsidRPr="00877396">
          <w:rPr>
            <w:rStyle w:val="Hyperlink"/>
          </w:rPr>
          <w:t>ESUR Guidelines on Contrast Media</w:t>
        </w:r>
      </w:hyperlink>
      <w:r w:rsidRPr="00877396">
        <w:rPr>
          <w:rStyle w:val="Hyperlink"/>
        </w:rPr>
        <w:t xml:space="preserve"> </w:t>
      </w:r>
    </w:p>
    <w:p w:rsidRPr="00877396" w:rsidR="00351BBC" w:rsidP="00877396" w:rsidRDefault="00351BBC" w14:paraId="28DC10AF" w14:textId="07EAC6D8">
      <w:pPr>
        <w:pStyle w:val="Bulletindent1"/>
        <w:ind w:left="714" w:hanging="357"/>
        <w:rPr>
          <w:rStyle w:val="Hyperlink"/>
        </w:rPr>
      </w:pPr>
      <w:hyperlink w:history="1" r:id="rId27">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rsidRPr="00877396" w:rsidR="00351BBC" w:rsidP="00877396" w:rsidRDefault="00B74946" w14:paraId="1D78C66B" w14:textId="2AECDA6D">
      <w:pPr>
        <w:pStyle w:val="Bulletindent1"/>
        <w:ind w:left="714" w:hanging="357"/>
        <w:rPr>
          <w:rStyle w:val="Hyperlink"/>
        </w:rPr>
      </w:pPr>
      <w:hyperlink w:history="1" r:id="rId28">
        <w:r w:rsidRPr="00877396">
          <w:rPr>
            <w:rStyle w:val="Hyperlink"/>
          </w:rPr>
          <w:t>Royal Pharmaceutical Society Safe and Secure Handling of Medicines</w:t>
        </w:r>
      </w:hyperlink>
    </w:p>
    <w:p w:rsidRPr="00877396" w:rsidR="00351BBC" w:rsidP="00877396" w:rsidRDefault="00351BBC" w14:paraId="3D60BD3B" w14:textId="3BE2E74A">
      <w:pPr>
        <w:pStyle w:val="Bulletindent1"/>
        <w:ind w:left="714" w:hanging="357"/>
        <w:rPr>
          <w:rStyle w:val="Hyperlink"/>
        </w:rPr>
      </w:pPr>
      <w:hyperlink w:history="1" r:id="rId29">
        <w:r w:rsidRPr="00877396">
          <w:rPr>
            <w:rStyle w:val="Hyperlink"/>
          </w:rPr>
          <w:t>ESUR CMSC guidelines</w:t>
        </w:r>
      </w:hyperlink>
      <w:r w:rsidRPr="00877396">
        <w:rPr>
          <w:rStyle w:val="Hyperlink"/>
        </w:rPr>
        <w:t xml:space="preserve"> </w:t>
      </w:r>
    </w:p>
    <w:p w:rsidRPr="00877396" w:rsidR="00877396" w:rsidP="00877396" w:rsidRDefault="00351BBC" w14:paraId="184DC13F" w14:textId="77777777">
      <w:pPr>
        <w:pStyle w:val="Bulletindent1"/>
        <w:ind w:left="714" w:hanging="357"/>
        <w:rPr>
          <w:rStyle w:val="Hyperlink"/>
        </w:rPr>
      </w:pPr>
      <w:hyperlink w:history="1" r:id="rId30">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rsidRPr="00877396" w:rsidR="00877396" w:rsidP="00877396" w:rsidRDefault="00877396" w14:paraId="5DB3B80A" w14:textId="6AF6C76E">
      <w:pPr>
        <w:pStyle w:val="Bulletindent1"/>
        <w:ind w:left="714" w:hanging="357"/>
        <w:rPr>
          <w:rStyle w:val="Hyperlink"/>
        </w:rPr>
      </w:pPr>
      <w:hyperlink w:history="1" r:id="rId3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rsidRPr="00877396" w:rsidR="00877396" w:rsidP="00877396" w:rsidRDefault="00877396" w14:paraId="3E5FE9FA" w14:textId="30C07D1C">
      <w:pPr>
        <w:pStyle w:val="Bulletindent1"/>
        <w:rPr>
          <w:rStyle w:val="Hyperlink"/>
        </w:rPr>
      </w:pPr>
      <w:hyperlink w:history="1" r:id="rId32">
        <w:r w:rsidRPr="00877396">
          <w:rPr>
            <w:rStyle w:val="Hyperlink"/>
            <w:lang w:val="de-DE"/>
          </w:rPr>
          <w:t>DermNet – Drug hypersensitivity syndrome</w:t>
        </w:r>
      </w:hyperlink>
    </w:p>
    <w:p w:rsidRPr="002416AD" w:rsidR="002416AD" w:rsidP="00877396" w:rsidRDefault="00877396" w14:paraId="18BD92E9" w14:textId="77777777">
      <w:pPr>
        <w:pStyle w:val="Bulletindent1"/>
        <w:rPr>
          <w:rStyle w:val="Hyperlink"/>
          <w:color w:val="auto"/>
          <w:u w:val="none"/>
        </w:rPr>
      </w:pPr>
      <w:hyperlink w:history="1" r:id="rId33">
        <w:r w:rsidRPr="00877396">
          <w:rPr>
            <w:rStyle w:val="Hyperlink"/>
            <w:lang w:val="de-DE"/>
          </w:rPr>
          <w:t>NICE guideline Acute kidney injury: prevention, detection and management</w:t>
        </w:r>
      </w:hyperlink>
      <w:r>
        <w:rPr>
          <w:rStyle w:val="Hyperlink"/>
        </w:rPr>
        <w:t xml:space="preserve"> </w:t>
      </w:r>
    </w:p>
    <w:p w:rsidRPr="00533F89" w:rsidR="00533F89" w:rsidP="00877396" w:rsidRDefault="002416AD" w14:paraId="068AB94A" w14:textId="3D7D44CC">
      <w:pPr>
        <w:pStyle w:val="Bulletindent1"/>
      </w:pPr>
      <w:hyperlink w:history="1" r:id="rId34">
        <w:r w:rsidRPr="002416AD">
          <w:rPr>
            <w:rStyle w:val="Hyperlink"/>
          </w:rPr>
          <w:t>European Society of Urogenital Radiology ESUR guidelines on contrast agents10.0</w:t>
        </w:r>
      </w:hyperlink>
      <w:r>
        <w:rPr>
          <w:rStyle w:val="Hyperlink"/>
        </w:rPr>
        <w:t xml:space="preserve"> </w:t>
      </w:r>
      <w:r w:rsidRPr="00877396" w:rsidR="007A1448">
        <w:rPr>
          <w:rStyle w:val="Hyperlink"/>
        </w:rPr>
        <w:br w:type="page"/>
      </w:r>
      <w:bookmarkEnd w:id="0"/>
      <w:bookmarkEnd w:id="1"/>
      <w:bookmarkEnd w:id="2"/>
      <w:r w:rsidRPr="00533F89" w:rsidR="00510425">
        <w:lastRenderedPageBreak/>
        <w:t xml:space="preserve">Appendices </w:t>
      </w:r>
    </w:p>
    <w:p w:rsidRPr="00DF77C7" w:rsidR="00510425" w:rsidP="00533F89" w:rsidRDefault="00B154E7" w14:paraId="14498D21" w14:textId="05B45152">
      <w:pPr>
        <w:pStyle w:val="PGDNormal"/>
      </w:pPr>
      <w:r w:rsidRPr="00AC0BE9">
        <w:t>[[</w:t>
      </w:r>
      <w:r w:rsidRPr="00DF77C7" w:rsidR="00510425">
        <w:rPr>
          <w:highlight w:val="yellow"/>
        </w:rPr>
        <w:t>(appendices may be added as agreed locally including relevant patient questionnaires, links to protocols and any patient information)</w:t>
      </w:r>
      <w:r>
        <w:t>]]</w:t>
      </w:r>
    </w:p>
    <w:p w:rsidRPr="00226222" w:rsidR="00592D87" w:rsidP="00226222" w:rsidRDefault="00510425" w14:paraId="376D0D71" w14:textId="77777777">
      <w:pPr>
        <w:pStyle w:val="Heading2"/>
      </w:pPr>
      <w:r w:rsidRPr="00226222">
        <w:t xml:space="preserve">Appendix A - Registered health professional authorisation sheet </w:t>
      </w:r>
    </w:p>
    <w:p w:rsidRPr="00DF77C7" w:rsidR="00510425" w:rsidP="00592D87" w:rsidRDefault="00B154E7" w14:paraId="64B7E49B" w14:textId="556758D8">
      <w:pPr>
        <w:pStyle w:val="PGDNormal"/>
      </w:pPr>
      <w:r w:rsidRPr="00AC0BE9">
        <w:t>[[</w:t>
      </w:r>
      <w:r w:rsidRPr="00DF77C7" w:rsidR="00510425">
        <w:rPr>
          <w:highlight w:val="yellow"/>
        </w:rPr>
        <w:t>(example – local versions/electronic systems may be used)</w:t>
      </w:r>
      <w:r>
        <w:t>]]</w:t>
      </w:r>
    </w:p>
    <w:p w:rsidRPr="00ED232C" w:rsidR="00510425" w:rsidP="00ED232C" w:rsidRDefault="00510425" w14:paraId="7DCA024B" w14:textId="77777777">
      <w:pPr>
        <w:rPr>
          <w:rStyle w:val="PGDNormalBold"/>
        </w:rPr>
      </w:pPr>
      <w:r w:rsidRPr="00ED232C">
        <w:rPr>
          <w:rStyle w:val="PGDNormalBold"/>
        </w:rPr>
        <w:t xml:space="preserve">PGD Name/Version            Valid from:                       Expiry:  </w:t>
      </w:r>
    </w:p>
    <w:p w:rsidRPr="00DF77C7" w:rsidR="00510425" w:rsidP="00510425" w:rsidRDefault="00510425" w14:paraId="49C6FE57" w14:textId="77777777">
      <w:pPr>
        <w:rPr>
          <w:rStyle w:val="PGDNormalBold"/>
        </w:rPr>
      </w:pPr>
    </w:p>
    <w:p w:rsidRPr="000411B7" w:rsidR="00510425" w:rsidP="007D47D1" w:rsidRDefault="00510425" w14:paraId="26DAAAFB" w14:textId="173EA2FC">
      <w:pPr>
        <w:pStyle w:val="PGDNormal"/>
      </w:pPr>
      <w:r w:rsidRPr="00DF77C7">
        <w:t>Before signing this PGD, check that the document has had the necessary authorisations. Without these, this PGD is not lawfully valid.</w:t>
      </w:r>
    </w:p>
    <w:p w:rsidRPr="00580EBB" w:rsidR="00510425" w:rsidP="00580EBB" w:rsidRDefault="00510425" w14:paraId="2DDE258B" w14:textId="77777777">
      <w:pPr>
        <w:pStyle w:val="Heading3"/>
      </w:pPr>
      <w:r w:rsidRPr="00580EBB">
        <w:t>Registered health professional</w:t>
      </w:r>
    </w:p>
    <w:p w:rsidR="00CA77CF" w:rsidP="002A6CB8" w:rsidRDefault="00510425" w14:paraId="55CAE467" w14:textId="3F801116">
      <w:pPr>
        <w:pStyle w:val="PGDNormal"/>
      </w:pPr>
      <w:r w:rsidRPr="00DF77C7">
        <w:t xml:space="preserve">By signing this patient group </w:t>
      </w:r>
      <w:r w:rsidRPr="00DF77C7" w:rsidR="005A6885">
        <w:t>direction,</w:t>
      </w:r>
      <w:r w:rsidRPr="00DF77C7">
        <w:t xml:space="preserve"> you are indicating that you agree to its contents and that you will work within it</w:t>
      </w:r>
      <w:r w:rsidR="006C2CDE">
        <w:t xml:space="preserve"> and agree with the following statement: </w:t>
      </w:r>
    </w:p>
    <w:p w:rsidRPr="00DF77C7" w:rsidR="00510425" w:rsidP="002A6CB8" w:rsidRDefault="00CA77CF" w14:paraId="3E530E7A" w14:textId="47B317A0">
      <w:pPr>
        <w:pStyle w:val="PGDNormal"/>
      </w:pPr>
      <w:r>
        <w:t>‘</w:t>
      </w:r>
      <w:r w:rsidRPr="00F57606" w:rsidR="006C2CDE">
        <w:t>I confirm that I have read and understood the content of this Patient Group Direction and that I am willing and competent to work to it within my professional code of conduct</w:t>
      </w:r>
      <w:r w:rsidRPr="00DE5424" w:rsidR="006C2CDE">
        <w:t>.</w:t>
      </w:r>
      <w:r>
        <w:t>’</w:t>
      </w:r>
    </w:p>
    <w:p w:rsidRPr="00DF77C7" w:rsidR="00510425" w:rsidP="002A6CB8" w:rsidRDefault="00510425" w14:paraId="135F3504" w14:textId="77777777">
      <w:pPr>
        <w:pStyle w:val="PGDNormal"/>
        <w:rPr>
          <w:rFonts w:cs="Arial"/>
        </w:rPr>
      </w:pPr>
      <w:r w:rsidRPr="00DF77C7">
        <w:rPr>
          <w:rFonts w:cs="Arial"/>
        </w:rPr>
        <w:t>Patient group directions do not remove inherent professional obligations or accountability.</w:t>
      </w:r>
    </w:p>
    <w:p w:rsidR="00510425" w:rsidP="002A6CB8" w:rsidRDefault="00510425" w14:paraId="468193FF" w14:textId="50557E12">
      <w:pPr>
        <w:pStyle w:val="PGDNormal"/>
        <w:rPr>
          <w:rFonts w:cs="Arial"/>
        </w:rPr>
      </w:pPr>
      <w:r w:rsidRPr="00DF77C7">
        <w:rPr>
          <w:rFonts w:cs="Arial"/>
        </w:rPr>
        <w:t xml:space="preserve">It is the responsibility of each professional to </w:t>
      </w:r>
      <w:r w:rsidRPr="00DF77C7" w:rsidR="00825B58">
        <w:rPr>
          <w:rFonts w:cs="Arial"/>
        </w:rPr>
        <w:t>practice</w:t>
      </w:r>
      <w:r w:rsidRPr="00DF77C7">
        <w:rPr>
          <w:rFonts w:cs="Arial"/>
        </w:rPr>
        <w:t xml:space="preserve"> only within the bounds of their own competence and professional code of conduct.</w:t>
      </w:r>
    </w:p>
    <w:p w:rsidRPr="00DF77C7" w:rsidR="00A45A11" w:rsidP="002A6CB8" w:rsidRDefault="00A45A11" w14:paraId="57515B32" w14:textId="11BDB5BB">
      <w:pPr>
        <w:pStyle w:val="PGDNormal"/>
        <w:rPr>
          <w:rFonts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Pr="00DF77C7" w:rsidR="00CA77CF" w:rsidTr="00600F2A" w14:paraId="7F978961" w14:textId="77777777">
        <w:trPr>
          <w:tblHeader/>
        </w:trPr>
        <w:tc>
          <w:tcPr>
            <w:tcW w:w="2122" w:type="dxa"/>
            <w:shd w:val="clear" w:color="auto" w:fill="auto"/>
          </w:tcPr>
          <w:p w:rsidRPr="00DF77C7" w:rsidR="00CA77CF" w:rsidP="00ED232C" w:rsidRDefault="00CA77CF" w14:paraId="1BE651D3" w14:textId="0A987DF7">
            <w:pPr>
              <w:pStyle w:val="TableHeaderRow"/>
            </w:pPr>
            <w:r w:rsidRPr="00DF77C7">
              <w:t>Name</w:t>
            </w:r>
          </w:p>
        </w:tc>
        <w:tc>
          <w:tcPr>
            <w:tcW w:w="2551" w:type="dxa"/>
            <w:shd w:val="clear" w:color="auto" w:fill="auto"/>
          </w:tcPr>
          <w:p w:rsidRPr="00DF77C7" w:rsidR="00CA77CF" w:rsidP="00ED232C" w:rsidRDefault="00CA77CF" w14:paraId="6DDDD4A1" w14:textId="77777777">
            <w:pPr>
              <w:pStyle w:val="TableHeaderRow"/>
            </w:pPr>
            <w:r w:rsidRPr="00DF77C7">
              <w:t>Designation</w:t>
            </w:r>
          </w:p>
        </w:tc>
        <w:tc>
          <w:tcPr>
            <w:tcW w:w="2693" w:type="dxa"/>
            <w:shd w:val="clear" w:color="auto" w:fill="auto"/>
          </w:tcPr>
          <w:p w:rsidRPr="00DF77C7" w:rsidR="00CA77CF" w:rsidP="00ED232C" w:rsidRDefault="00CA77CF" w14:paraId="7233218A" w14:textId="77777777">
            <w:pPr>
              <w:pStyle w:val="TableHeaderRow"/>
            </w:pPr>
            <w:r w:rsidRPr="00DF77C7">
              <w:t>Signature</w:t>
            </w:r>
          </w:p>
        </w:tc>
        <w:tc>
          <w:tcPr>
            <w:tcW w:w="1560" w:type="dxa"/>
            <w:shd w:val="clear" w:color="auto" w:fill="auto"/>
          </w:tcPr>
          <w:p w:rsidRPr="00DF77C7" w:rsidR="00CA77CF" w:rsidP="00ED232C" w:rsidRDefault="00CA77CF" w14:paraId="2E9AB17B" w14:textId="77777777">
            <w:pPr>
              <w:pStyle w:val="TableHeaderRow"/>
            </w:pPr>
            <w:r w:rsidRPr="00DF77C7">
              <w:t>Date</w:t>
            </w:r>
          </w:p>
        </w:tc>
      </w:tr>
      <w:tr w:rsidRPr="00DF77C7" w:rsidR="00CA77CF" w:rsidTr="00600F2A" w14:paraId="61E63983" w14:textId="77777777">
        <w:tc>
          <w:tcPr>
            <w:tcW w:w="2122" w:type="dxa"/>
            <w:shd w:val="clear" w:color="auto" w:fill="auto"/>
          </w:tcPr>
          <w:p w:rsidRPr="00DF77C7" w:rsidR="00CA77CF" w:rsidP="00ED232C" w:rsidRDefault="00CA77CF" w14:paraId="737E5C4D" w14:textId="6548B609">
            <w:pPr>
              <w:pStyle w:val="Tabletext"/>
            </w:pPr>
          </w:p>
          <w:p w:rsidRPr="00DF77C7" w:rsidR="00CA77CF" w:rsidP="00ED232C" w:rsidRDefault="00CA77CF" w14:paraId="51A7DECC" w14:textId="77777777">
            <w:pPr>
              <w:pStyle w:val="Tabletext"/>
            </w:pPr>
          </w:p>
        </w:tc>
        <w:tc>
          <w:tcPr>
            <w:tcW w:w="2551" w:type="dxa"/>
            <w:shd w:val="clear" w:color="auto" w:fill="auto"/>
          </w:tcPr>
          <w:p w:rsidRPr="00DF77C7" w:rsidR="00CA77CF" w:rsidP="00ED232C" w:rsidRDefault="00CA77CF" w14:paraId="301B1672" w14:textId="77777777">
            <w:pPr>
              <w:pStyle w:val="Tabletext"/>
            </w:pPr>
          </w:p>
        </w:tc>
        <w:tc>
          <w:tcPr>
            <w:tcW w:w="2693" w:type="dxa"/>
            <w:shd w:val="clear" w:color="auto" w:fill="auto"/>
          </w:tcPr>
          <w:p w:rsidRPr="00DF77C7" w:rsidR="00CA77CF" w:rsidP="00ED232C" w:rsidRDefault="00CA77CF" w14:paraId="1A38E131" w14:textId="77777777">
            <w:pPr>
              <w:pStyle w:val="Tabletext"/>
            </w:pPr>
          </w:p>
        </w:tc>
        <w:tc>
          <w:tcPr>
            <w:tcW w:w="1560" w:type="dxa"/>
            <w:shd w:val="clear" w:color="auto" w:fill="auto"/>
          </w:tcPr>
          <w:p w:rsidRPr="00DF77C7" w:rsidR="00CA77CF" w:rsidP="00ED232C" w:rsidRDefault="00CA77CF" w14:paraId="1323DD1C" w14:textId="77777777">
            <w:pPr>
              <w:pStyle w:val="Tabletext"/>
            </w:pPr>
          </w:p>
        </w:tc>
      </w:tr>
      <w:tr w:rsidRPr="00DF77C7" w:rsidR="00CA77CF" w:rsidTr="00600F2A" w14:paraId="7C334CD9" w14:textId="77777777">
        <w:tc>
          <w:tcPr>
            <w:tcW w:w="2122" w:type="dxa"/>
            <w:shd w:val="clear" w:color="auto" w:fill="auto"/>
          </w:tcPr>
          <w:p w:rsidRPr="00DF77C7" w:rsidR="00CA77CF" w:rsidP="00ED232C" w:rsidRDefault="00CA77CF" w14:paraId="58393539" w14:textId="30038A4B">
            <w:pPr>
              <w:pStyle w:val="Tabletext"/>
            </w:pPr>
          </w:p>
          <w:p w:rsidRPr="00DF77C7" w:rsidR="00CA77CF" w:rsidP="00ED232C" w:rsidRDefault="00CA77CF" w14:paraId="25BBB55C" w14:textId="77777777">
            <w:pPr>
              <w:pStyle w:val="Tabletext"/>
            </w:pPr>
          </w:p>
        </w:tc>
        <w:tc>
          <w:tcPr>
            <w:tcW w:w="2551" w:type="dxa"/>
            <w:shd w:val="clear" w:color="auto" w:fill="auto"/>
          </w:tcPr>
          <w:p w:rsidRPr="00DF77C7" w:rsidR="00CA77CF" w:rsidP="00ED232C" w:rsidRDefault="00CA77CF" w14:paraId="2D29423F" w14:textId="77777777">
            <w:pPr>
              <w:pStyle w:val="Tabletext"/>
            </w:pPr>
          </w:p>
        </w:tc>
        <w:tc>
          <w:tcPr>
            <w:tcW w:w="2693" w:type="dxa"/>
            <w:shd w:val="clear" w:color="auto" w:fill="auto"/>
          </w:tcPr>
          <w:p w:rsidRPr="00DF77C7" w:rsidR="00CA77CF" w:rsidP="00ED232C" w:rsidRDefault="00CA77CF" w14:paraId="22DF2ABA" w14:textId="77777777">
            <w:pPr>
              <w:pStyle w:val="Tabletext"/>
            </w:pPr>
          </w:p>
        </w:tc>
        <w:tc>
          <w:tcPr>
            <w:tcW w:w="1560" w:type="dxa"/>
            <w:shd w:val="clear" w:color="auto" w:fill="auto"/>
          </w:tcPr>
          <w:p w:rsidRPr="00DF77C7" w:rsidR="00CA77CF" w:rsidP="00ED232C" w:rsidRDefault="00CA77CF" w14:paraId="6676F21E" w14:textId="77777777">
            <w:pPr>
              <w:pStyle w:val="Tabletext"/>
            </w:pPr>
          </w:p>
        </w:tc>
      </w:tr>
      <w:tr w:rsidRPr="00DF77C7" w:rsidR="00CA77CF" w:rsidTr="00600F2A" w14:paraId="0F870408" w14:textId="77777777">
        <w:tc>
          <w:tcPr>
            <w:tcW w:w="2122" w:type="dxa"/>
            <w:shd w:val="clear" w:color="auto" w:fill="auto"/>
          </w:tcPr>
          <w:p w:rsidRPr="00DF77C7" w:rsidR="00CA77CF" w:rsidP="00ED232C" w:rsidRDefault="00CA77CF" w14:paraId="5CE778EF" w14:textId="243043BE">
            <w:pPr>
              <w:pStyle w:val="Tabletext"/>
            </w:pPr>
          </w:p>
          <w:p w:rsidRPr="00DF77C7" w:rsidR="00CA77CF" w:rsidP="00ED232C" w:rsidRDefault="00CA77CF" w14:paraId="3717604C" w14:textId="77777777">
            <w:pPr>
              <w:pStyle w:val="Tabletext"/>
            </w:pPr>
          </w:p>
        </w:tc>
        <w:tc>
          <w:tcPr>
            <w:tcW w:w="2551" w:type="dxa"/>
            <w:shd w:val="clear" w:color="auto" w:fill="auto"/>
          </w:tcPr>
          <w:p w:rsidRPr="00DF77C7" w:rsidR="00CA77CF" w:rsidP="00ED232C" w:rsidRDefault="00CA77CF" w14:paraId="16D62252" w14:textId="77777777">
            <w:pPr>
              <w:pStyle w:val="Tabletext"/>
            </w:pPr>
          </w:p>
        </w:tc>
        <w:tc>
          <w:tcPr>
            <w:tcW w:w="2693" w:type="dxa"/>
            <w:shd w:val="clear" w:color="auto" w:fill="auto"/>
          </w:tcPr>
          <w:p w:rsidRPr="00DF77C7" w:rsidR="00CA77CF" w:rsidP="00ED232C" w:rsidRDefault="00CA77CF" w14:paraId="2FEF6E0B" w14:textId="77777777">
            <w:pPr>
              <w:pStyle w:val="Tabletext"/>
            </w:pPr>
          </w:p>
        </w:tc>
        <w:tc>
          <w:tcPr>
            <w:tcW w:w="1560" w:type="dxa"/>
            <w:shd w:val="clear" w:color="auto" w:fill="auto"/>
          </w:tcPr>
          <w:p w:rsidRPr="00DF77C7" w:rsidR="00CA77CF" w:rsidP="00ED232C" w:rsidRDefault="00CA77CF" w14:paraId="0F5D7610" w14:textId="77777777">
            <w:pPr>
              <w:pStyle w:val="Tabletext"/>
            </w:pPr>
          </w:p>
        </w:tc>
      </w:tr>
      <w:tr w:rsidRPr="00DF77C7" w:rsidR="00CA77CF" w:rsidTr="00600F2A" w14:paraId="0626E8BC" w14:textId="77777777">
        <w:tc>
          <w:tcPr>
            <w:tcW w:w="2122" w:type="dxa"/>
            <w:shd w:val="clear" w:color="auto" w:fill="auto"/>
          </w:tcPr>
          <w:p w:rsidRPr="00DF77C7" w:rsidR="00CA77CF" w:rsidP="00ED232C" w:rsidRDefault="00CA77CF" w14:paraId="49B24D92" w14:textId="7A115BB2">
            <w:pPr>
              <w:pStyle w:val="Tabletext"/>
            </w:pPr>
          </w:p>
          <w:p w:rsidRPr="00DF77C7" w:rsidR="00CA77CF" w:rsidP="00ED232C" w:rsidRDefault="00CA77CF" w14:paraId="5856A963" w14:textId="77777777">
            <w:pPr>
              <w:pStyle w:val="Tabletext"/>
            </w:pPr>
          </w:p>
        </w:tc>
        <w:tc>
          <w:tcPr>
            <w:tcW w:w="2551" w:type="dxa"/>
            <w:shd w:val="clear" w:color="auto" w:fill="auto"/>
          </w:tcPr>
          <w:p w:rsidRPr="00DF77C7" w:rsidR="00CA77CF" w:rsidP="00ED232C" w:rsidRDefault="00CA77CF" w14:paraId="0FAD2285" w14:textId="77777777">
            <w:pPr>
              <w:pStyle w:val="Tabletext"/>
            </w:pPr>
          </w:p>
        </w:tc>
        <w:tc>
          <w:tcPr>
            <w:tcW w:w="2693" w:type="dxa"/>
            <w:shd w:val="clear" w:color="auto" w:fill="auto"/>
          </w:tcPr>
          <w:p w:rsidRPr="00DF77C7" w:rsidR="00CA77CF" w:rsidP="00ED232C" w:rsidRDefault="00CA77CF" w14:paraId="0011FCD8" w14:textId="77777777">
            <w:pPr>
              <w:pStyle w:val="Tabletext"/>
            </w:pPr>
          </w:p>
        </w:tc>
        <w:tc>
          <w:tcPr>
            <w:tcW w:w="1560" w:type="dxa"/>
            <w:shd w:val="clear" w:color="auto" w:fill="auto"/>
          </w:tcPr>
          <w:p w:rsidRPr="00DF77C7" w:rsidR="00CA77CF" w:rsidP="00ED232C" w:rsidRDefault="00CA77CF" w14:paraId="4D1DAA9B" w14:textId="77777777">
            <w:pPr>
              <w:pStyle w:val="Tabletext"/>
            </w:pPr>
          </w:p>
        </w:tc>
      </w:tr>
    </w:tbl>
    <w:p w:rsidR="0056237E" w:rsidP="00AA5A30" w:rsidRDefault="0056237E" w14:paraId="10D15192" w14:textId="77777777">
      <w:pPr>
        <w:pStyle w:val="Heading3"/>
      </w:pPr>
    </w:p>
    <w:p w:rsidR="00510425" w:rsidP="00AA5A30" w:rsidRDefault="00510425" w14:paraId="451FFDD5" w14:textId="4C1D0839">
      <w:pPr>
        <w:pStyle w:val="Heading3"/>
      </w:pPr>
      <w:r w:rsidRPr="00DF77C7">
        <w:t xml:space="preserve">Authorising manager </w:t>
      </w:r>
    </w:p>
    <w:p w:rsidRPr="00825B58" w:rsidR="00825B58" w:rsidP="00825B58" w:rsidRDefault="00825B58" w14:paraId="46C3F1FD" w14:textId="48427119">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Pr="004E03A1" w:rsid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Pr="00DF77C7" w:rsidR="00825B58" w:rsidTr="00825B58" w14:paraId="08312120" w14:textId="77777777">
        <w:tc>
          <w:tcPr>
            <w:tcW w:w="2122" w:type="dxa"/>
            <w:shd w:val="clear" w:color="auto" w:fill="auto"/>
          </w:tcPr>
          <w:p w:rsidRPr="00DF77C7" w:rsidR="00825B58" w:rsidP="00ED232C" w:rsidRDefault="00825B58" w14:paraId="2F89D8ED" w14:textId="6261413C">
            <w:pPr>
              <w:pStyle w:val="TableHeaderRow"/>
            </w:pPr>
            <w:r w:rsidRPr="00DF77C7">
              <w:t>Name</w:t>
            </w:r>
          </w:p>
        </w:tc>
        <w:tc>
          <w:tcPr>
            <w:tcW w:w="2551" w:type="dxa"/>
            <w:shd w:val="clear" w:color="auto" w:fill="auto"/>
          </w:tcPr>
          <w:p w:rsidRPr="00DF77C7" w:rsidR="00825B58" w:rsidP="00ED232C" w:rsidRDefault="00825B58" w14:paraId="5653C12E" w14:textId="77777777">
            <w:pPr>
              <w:pStyle w:val="TableHeaderRow"/>
            </w:pPr>
            <w:r w:rsidRPr="00DF77C7">
              <w:t>Designation</w:t>
            </w:r>
          </w:p>
        </w:tc>
        <w:tc>
          <w:tcPr>
            <w:tcW w:w="2693" w:type="dxa"/>
            <w:shd w:val="clear" w:color="auto" w:fill="auto"/>
          </w:tcPr>
          <w:p w:rsidRPr="00DF77C7" w:rsidR="00825B58" w:rsidP="00ED232C" w:rsidRDefault="00825B58" w14:paraId="6626EDAE" w14:textId="77777777">
            <w:pPr>
              <w:pStyle w:val="TableHeaderRow"/>
            </w:pPr>
            <w:r w:rsidRPr="00DF77C7">
              <w:t>Signature</w:t>
            </w:r>
          </w:p>
        </w:tc>
        <w:tc>
          <w:tcPr>
            <w:tcW w:w="1560" w:type="dxa"/>
            <w:shd w:val="clear" w:color="auto" w:fill="auto"/>
          </w:tcPr>
          <w:p w:rsidRPr="00DF77C7" w:rsidR="00825B58" w:rsidP="00ED232C" w:rsidRDefault="00825B58" w14:paraId="7E792298" w14:textId="77777777">
            <w:pPr>
              <w:pStyle w:val="TableHeaderRow"/>
            </w:pPr>
            <w:r w:rsidRPr="00DF77C7">
              <w:t>Date</w:t>
            </w:r>
          </w:p>
        </w:tc>
      </w:tr>
      <w:tr w:rsidRPr="00DF77C7" w:rsidR="00825B58" w:rsidTr="00825B58" w14:paraId="0EBDF887" w14:textId="77777777">
        <w:tc>
          <w:tcPr>
            <w:tcW w:w="2122" w:type="dxa"/>
            <w:shd w:val="clear" w:color="auto" w:fill="auto"/>
          </w:tcPr>
          <w:p w:rsidRPr="00DF77C7" w:rsidR="00825B58" w:rsidP="00ED232C" w:rsidRDefault="00825B58" w14:paraId="5FD07E7F" w14:textId="1DD65E11">
            <w:pPr>
              <w:pStyle w:val="Tabletext"/>
            </w:pPr>
          </w:p>
          <w:p w:rsidRPr="00DF77C7" w:rsidR="00825B58" w:rsidP="00ED232C" w:rsidRDefault="00825B58" w14:paraId="5C91BEFA" w14:textId="77777777">
            <w:pPr>
              <w:pStyle w:val="Tabletext"/>
            </w:pPr>
          </w:p>
        </w:tc>
        <w:tc>
          <w:tcPr>
            <w:tcW w:w="2551" w:type="dxa"/>
            <w:shd w:val="clear" w:color="auto" w:fill="auto"/>
          </w:tcPr>
          <w:p w:rsidRPr="00DF77C7" w:rsidR="00825B58" w:rsidP="00ED232C" w:rsidRDefault="00825B58" w14:paraId="5E586BCA" w14:textId="77777777">
            <w:pPr>
              <w:pStyle w:val="Tabletext"/>
            </w:pPr>
          </w:p>
          <w:p w:rsidRPr="00DF77C7" w:rsidR="00825B58" w:rsidP="00ED232C" w:rsidRDefault="00825B58" w14:paraId="012BFE9A" w14:textId="77777777">
            <w:pPr>
              <w:pStyle w:val="Tabletext"/>
            </w:pPr>
          </w:p>
        </w:tc>
        <w:tc>
          <w:tcPr>
            <w:tcW w:w="2693" w:type="dxa"/>
            <w:shd w:val="clear" w:color="auto" w:fill="auto"/>
          </w:tcPr>
          <w:p w:rsidRPr="00DF77C7" w:rsidR="00825B58" w:rsidP="00ED232C" w:rsidRDefault="00825B58" w14:paraId="0FD301BC" w14:textId="77777777">
            <w:pPr>
              <w:pStyle w:val="Tabletext"/>
            </w:pPr>
          </w:p>
          <w:p w:rsidRPr="00DF77C7" w:rsidR="00825B58" w:rsidP="00ED232C" w:rsidRDefault="00825B58" w14:paraId="2CF64E15" w14:textId="77777777">
            <w:pPr>
              <w:pStyle w:val="Tabletext"/>
            </w:pPr>
          </w:p>
        </w:tc>
        <w:tc>
          <w:tcPr>
            <w:tcW w:w="1560" w:type="dxa"/>
            <w:shd w:val="clear" w:color="auto" w:fill="auto"/>
          </w:tcPr>
          <w:p w:rsidRPr="00DF77C7" w:rsidR="00825B58" w:rsidP="00ED232C" w:rsidRDefault="00825B58" w14:paraId="001E573C" w14:textId="77777777">
            <w:pPr>
              <w:pStyle w:val="Tabletext"/>
            </w:pPr>
          </w:p>
          <w:p w:rsidRPr="00DF77C7" w:rsidR="00825B58" w:rsidP="00ED232C" w:rsidRDefault="00825B58" w14:paraId="27053B3A" w14:textId="77777777">
            <w:pPr>
              <w:pStyle w:val="Tabletext"/>
            </w:pPr>
          </w:p>
        </w:tc>
      </w:tr>
    </w:tbl>
    <w:p w:rsidR="00600F2A" w:rsidP="00293756" w:rsidRDefault="00600F2A" w14:paraId="7044DAD3" w14:textId="77777777">
      <w:pPr>
        <w:rPr>
          <w:rStyle w:val="PGDNormalBold"/>
        </w:rPr>
      </w:pPr>
    </w:p>
    <w:p w:rsidR="00600F2A" w:rsidP="00293756" w:rsidRDefault="00600F2A" w14:paraId="364647DE" w14:textId="77777777">
      <w:pPr>
        <w:rPr>
          <w:rStyle w:val="PGDNormalBold"/>
        </w:rPr>
      </w:pPr>
    </w:p>
    <w:p w:rsidR="00600F2A" w:rsidP="00293756" w:rsidRDefault="00600F2A" w14:paraId="4A40E55A" w14:textId="0E2A9252">
      <w:pPr>
        <w:rPr>
          <w:rStyle w:val="PGDNormalBold"/>
        </w:rPr>
      </w:pPr>
    </w:p>
    <w:p w:rsidR="00600F2A" w:rsidP="00293756" w:rsidRDefault="00600F2A" w14:paraId="6D72C4D4" w14:textId="77777777">
      <w:pPr>
        <w:rPr>
          <w:rStyle w:val="PGDNormalBold"/>
        </w:rPr>
      </w:pPr>
    </w:p>
    <w:p w:rsidR="00600F2A" w:rsidP="00293756" w:rsidRDefault="00600F2A" w14:paraId="016FF8D2" w14:textId="77777777">
      <w:pPr>
        <w:rPr>
          <w:rStyle w:val="PGDNormalBold"/>
        </w:rPr>
      </w:pPr>
    </w:p>
    <w:p w:rsidRPr="00293756" w:rsidR="00510425" w:rsidP="00293756" w:rsidRDefault="00510425" w14:paraId="28F41219" w14:textId="66F5DEC4">
      <w:pPr>
        <w:rPr>
          <w:rStyle w:val="PGDNormalBold"/>
        </w:rPr>
      </w:pPr>
      <w:r w:rsidRPr="00293756">
        <w:rPr>
          <w:rStyle w:val="PGDNormalBold"/>
        </w:rPr>
        <w:t>Note to authorising manager</w:t>
      </w:r>
    </w:p>
    <w:p w:rsidRPr="00DF77C7" w:rsidR="00510425" w:rsidP="0077187C" w:rsidRDefault="00510425" w14:paraId="36670A02" w14:textId="77777777">
      <w:pPr>
        <w:pStyle w:val="PGDNormal"/>
      </w:pPr>
      <w:r w:rsidRPr="00DF77C7">
        <w:t>Score through unused rows in the list of registered health professionals to prevent additions post managerial authorisation.</w:t>
      </w:r>
    </w:p>
    <w:p w:rsidRPr="00DF77C7" w:rsidR="00510425" w:rsidP="0077187C" w:rsidRDefault="00510425" w14:paraId="29F7C469" w14:textId="77777777">
      <w:pPr>
        <w:pStyle w:val="PGDNormal"/>
      </w:pPr>
      <w:r w:rsidRPr="00DF77C7">
        <w:t>This authorisation sheet should be retained to serve as a record of those registered health professionals authorised to work under this PGD.</w:t>
      </w:r>
    </w:p>
    <w:p w:rsidRPr="00DF77C7" w:rsidR="00510425" w:rsidP="0077187C" w:rsidRDefault="00AC0BE9" w14:paraId="2136AB7D" w14:textId="7514879E">
      <w:pPr>
        <w:pStyle w:val="PGDNormal"/>
      </w:pPr>
      <w:r w:rsidRPr="00AC0BE9">
        <w:t>[</w:t>
      </w:r>
      <w:r w:rsidRPr="00DF77C7" w:rsidR="00510425">
        <w:rPr>
          <w:highlight w:val="cyan"/>
        </w:rPr>
        <w:t>Add details on how this information is to be retained according to organisation PGD policy.</w:t>
      </w:r>
      <w:r>
        <w:t>]</w:t>
      </w:r>
    </w:p>
    <w:p w:rsidR="00E11FE0" w:rsidP="00ED232C" w:rsidRDefault="00E11FE0" w14:paraId="495DAEDB" w14:textId="77777777">
      <w:pPr>
        <w:pStyle w:val="PGDNormal"/>
      </w:pPr>
    </w:p>
    <w:sectPr w:rsidR="00E11FE0" w:rsidSect="00537E57">
      <w:headerReference w:type="even" r:id="rId35"/>
      <w:headerReference w:type="default" r:id="rId36"/>
      <w:footerReference w:type="default" r:id="rId37"/>
      <w:headerReference w:type="first" r:id="rId38"/>
      <w:pgSz w:w="11907" w:h="16840" w:orient="portrait"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7C7" w:rsidR="004075B1" w:rsidRDefault="004075B1" w14:paraId="0AD3C110" w14:textId="77777777">
      <w:r w:rsidRPr="00DF77C7">
        <w:separator/>
      </w:r>
    </w:p>
  </w:endnote>
  <w:endnote w:type="continuationSeparator" w:id="0">
    <w:p w:rsidRPr="00DF77C7" w:rsidR="004075B1" w:rsidRDefault="004075B1" w14:paraId="003ABB61" w14:textId="77777777">
      <w:r w:rsidRPr="00DF77C7">
        <w:continuationSeparator/>
      </w:r>
    </w:p>
  </w:endnote>
  <w:endnote w:type="continuationNotice" w:id="1">
    <w:p w:rsidR="004075B1" w:rsidRDefault="004075B1" w14:paraId="0FC48A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2136" w:rsidR="007F0048" w:rsidP="00762BFE" w:rsidRDefault="005E6491" w14:paraId="7A15F6D6" w14:textId="0875A07F">
    <w:pPr>
      <w:pStyle w:val="Footer"/>
      <w:rPr>
        <w:highlight w:val="cyan"/>
      </w:rPr>
    </w:pPr>
    <w:r>
      <w:rPr>
        <w:highlight w:val="cyan"/>
      </w:rPr>
      <w:t>[</w:t>
    </w:r>
    <w:r w:rsidRPr="00272136" w:rsidR="007F0048">
      <w:rPr>
        <w:highlight w:val="cyan"/>
      </w:rPr>
      <w:t>Reference Number:</w:t>
    </w:r>
  </w:p>
  <w:p w:rsidRPr="00272136" w:rsidR="007F0048" w:rsidP="00762BFE" w:rsidRDefault="007F0048" w14:paraId="37AB56FF" w14:textId="77777777">
    <w:pPr>
      <w:pStyle w:val="PGDNormal"/>
      <w:spacing w:after="0"/>
      <w:rPr>
        <w:szCs w:val="22"/>
        <w:highlight w:val="cyan"/>
      </w:rPr>
    </w:pPr>
    <w:r w:rsidRPr="00272136">
      <w:rPr>
        <w:szCs w:val="22"/>
        <w:highlight w:val="cyan"/>
      </w:rPr>
      <w:t>Valid from:</w:t>
    </w:r>
  </w:p>
  <w:p w:rsidRPr="00272136" w:rsidR="007F0048" w:rsidP="00762BFE" w:rsidRDefault="007F0048" w14:paraId="433533CD" w14:textId="77777777">
    <w:pPr>
      <w:pStyle w:val="Footer"/>
      <w:rPr>
        <w:highlight w:val="cyan"/>
      </w:rPr>
    </w:pPr>
    <w:r w:rsidRPr="00272136">
      <w:rPr>
        <w:highlight w:val="cyan"/>
      </w:rPr>
      <w:t>Review date:</w:t>
    </w:r>
  </w:p>
  <w:p w:rsidRPr="00DF77C7" w:rsidR="007F0048" w:rsidP="00762BFE" w:rsidRDefault="007F0048" w14:paraId="6B111E08" w14:textId="239AE8CD">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Pr="00DF77C7" w:rsidR="00B348EF">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7C7" w:rsidR="004075B1" w:rsidRDefault="004075B1" w14:paraId="565D2EE9" w14:textId="77777777">
      <w:r w:rsidRPr="00DF77C7">
        <w:separator/>
      </w:r>
    </w:p>
  </w:footnote>
  <w:footnote w:type="continuationSeparator" w:id="0">
    <w:p w:rsidRPr="00DF77C7" w:rsidR="004075B1" w:rsidRDefault="004075B1" w14:paraId="01349BC1" w14:textId="77777777">
      <w:r w:rsidRPr="00DF77C7">
        <w:continuationSeparator/>
      </w:r>
    </w:p>
  </w:footnote>
  <w:footnote w:type="continuationNotice" w:id="1">
    <w:p w:rsidR="004075B1" w:rsidRDefault="004075B1" w14:paraId="142BAD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3B7DE2" w14:paraId="5A895BA6" w14:textId="56F3EB4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style="position:absolute;margin-left:0;margin-top:0;width:490.5pt;height:109pt;rotation:315;z-index:-251655168;mso-position-horizontal:center;mso-position-horizontal-relative:margin;mso-position-vertical:center;mso-position-vertical-relative:margin" o:spid="_x0000_s1032" o:allowincell="f" fillcolor="silver" stroked="f" type="#_x0000_t136">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1B08" w:rsidR="00E60C36" w:rsidP="00E27D26" w:rsidRDefault="003B7DE2" w14:paraId="79248BAA" w14:textId="187A1A8E">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style="position:absolute;margin-left:0;margin-top:0;width:490.5pt;height:109pt;rotation:315;z-index:-251653120;mso-position-horizontal:center;mso-position-horizontal-relative:margin;mso-position-vertical:center;mso-position-vertical-relative:margin" o:spid="_x0000_s1033" o:allowincell="f" fillcolor="silver" stroked="f" type="#_x0000_t136">
          <v:fill opacity=".5"/>
          <v:textpath style="font-family:&quot;Arial&quot;;font-size:1pt" string="TEMPLATE"/>
          <w10:wrap anchorx="margin" anchory="margin"/>
        </v:shape>
      </w:pict>
    </w:r>
    <w:r w:rsidRPr="00B11B08" w:rsidR="00B11B08">
      <w:rPr>
        <w:sz w:val="16"/>
        <w:szCs w:val="16"/>
      </w:rPr>
      <w:t xml:space="preserve">Text </w:t>
    </w:r>
    <w:r w:rsidR="009C2AEE">
      <w:rPr>
        <w:sz w:val="16"/>
        <w:szCs w:val="16"/>
      </w:rPr>
      <w:t>[</w:t>
    </w:r>
    <w:r w:rsidRPr="00BA6AF1" w:rsidR="00B11B08">
      <w:rPr>
        <w:sz w:val="16"/>
        <w:szCs w:val="16"/>
        <w:highlight w:val="cyan"/>
      </w:rPr>
      <w:t xml:space="preserve">highlighted in </w:t>
    </w:r>
    <w:r w:rsidRPr="009C2AEE" w:rsidR="00B11B08">
      <w:rPr>
        <w:sz w:val="16"/>
        <w:szCs w:val="16"/>
        <w:highlight w:val="cyan"/>
      </w:rPr>
      <w:t>blue</w:t>
    </w:r>
    <w:r w:rsidRPr="009C2AEE" w:rsidR="009C2AEE">
      <w:rPr>
        <w:sz w:val="16"/>
        <w:szCs w:val="16"/>
        <w:highlight w:val="cyan"/>
      </w:rPr>
      <w:t xml:space="preserve"> and in </w:t>
    </w:r>
    <w:r w:rsidR="005E6491">
      <w:rPr>
        <w:sz w:val="16"/>
        <w:szCs w:val="16"/>
        <w:highlight w:val="cyan"/>
      </w:rPr>
      <w:t xml:space="preserve">single </w:t>
    </w:r>
    <w:r w:rsidRPr="009C2AEE" w:rsidR="009C2AEE">
      <w:rPr>
        <w:sz w:val="16"/>
        <w:szCs w:val="16"/>
        <w:highlight w:val="cyan"/>
      </w:rPr>
      <w:t>square brackets</w:t>
    </w:r>
    <w:r w:rsidR="009C2AEE">
      <w:rPr>
        <w:sz w:val="16"/>
        <w:szCs w:val="16"/>
      </w:rPr>
      <w:t>]</w:t>
    </w:r>
    <w:r w:rsidRPr="00B11B08" w:rsidR="00B11B08">
      <w:rPr>
        <w:sz w:val="16"/>
        <w:szCs w:val="16"/>
      </w:rPr>
      <w:t xml:space="preserve"> should be replaced with the user organisation’s own text. Text </w:t>
    </w:r>
    <w:r w:rsidR="005E6491">
      <w:rPr>
        <w:sz w:val="16"/>
        <w:szCs w:val="16"/>
      </w:rPr>
      <w:t>[[</w:t>
    </w:r>
    <w:r w:rsidRPr="005E6491" w:rsidR="00B11B08">
      <w:rPr>
        <w:sz w:val="16"/>
        <w:szCs w:val="16"/>
        <w:highlight w:val="yellow"/>
      </w:rPr>
      <w:t xml:space="preserve">highlighted in yellow </w:t>
    </w:r>
    <w:r w:rsidRPr="005E6491" w:rsidR="005E6491">
      <w:rPr>
        <w:sz w:val="16"/>
        <w:szCs w:val="16"/>
        <w:highlight w:val="yellow"/>
      </w:rPr>
      <w:t>and in double square brackets</w:t>
    </w:r>
    <w:r w:rsidR="005E6491">
      <w:rPr>
        <w:sz w:val="16"/>
        <w:szCs w:val="16"/>
      </w:rPr>
      <w:t xml:space="preserve">]] </w:t>
    </w:r>
    <w:r w:rsidRPr="00B11B08" w:rsid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77C7" w:rsidR="0017669F" w:rsidRDefault="003B7DE2" w14:paraId="1BF58BE0" w14:textId="3CDA4B8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style="position:absolute;margin-left:0;margin-top:0;width:490.5pt;height:109pt;rotation:315;z-index:-251657216;mso-position-horizontal:center;mso-position-horizontal-relative:margin;mso-position-vertical:center;mso-position-vertical-relative:margin" o:spid="_x0000_s1031" o:allowincell="f" fillcolor="silver" stroked="f" type="#_x0000_t136">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hint="default" w:ascii="Wingdings" w:hAnsi="Wingdings"/>
        <w:color w:val="auto"/>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91E1031"/>
    <w:multiLevelType w:val="hybridMultilevel"/>
    <w:tmpl w:val="CE005E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hint="default" w:ascii="Symbol" w:hAnsi="Symbol"/>
        <w:sz w:val="22"/>
      </w:rPr>
    </w:lvl>
    <w:lvl w:ilvl="1">
      <w:start w:val="1"/>
      <w:numFmt w:val="bullet"/>
      <w:lvlText w:val=""/>
      <w:lvlJc w:val="left"/>
      <w:pPr>
        <w:tabs>
          <w:tab w:val="num" w:pos="1418"/>
        </w:tabs>
        <w:ind w:left="1418" w:hanging="284"/>
      </w:pPr>
      <w:rPr>
        <w:rFonts w:hint="default" w:ascii="Wingdings" w:hAnsi="Wingdings"/>
        <w:sz w:val="22"/>
      </w:rPr>
    </w:lvl>
    <w:lvl w:ilvl="2">
      <w:start w:val="1"/>
      <w:numFmt w:val="bullet"/>
      <w:lvlText w:val=""/>
      <w:lvlJc w:val="left"/>
      <w:pPr>
        <w:tabs>
          <w:tab w:val="num" w:pos="2214"/>
        </w:tabs>
        <w:ind w:left="2214" w:hanging="360"/>
      </w:pPr>
      <w:rPr>
        <w:rFonts w:hint="default" w:ascii="Wingdings" w:hAnsi="Wingdings"/>
      </w:rPr>
    </w:lvl>
    <w:lvl w:ilvl="3">
      <w:start w:val="1"/>
      <w:numFmt w:val="bullet"/>
      <w:lvlText w:val=""/>
      <w:lvlJc w:val="left"/>
      <w:pPr>
        <w:tabs>
          <w:tab w:val="num" w:pos="2934"/>
        </w:tabs>
        <w:ind w:left="2934" w:hanging="360"/>
      </w:pPr>
      <w:rPr>
        <w:rFonts w:hint="default" w:ascii="Symbol" w:hAnsi="Symbol"/>
      </w:rPr>
    </w:lvl>
    <w:lvl w:ilvl="4">
      <w:start w:val="1"/>
      <w:numFmt w:val="bullet"/>
      <w:lvlText w:val="o"/>
      <w:lvlJc w:val="left"/>
      <w:pPr>
        <w:tabs>
          <w:tab w:val="num" w:pos="3654"/>
        </w:tabs>
        <w:ind w:left="3654" w:hanging="360"/>
      </w:pPr>
      <w:rPr>
        <w:rFonts w:hint="default" w:ascii="Courier New" w:hAnsi="Courier New" w:cs="Courier New"/>
      </w:rPr>
    </w:lvl>
    <w:lvl w:ilvl="5">
      <w:start w:val="1"/>
      <w:numFmt w:val="bullet"/>
      <w:lvlText w:val=""/>
      <w:lvlJc w:val="left"/>
      <w:pPr>
        <w:tabs>
          <w:tab w:val="num" w:pos="4374"/>
        </w:tabs>
        <w:ind w:left="4374" w:hanging="360"/>
      </w:pPr>
      <w:rPr>
        <w:rFonts w:hint="default" w:ascii="Wingdings" w:hAnsi="Wingdings"/>
      </w:rPr>
    </w:lvl>
    <w:lvl w:ilvl="6">
      <w:start w:val="1"/>
      <w:numFmt w:val="bullet"/>
      <w:lvlText w:val=""/>
      <w:lvlJc w:val="left"/>
      <w:pPr>
        <w:tabs>
          <w:tab w:val="num" w:pos="5094"/>
        </w:tabs>
        <w:ind w:left="5094" w:hanging="360"/>
      </w:pPr>
      <w:rPr>
        <w:rFonts w:hint="default" w:ascii="Symbol" w:hAnsi="Symbol"/>
      </w:rPr>
    </w:lvl>
    <w:lvl w:ilvl="7">
      <w:start w:val="1"/>
      <w:numFmt w:val="bullet"/>
      <w:lvlText w:val="o"/>
      <w:lvlJc w:val="left"/>
      <w:pPr>
        <w:tabs>
          <w:tab w:val="num" w:pos="5814"/>
        </w:tabs>
        <w:ind w:left="5814" w:hanging="360"/>
      </w:pPr>
      <w:rPr>
        <w:rFonts w:hint="default" w:ascii="Courier New" w:hAnsi="Courier New" w:cs="Courier New"/>
      </w:rPr>
    </w:lvl>
    <w:lvl w:ilvl="8">
      <w:start w:val="1"/>
      <w:numFmt w:val="bullet"/>
      <w:lvlText w:val=""/>
      <w:lvlJc w:val="left"/>
      <w:pPr>
        <w:tabs>
          <w:tab w:val="num" w:pos="6534"/>
        </w:tabs>
        <w:ind w:left="6534" w:hanging="360"/>
      </w:pPr>
      <w:rPr>
        <w:rFonts w:hint="default" w:ascii="Wingdings" w:hAnsi="Wingdings"/>
      </w:rPr>
    </w:lvl>
  </w:abstractNum>
  <w:abstractNum w:abstractNumId="15" w15:restartNumberingAfterBreak="0">
    <w:nsid w:val="51E872D0"/>
    <w:multiLevelType w:val="hybridMultilevel"/>
    <w:tmpl w:val="D9784A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954009"/>
    <w:multiLevelType w:val="multilevel"/>
    <w:tmpl w:val="6C8A4D2A"/>
    <w:numStyleLink w:val="PGDbullet2"/>
  </w:abstractNum>
  <w:abstractNum w:abstractNumId="18"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026D3F"/>
    <w:multiLevelType w:val="hybridMultilevel"/>
    <w:tmpl w:val="B4304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6F0957"/>
    <w:multiLevelType w:val="hybridMultilevel"/>
    <w:tmpl w:val="0F68752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hint="default" w:ascii="Symbol" w:hAnsi="Symbol"/>
        <w:sz w:val="22"/>
        <w:szCs w:val="22"/>
      </w:rPr>
    </w:lvl>
    <w:lvl w:ilvl="1">
      <w:start w:val="1"/>
      <w:numFmt w:val="bullet"/>
      <w:lvlText w:val="o"/>
      <w:lvlJc w:val="left"/>
      <w:pPr>
        <w:tabs>
          <w:tab w:val="num" w:pos="-713"/>
        </w:tabs>
        <w:ind w:left="-713" w:hanging="360"/>
      </w:pPr>
      <w:rPr>
        <w:rFonts w:hint="default" w:ascii="Courier New" w:hAnsi="Courier New" w:cs="Courier New"/>
        <w:sz w:val="22"/>
        <w:szCs w:val="22"/>
      </w:rPr>
    </w:lvl>
    <w:lvl w:ilvl="2">
      <w:start w:val="1"/>
      <w:numFmt w:val="bullet"/>
      <w:lvlText w:val=""/>
      <w:lvlJc w:val="left"/>
      <w:pPr>
        <w:tabs>
          <w:tab w:val="num" w:pos="7"/>
        </w:tabs>
        <w:ind w:left="7" w:hanging="360"/>
      </w:pPr>
      <w:rPr>
        <w:rFonts w:hint="default" w:ascii="Wingdings" w:hAnsi="Wingdings"/>
      </w:rPr>
    </w:lvl>
    <w:lvl w:ilvl="3">
      <w:start w:val="1"/>
      <w:numFmt w:val="bullet"/>
      <w:lvlText w:val=""/>
      <w:lvlJc w:val="left"/>
      <w:pPr>
        <w:tabs>
          <w:tab w:val="num" w:pos="727"/>
        </w:tabs>
        <w:ind w:left="727" w:hanging="360"/>
      </w:pPr>
      <w:rPr>
        <w:rFonts w:hint="default" w:ascii="Symbol" w:hAnsi="Symbol"/>
      </w:rPr>
    </w:lvl>
    <w:lvl w:ilvl="4">
      <w:start w:val="1"/>
      <w:numFmt w:val="bullet"/>
      <w:lvlText w:val="o"/>
      <w:lvlJc w:val="left"/>
      <w:pPr>
        <w:tabs>
          <w:tab w:val="num" w:pos="1447"/>
        </w:tabs>
        <w:ind w:left="1447" w:hanging="360"/>
      </w:pPr>
      <w:rPr>
        <w:rFonts w:hint="default" w:ascii="Courier New" w:hAnsi="Courier New" w:cs="Courier New"/>
      </w:rPr>
    </w:lvl>
    <w:lvl w:ilvl="5">
      <w:start w:val="1"/>
      <w:numFmt w:val="bullet"/>
      <w:lvlText w:val=""/>
      <w:lvlJc w:val="left"/>
      <w:pPr>
        <w:tabs>
          <w:tab w:val="num" w:pos="2167"/>
        </w:tabs>
        <w:ind w:left="2167" w:hanging="360"/>
      </w:pPr>
      <w:rPr>
        <w:rFonts w:hint="default" w:ascii="Wingdings" w:hAnsi="Wingdings"/>
      </w:rPr>
    </w:lvl>
    <w:lvl w:ilvl="6">
      <w:start w:val="1"/>
      <w:numFmt w:val="bullet"/>
      <w:lvlText w:val=""/>
      <w:lvlJc w:val="left"/>
      <w:pPr>
        <w:tabs>
          <w:tab w:val="num" w:pos="2887"/>
        </w:tabs>
        <w:ind w:left="2887" w:hanging="360"/>
      </w:pPr>
      <w:rPr>
        <w:rFonts w:hint="default" w:ascii="Symbol" w:hAnsi="Symbol"/>
      </w:rPr>
    </w:lvl>
    <w:lvl w:ilvl="7">
      <w:start w:val="1"/>
      <w:numFmt w:val="bullet"/>
      <w:lvlText w:val="o"/>
      <w:lvlJc w:val="left"/>
      <w:pPr>
        <w:tabs>
          <w:tab w:val="num" w:pos="3607"/>
        </w:tabs>
        <w:ind w:left="3607" w:hanging="360"/>
      </w:pPr>
      <w:rPr>
        <w:rFonts w:hint="default" w:ascii="Courier New" w:hAnsi="Courier New" w:cs="Courier New"/>
      </w:rPr>
    </w:lvl>
    <w:lvl w:ilvl="8">
      <w:start w:val="1"/>
      <w:numFmt w:val="bullet"/>
      <w:lvlText w:val=""/>
      <w:lvlJc w:val="left"/>
      <w:pPr>
        <w:tabs>
          <w:tab w:val="num" w:pos="4327"/>
        </w:tabs>
        <w:ind w:left="4327" w:hanging="360"/>
      </w:pPr>
      <w:rPr>
        <w:rFonts w:hint="default" w:ascii="Wingdings" w:hAnsi="Wingdings"/>
      </w:rPr>
    </w:lvl>
  </w:abstractNum>
  <w:abstractNum w:abstractNumId="24" w15:restartNumberingAfterBreak="0">
    <w:nsid w:val="730721DF"/>
    <w:multiLevelType w:val="hybridMultilevel"/>
    <w:tmpl w:val="36C806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hint="default" w:ascii="Century Gothic" w:hAnsi="Century Gothic"/>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hint="default" w:ascii="Courier New" w:hAnsi="Courier New"/>
        <w:sz w:val="22"/>
      </w:rPr>
    </w:lvl>
    <w:lvl w:ilvl="1">
      <w:start w:val="1"/>
      <w:numFmt w:val="bullet"/>
      <w:lvlText w:val="o"/>
      <w:lvlJc w:val="left"/>
      <w:pPr>
        <w:tabs>
          <w:tab w:val="num" w:pos="-2812"/>
        </w:tabs>
        <w:ind w:left="-2812" w:hanging="360"/>
      </w:pPr>
      <w:rPr>
        <w:rFonts w:hint="default" w:ascii="Courier New" w:hAnsi="Courier New" w:cs="Courier New"/>
        <w:sz w:val="22"/>
        <w:szCs w:val="22"/>
      </w:rPr>
    </w:lvl>
    <w:lvl w:ilvl="2">
      <w:start w:val="1"/>
      <w:numFmt w:val="bullet"/>
      <w:lvlText w:val=""/>
      <w:lvlJc w:val="left"/>
      <w:pPr>
        <w:tabs>
          <w:tab w:val="num" w:pos="-2092"/>
        </w:tabs>
        <w:ind w:left="-2092" w:hanging="360"/>
      </w:pPr>
      <w:rPr>
        <w:rFonts w:hint="default" w:ascii="Wingdings" w:hAnsi="Wingdings"/>
      </w:rPr>
    </w:lvl>
    <w:lvl w:ilvl="3">
      <w:start w:val="1"/>
      <w:numFmt w:val="bullet"/>
      <w:lvlText w:val=""/>
      <w:lvlJc w:val="left"/>
      <w:pPr>
        <w:tabs>
          <w:tab w:val="num" w:pos="-1372"/>
        </w:tabs>
        <w:ind w:left="-1372" w:hanging="360"/>
      </w:pPr>
      <w:rPr>
        <w:rFonts w:hint="default" w:ascii="Symbol" w:hAnsi="Symbol"/>
      </w:rPr>
    </w:lvl>
    <w:lvl w:ilvl="4">
      <w:start w:val="1"/>
      <w:numFmt w:val="bullet"/>
      <w:lvlText w:val="o"/>
      <w:lvlJc w:val="left"/>
      <w:pPr>
        <w:tabs>
          <w:tab w:val="num" w:pos="-652"/>
        </w:tabs>
        <w:ind w:left="-652" w:hanging="360"/>
      </w:pPr>
      <w:rPr>
        <w:rFonts w:hint="default" w:ascii="Courier New" w:hAnsi="Courier New" w:cs="Courier New"/>
      </w:rPr>
    </w:lvl>
    <w:lvl w:ilvl="5">
      <w:start w:val="1"/>
      <w:numFmt w:val="bullet"/>
      <w:lvlText w:val=""/>
      <w:lvlJc w:val="left"/>
      <w:pPr>
        <w:tabs>
          <w:tab w:val="num" w:pos="68"/>
        </w:tabs>
        <w:ind w:left="68" w:hanging="360"/>
      </w:pPr>
      <w:rPr>
        <w:rFonts w:hint="default" w:ascii="Wingdings" w:hAnsi="Wingdings"/>
      </w:rPr>
    </w:lvl>
    <w:lvl w:ilvl="6">
      <w:start w:val="1"/>
      <w:numFmt w:val="bullet"/>
      <w:lvlText w:val=""/>
      <w:lvlJc w:val="left"/>
      <w:pPr>
        <w:tabs>
          <w:tab w:val="num" w:pos="788"/>
        </w:tabs>
        <w:ind w:left="788" w:hanging="360"/>
      </w:pPr>
      <w:rPr>
        <w:rFonts w:hint="default" w:ascii="Symbol" w:hAnsi="Symbol"/>
      </w:rPr>
    </w:lvl>
    <w:lvl w:ilvl="7">
      <w:start w:val="1"/>
      <w:numFmt w:val="bullet"/>
      <w:lvlText w:val="o"/>
      <w:lvlJc w:val="left"/>
      <w:pPr>
        <w:tabs>
          <w:tab w:val="num" w:pos="1508"/>
        </w:tabs>
        <w:ind w:left="1508" w:hanging="360"/>
      </w:pPr>
      <w:rPr>
        <w:rFonts w:hint="default" w:ascii="Courier New" w:hAnsi="Courier New" w:cs="Courier New"/>
      </w:rPr>
    </w:lvl>
    <w:lvl w:ilvl="8">
      <w:start w:val="1"/>
      <w:numFmt w:val="bullet"/>
      <w:lvlText w:val=""/>
      <w:lvlJc w:val="left"/>
      <w:pPr>
        <w:tabs>
          <w:tab w:val="num" w:pos="2228"/>
        </w:tabs>
        <w:ind w:left="2228" w:hanging="360"/>
      </w:pPr>
      <w:rPr>
        <w:rFonts w:hint="default" w:ascii="Wingdings" w:hAnsi="Wingdings"/>
      </w:rPr>
    </w:lvl>
  </w:abstractNum>
  <w:abstractNum w:abstractNumId="27" w15:restartNumberingAfterBreak="0">
    <w:nsid w:val="79837A9B"/>
    <w:multiLevelType w:val="hybridMultilevel"/>
    <w:tmpl w:val="BC1E46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B275627"/>
    <w:multiLevelType w:val="hybridMultilevel"/>
    <w:tmpl w:val="C42AF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7C023725"/>
    <w:multiLevelType w:val="singleLevel"/>
    <w:tmpl w:val="0809000B"/>
    <w:lvl w:ilvl="0">
      <w:start w:val="1"/>
      <w:numFmt w:val="bullet"/>
      <w:lvlText w:val=""/>
      <w:lvlJc w:val="left"/>
      <w:pPr>
        <w:ind w:left="1080" w:hanging="360"/>
      </w:pPr>
      <w:rPr>
        <w:rFonts w:hint="default" w:ascii="Wingdings" w:hAnsi="Wingdings"/>
        <w:sz w:val="22"/>
      </w:rPr>
    </w:lvl>
  </w:abstractNum>
  <w:abstractNum w:abstractNumId="30" w15:restartNumberingAfterBreak="0">
    <w:nsid w:val="7CFE749B"/>
    <w:multiLevelType w:val="hybridMultilevel"/>
    <w:tmpl w:val="8BE43D3A"/>
    <w:lvl w:ilvl="0" w:tplc="31026F84">
      <w:start w:val="1"/>
      <w:numFmt w:val="bullet"/>
      <w:pStyle w:val="Bulletindent1la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hint="default" w:ascii="Arial" w:hAnsi="Arial"/>
        <w:sz w:val="32"/>
      </w:rPr>
    </w:lvl>
    <w:lvl w:ilvl="1">
      <w:start w:val="1"/>
      <w:numFmt w:val="decimal"/>
      <w:lvlText w:val="%1.%2"/>
      <w:lvlJc w:val="left"/>
      <w:pPr>
        <w:tabs>
          <w:tab w:val="num" w:pos="851"/>
        </w:tabs>
        <w:ind w:left="851" w:hanging="851"/>
      </w:pPr>
      <w:rPr>
        <w:rFonts w:hint="default" w:ascii="Arial" w:hAnsi="Arial"/>
        <w:b/>
        <w:i/>
        <w:sz w:val="28"/>
        <w:szCs w:val="28"/>
      </w:rPr>
    </w:lvl>
    <w:lvl w:ilvl="2">
      <w:start w:val="1"/>
      <w:numFmt w:val="decimal"/>
      <w:lvlText w:val="%1.%2.%3"/>
      <w:lvlJc w:val="left"/>
      <w:pPr>
        <w:tabs>
          <w:tab w:val="num" w:pos="851"/>
        </w:tabs>
        <w:ind w:left="851" w:hanging="851"/>
      </w:pPr>
      <w:rPr>
        <w:rFonts w:hint="default" w:ascii="Arial" w:hAnsi="Arial"/>
        <w:b/>
        <w:i w:val="0"/>
        <w:sz w:val="24"/>
        <w:szCs w:val="24"/>
      </w:rPr>
    </w:lvl>
    <w:lvl w:ilvl="3">
      <w:start w:val="1"/>
      <w:numFmt w:val="decimal"/>
      <w:pStyle w:val="Numberedheading4"/>
      <w:lvlText w:val="%1.%2.%3.%4"/>
      <w:lvlJc w:val="left"/>
      <w:pPr>
        <w:tabs>
          <w:tab w:val="num" w:pos="1134"/>
        </w:tabs>
        <w:ind w:left="1134" w:hanging="1134"/>
      </w:pPr>
      <w:rPr>
        <w:rFonts w:hint="default" w:ascii="Arial" w:hAnsi="Arial"/>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hint="default" w:ascii="Arial" w:hAnsi="Arial"/>
        <w:b w:val="0"/>
        <w:i w:val="0"/>
        <w:sz w:val="24"/>
        <w:szCs w:val="24"/>
      </w:rPr>
    </w:lvl>
    <w:lvl w:ilvl="5">
      <w:start w:val="1"/>
      <w:numFmt w:val="decimal"/>
      <w:lvlText w:val="%1.%2.%3.%4.%5.%6"/>
      <w:lvlJc w:val="left"/>
      <w:pPr>
        <w:tabs>
          <w:tab w:val="num" w:pos="1134"/>
        </w:tabs>
        <w:ind w:left="1134" w:hanging="1134"/>
      </w:pPr>
      <w:rPr>
        <w:rFonts w:hint="default" w:ascii="Arial" w:hAnsi="Arial"/>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hint="default" w:ascii="Arial" w:hAnsi="Arial"/>
        <w:sz w:val="20"/>
        <w:szCs w:val="20"/>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288662370">
    <w:abstractNumId w:val="19"/>
  </w:num>
  <w:num w:numId="2" w16cid:durableId="160244081">
    <w:abstractNumId w:val="22"/>
    <w:lvlOverride w:ilvl="0">
      <w:startOverride w:val="1"/>
    </w:lvlOverride>
  </w:num>
  <w:num w:numId="3" w16cid:durableId="559678070">
    <w:abstractNumId w:val="5"/>
    <w:lvlOverride w:ilvl="0">
      <w:startOverride w:val="1"/>
    </w:lvlOverride>
  </w:num>
  <w:num w:numId="4" w16cid:durableId="460340545">
    <w:abstractNumId w:val="11"/>
  </w:num>
  <w:num w:numId="5" w16cid:durableId="862549155">
    <w:abstractNumId w:val="25"/>
  </w:num>
  <w:num w:numId="6" w16cid:durableId="1902785077">
    <w:abstractNumId w:val="26"/>
  </w:num>
  <w:num w:numId="7" w16cid:durableId="1400252542">
    <w:abstractNumId w:val="14"/>
  </w:num>
  <w:num w:numId="8" w16cid:durableId="585113440">
    <w:abstractNumId w:val="9"/>
  </w:num>
  <w:num w:numId="9" w16cid:durableId="1512915418">
    <w:abstractNumId w:val="23"/>
  </w:num>
  <w:num w:numId="10" w16cid:durableId="759831936">
    <w:abstractNumId w:val="31"/>
  </w:num>
  <w:num w:numId="11" w16cid:durableId="1747412429">
    <w:abstractNumId w:val="3"/>
  </w:num>
  <w:num w:numId="12" w16cid:durableId="843521227">
    <w:abstractNumId w:val="18"/>
  </w:num>
  <w:num w:numId="13" w16cid:durableId="1297833641">
    <w:abstractNumId w:val="1"/>
  </w:num>
  <w:num w:numId="14" w16cid:durableId="1684160055">
    <w:abstractNumId w:val="30"/>
  </w:num>
  <w:num w:numId="15" w16cid:durableId="1610894224">
    <w:abstractNumId w:val="32"/>
  </w:num>
  <w:num w:numId="16" w16cid:durableId="1355812959">
    <w:abstractNumId w:val="10"/>
  </w:num>
  <w:num w:numId="17" w16cid:durableId="1708602711">
    <w:abstractNumId w:val="29"/>
  </w:num>
  <w:num w:numId="18" w16cid:durableId="1880973297">
    <w:abstractNumId w:val="13"/>
  </w:num>
  <w:num w:numId="19" w16cid:durableId="1760910594">
    <w:abstractNumId w:val="17"/>
  </w:num>
  <w:num w:numId="20" w16cid:durableId="77676389">
    <w:abstractNumId w:val="4"/>
  </w:num>
  <w:num w:numId="21" w16cid:durableId="1496384920">
    <w:abstractNumId w:val="12"/>
  </w:num>
  <w:num w:numId="22" w16cid:durableId="373623662">
    <w:abstractNumId w:val="0"/>
  </w:num>
  <w:num w:numId="23" w16cid:durableId="441388192">
    <w:abstractNumId w:val="22"/>
    <w:lvlOverride w:ilvl="0">
      <w:startOverride w:val="1"/>
    </w:lvlOverride>
  </w:num>
  <w:num w:numId="24" w16cid:durableId="73867840">
    <w:abstractNumId w:val="5"/>
    <w:lvlOverride w:ilvl="0">
      <w:startOverride w:val="1"/>
    </w:lvlOverride>
  </w:num>
  <w:num w:numId="25" w16cid:durableId="1312711915">
    <w:abstractNumId w:val="20"/>
  </w:num>
  <w:num w:numId="26" w16cid:durableId="1683317119">
    <w:abstractNumId w:val="28"/>
  </w:num>
  <w:num w:numId="27" w16cid:durableId="364259838">
    <w:abstractNumId w:val="21"/>
  </w:num>
  <w:num w:numId="28" w16cid:durableId="1267737300">
    <w:abstractNumId w:val="27"/>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424960209">
    <w:abstractNumId w:val="8"/>
  </w:num>
  <w:num w:numId="34" w16cid:durableId="1462652112">
    <w:abstractNumId w:val="6"/>
  </w:num>
  <w:num w:numId="35" w16cid:durableId="485363654">
    <w:abstractNumId w:val="24"/>
  </w:num>
  <w:num w:numId="36" w16cid:durableId="198955094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6536"/>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 w:val="01927509"/>
    <w:rsid w:val="08AC9085"/>
    <w:rsid w:val="186902FA"/>
    <w:rsid w:val="2935981D"/>
    <w:rsid w:val="4518480E"/>
    <w:rsid w:val="5F7BFA91"/>
    <w:rsid w:val="6BC48603"/>
    <w:rsid w:val="6FBFD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7DE2"/>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3B7DE2"/>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3B7D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Paragraph"/>
    <w:link w:val="Heading3Char"/>
    <w:uiPriority w:val="3"/>
    <w:qFormat/>
    <w:rsid w:val="003B7DE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3B7DE2"/>
    <w:pPr>
      <w:spacing w:before="200"/>
      <w:outlineLvl w:val="3"/>
    </w:pPr>
    <w:rPr>
      <w:rFonts w:ascii="Cambria" w:hAnsi="Cambria"/>
      <w:b/>
      <w:bCs/>
      <w:i/>
      <w:iCs/>
    </w:rPr>
  </w:style>
  <w:style w:type="paragraph" w:styleId="Heading5">
    <w:name w:val="heading 5"/>
    <w:basedOn w:val="Normal"/>
    <w:next w:val="Normal"/>
    <w:link w:val="Heading5Char"/>
    <w:uiPriority w:val="9"/>
    <w:qFormat/>
    <w:rsid w:val="003B7DE2"/>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B7DE2"/>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B7DE2"/>
    <w:pPr>
      <w:outlineLvl w:val="6"/>
    </w:pPr>
    <w:rPr>
      <w:rFonts w:ascii="Cambria" w:hAnsi="Cambria"/>
      <w:i/>
      <w:iCs/>
    </w:rPr>
  </w:style>
  <w:style w:type="paragraph" w:styleId="Heading8">
    <w:name w:val="heading 8"/>
    <w:basedOn w:val="Normal"/>
    <w:next w:val="Normal"/>
    <w:link w:val="Heading8Char"/>
    <w:uiPriority w:val="9"/>
    <w:qFormat/>
    <w:rsid w:val="003B7DE2"/>
    <w:pPr>
      <w:outlineLvl w:val="7"/>
    </w:pPr>
    <w:rPr>
      <w:rFonts w:ascii="Cambria" w:hAnsi="Cambria"/>
    </w:rPr>
  </w:style>
  <w:style w:type="paragraph" w:styleId="Heading9">
    <w:name w:val="heading 9"/>
    <w:basedOn w:val="Normal"/>
    <w:next w:val="Normal"/>
    <w:link w:val="Heading9Char"/>
    <w:uiPriority w:val="9"/>
    <w:qFormat/>
    <w:rsid w:val="003B7DE2"/>
    <w:pPr>
      <w:outlineLvl w:val="8"/>
    </w:pPr>
    <w:rPr>
      <w:rFonts w:ascii="Cambria" w:hAnsi="Cambria"/>
      <w:i/>
      <w:iCs/>
      <w:spacing w:val="5"/>
    </w:rPr>
  </w:style>
  <w:style w:type="character" w:styleId="DefaultParagraphFont" w:default="1">
    <w:name w:val="Default Paragraph Font"/>
    <w:uiPriority w:val="1"/>
    <w:semiHidden/>
    <w:unhideWhenUsed/>
    <w:rsid w:val="003B7DE2"/>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3B7DE2"/>
  </w:style>
  <w:style w:type="paragraph" w:styleId="NICEnormal" w:customStyle="1">
    <w:name w:val="NICE normal"/>
    <w:rsid w:val="003B7DE2"/>
    <w:pPr>
      <w:spacing w:after="240" w:line="360" w:lineRule="auto"/>
    </w:pPr>
    <w:rPr>
      <w:rFonts w:ascii="Arial" w:hAnsi="Arial" w:eastAsia="Times New Roman"/>
      <w:lang w:val="en-US" w:eastAsia="en-US"/>
    </w:rPr>
  </w:style>
  <w:style w:type="character" w:styleId="NICEnormalChar" w:customStyle="1">
    <w:name w:val="NICE normal Char"/>
    <w:rsid w:val="003B7DE2"/>
    <w:rPr>
      <w:rFonts w:ascii="Arial" w:hAnsi="Arial" w:eastAsia="Times New Roman"/>
      <w:sz w:val="24"/>
      <w:szCs w:val="24"/>
      <w:lang w:val="en-GB" w:eastAsia="en-US" w:bidi="ar-SA"/>
    </w:rPr>
  </w:style>
  <w:style w:type="character" w:styleId="Heading1Char" w:customStyle="1">
    <w:name w:val="Heading 1 Char"/>
    <w:link w:val="Heading1"/>
    <w:uiPriority w:val="1"/>
    <w:rsid w:val="003B7DE2"/>
    <w:rPr>
      <w:rFonts w:ascii="Arial" w:hAnsi="Arial" w:eastAsiaTheme="minorHAnsi"/>
      <w:b/>
      <w:bCs/>
      <w:kern w:val="32"/>
      <w:sz w:val="28"/>
      <w:szCs w:val="32"/>
      <w:lang w:eastAsia="en-US"/>
      <w14:ligatures w14:val="standardContextual"/>
    </w:rPr>
  </w:style>
  <w:style w:type="character" w:styleId="Heading2Char" w:customStyle="1">
    <w:name w:val="Heading 2 Char"/>
    <w:basedOn w:val="DefaultParagraphFont"/>
    <w:link w:val="Heading2"/>
    <w:uiPriority w:val="9"/>
    <w:rsid w:val="003B7DE2"/>
    <w:rPr>
      <w:rFonts w:asciiTheme="majorHAnsi" w:hAnsiTheme="majorHAnsi" w:eastAsiaTheme="majorEastAsia" w:cstheme="majorBidi"/>
      <w:color w:val="0F4761" w:themeColor="accent1" w:themeShade="BF"/>
      <w:kern w:val="2"/>
      <w:sz w:val="32"/>
      <w:szCs w:val="32"/>
      <w:lang w:eastAsia="en-US"/>
      <w14:ligatures w14:val="standardContextual"/>
    </w:rPr>
  </w:style>
  <w:style w:type="character" w:styleId="Heading3Char" w:customStyle="1">
    <w:name w:val="Heading 3 Char"/>
    <w:link w:val="Heading3"/>
    <w:uiPriority w:val="3"/>
    <w:rsid w:val="003B7DE2"/>
    <w:rPr>
      <w:rFonts w:ascii="Arial" w:hAnsi="Arial" w:eastAsiaTheme="minorHAnsi"/>
      <w:b/>
      <w:bCs/>
      <w:kern w:val="2"/>
      <w:szCs w:val="26"/>
      <w:lang w:eastAsia="en-US"/>
      <w14:ligatures w14:val="standardContextual"/>
    </w:rPr>
  </w:style>
  <w:style w:type="character" w:styleId="Heading4Char" w:customStyle="1">
    <w:name w:val="Heading 4 Char"/>
    <w:link w:val="Heading4"/>
    <w:uiPriority w:val="9"/>
    <w:rsid w:val="003B7DE2"/>
    <w:rPr>
      <w:rFonts w:ascii="Cambria" w:hAnsi="Cambria" w:eastAsiaTheme="minorHAnsi"/>
      <w:b/>
      <w:bCs/>
      <w:i/>
      <w:iCs/>
      <w:kern w:val="2"/>
      <w:lang w:eastAsia="en-US"/>
      <w14:ligatures w14:val="standardContextual"/>
    </w:rPr>
  </w:style>
  <w:style w:type="paragraph" w:styleId="ListParagraph">
    <w:name w:val="List Paragraph"/>
    <w:basedOn w:val="Normal"/>
    <w:uiPriority w:val="34"/>
    <w:qFormat/>
    <w:rsid w:val="003B7DE2"/>
    <w:pPr>
      <w:ind w:left="720"/>
      <w:contextualSpacing/>
    </w:pPr>
    <w:rPr>
      <w:rFonts w:eastAsia="Calibri"/>
    </w:rPr>
  </w:style>
  <w:style w:type="character" w:styleId="Hyperlink">
    <w:name w:val="Hyperlink"/>
    <w:uiPriority w:val="99"/>
    <w:rsid w:val="003B7DE2"/>
    <w:rPr>
      <w:color w:val="0000FF"/>
      <w:u w:val="single"/>
    </w:rPr>
  </w:style>
  <w:style w:type="paragraph" w:styleId="Header">
    <w:name w:val="header"/>
    <w:basedOn w:val="Normal"/>
    <w:link w:val="HeaderChar"/>
    <w:uiPriority w:val="99"/>
    <w:rsid w:val="003B7DE2"/>
    <w:pPr>
      <w:tabs>
        <w:tab w:val="center" w:pos="4513"/>
        <w:tab w:val="right" w:pos="9026"/>
      </w:tabs>
    </w:pPr>
    <w:rPr>
      <w:rFonts w:ascii="Arial" w:hAnsi="Arial"/>
    </w:rPr>
  </w:style>
  <w:style w:type="paragraph" w:styleId="NICEnormaldoublespacing" w:customStyle="1">
    <w:name w:val="NICE normal double spacing"/>
    <w:basedOn w:val="NICEnormal"/>
    <w:rsid w:val="003B7DE2"/>
  </w:style>
  <w:style w:type="character" w:styleId="HeaderChar" w:customStyle="1">
    <w:name w:val="Header Char"/>
    <w:link w:val="Header"/>
    <w:uiPriority w:val="99"/>
    <w:rsid w:val="003B7DE2"/>
    <w:rPr>
      <w:rFonts w:ascii="Arial" w:hAnsi="Arial" w:eastAsiaTheme="minorHAnsi"/>
      <w:kern w:val="2"/>
      <w:lang w:eastAsia="en-US"/>
      <w14:ligatures w14:val="standardContextual"/>
    </w:rPr>
  </w:style>
  <w:style w:type="paragraph" w:styleId="Footer">
    <w:name w:val="footer"/>
    <w:basedOn w:val="Normal"/>
    <w:link w:val="FooterChar"/>
    <w:uiPriority w:val="99"/>
    <w:rsid w:val="003B7DE2"/>
    <w:pPr>
      <w:tabs>
        <w:tab w:val="center" w:pos="4513"/>
        <w:tab w:val="right" w:pos="9026"/>
      </w:tabs>
    </w:pPr>
    <w:rPr>
      <w:rFonts w:ascii="Arial" w:hAnsi="Arial"/>
    </w:rPr>
  </w:style>
  <w:style w:type="character" w:styleId="FooterChar" w:customStyle="1">
    <w:name w:val="Footer Char"/>
    <w:link w:val="Footer"/>
    <w:uiPriority w:val="99"/>
    <w:rsid w:val="003B7DE2"/>
    <w:rPr>
      <w:rFonts w:ascii="Arial" w:hAnsi="Arial" w:eastAsiaTheme="minorHAnsi"/>
      <w:kern w:val="2"/>
      <w:lang w:eastAsia="en-US"/>
      <w14:ligatures w14:val="standardContextual"/>
    </w:rPr>
  </w:style>
  <w:style w:type="paragraph" w:styleId="Style1" w:customStyle="1">
    <w:name w:val="Style1"/>
    <w:basedOn w:val="Normal"/>
    <w:autoRedefine/>
    <w:rsid w:val="003B7DE2"/>
    <w:pPr>
      <w:keepNext/>
      <w:spacing w:line="360" w:lineRule="auto"/>
      <w:ind w:left="567"/>
    </w:pPr>
    <w:rPr>
      <w:rFonts w:ascii="Arial" w:hAnsi="Arial" w:cs="Arial"/>
      <w:szCs w:val="16"/>
    </w:rPr>
  </w:style>
  <w:style w:type="paragraph" w:styleId="Unnumberedboldheading" w:customStyle="1">
    <w:name w:val="Unnumbered bold heading"/>
    <w:next w:val="NICEnormal"/>
    <w:rsid w:val="003B7DE2"/>
    <w:pPr>
      <w:keepNext/>
      <w:widowControl w:val="0"/>
      <w:spacing w:after="120"/>
    </w:pPr>
    <w:rPr>
      <w:rFonts w:ascii="Arial" w:hAnsi="Arial" w:eastAsia="Times New Roman"/>
      <w:b/>
      <w:lang w:val="en-US" w:eastAsia="en-US"/>
    </w:rPr>
  </w:style>
  <w:style w:type="paragraph" w:styleId="Unnumbereditalicheading" w:customStyle="1">
    <w:name w:val="Unnumbered italic heading"/>
    <w:next w:val="NICEnormal"/>
    <w:rsid w:val="003B7DE2"/>
    <w:pPr>
      <w:keepNext/>
      <w:widowControl w:val="0"/>
      <w:spacing w:after="120"/>
    </w:pPr>
    <w:rPr>
      <w:rFonts w:ascii="Arial" w:hAnsi="Arial" w:eastAsia="Times New Roman"/>
      <w:i/>
      <w:lang w:val="en-US" w:eastAsia="en-US"/>
    </w:rPr>
  </w:style>
  <w:style w:type="paragraph" w:styleId="Title">
    <w:name w:val="Title"/>
    <w:basedOn w:val="Normal"/>
    <w:next w:val="Normal"/>
    <w:link w:val="TitleChar"/>
    <w:uiPriority w:val="10"/>
    <w:qFormat/>
    <w:rsid w:val="003B7DE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7DE2"/>
    <w:rPr>
      <w:rFonts w:asciiTheme="majorHAnsi" w:hAnsiTheme="majorHAnsi" w:eastAsiaTheme="majorEastAsia" w:cstheme="majorBidi"/>
      <w:spacing w:val="-10"/>
      <w:kern w:val="28"/>
      <w:sz w:val="56"/>
      <w:szCs w:val="56"/>
      <w:lang w:eastAsia="en-US"/>
      <w14:ligatures w14:val="standardContextual"/>
    </w:rPr>
  </w:style>
  <w:style w:type="paragraph" w:styleId="Title16pt" w:customStyle="1">
    <w:name w:val="Title 16 pt"/>
    <w:basedOn w:val="Title"/>
    <w:rsid w:val="003B7DE2"/>
  </w:style>
  <w:style w:type="paragraph" w:styleId="Introtext" w:customStyle="1">
    <w:name w:val="Intro text"/>
    <w:basedOn w:val="PGDNormal"/>
    <w:rsid w:val="003B7DE2"/>
    <w:pPr>
      <w:pBdr>
        <w:top w:val="single" w:color="auto" w:sz="4" w:space="1"/>
        <w:left w:val="single" w:color="auto" w:sz="4" w:space="4"/>
        <w:bottom w:val="single" w:color="auto" w:sz="4" w:space="1"/>
        <w:right w:val="single" w:color="auto" w:sz="4" w:space="4"/>
      </w:pBdr>
      <w:spacing w:after="120"/>
    </w:pPr>
  </w:style>
  <w:style w:type="paragraph" w:styleId="Numberedheading1" w:customStyle="1">
    <w:name w:val="Numbered heading 1"/>
    <w:basedOn w:val="Heading1"/>
    <w:next w:val="NICEnormal"/>
    <w:link w:val="Numberedheading1CharChar"/>
    <w:rsid w:val="003B7DE2"/>
    <w:pPr>
      <w:tabs>
        <w:tab w:val="num" w:pos="360"/>
      </w:tabs>
    </w:pPr>
    <w:rPr>
      <w:szCs w:val="24"/>
    </w:rPr>
  </w:style>
  <w:style w:type="character" w:styleId="Numberedheading1CharChar" w:customStyle="1">
    <w:name w:val="Numbered heading 1 Char Char"/>
    <w:link w:val="Numberedheading1"/>
    <w:rsid w:val="003B7DE2"/>
    <w:rPr>
      <w:rFonts w:ascii="Arial" w:hAnsi="Arial" w:eastAsiaTheme="minorHAnsi"/>
      <w:b/>
      <w:bCs/>
      <w:kern w:val="32"/>
      <w:sz w:val="28"/>
      <w:szCs w:val="24"/>
      <w:lang w:eastAsia="en-US"/>
      <w14:ligatures w14:val="standardContextual"/>
    </w:rPr>
  </w:style>
  <w:style w:type="paragraph" w:styleId="Numberedheading2" w:customStyle="1">
    <w:name w:val="Numbered heading 2"/>
    <w:basedOn w:val="Heading2"/>
    <w:next w:val="NICEnormal"/>
    <w:link w:val="Numberedheading2Char"/>
    <w:rsid w:val="003B7DE2"/>
    <w:pPr>
      <w:tabs>
        <w:tab w:val="num" w:pos="360"/>
      </w:tabs>
    </w:pPr>
  </w:style>
  <w:style w:type="character" w:styleId="Numberedheading2Char" w:customStyle="1">
    <w:name w:val="Numbered heading 2 Char"/>
    <w:basedOn w:val="Heading2Char"/>
    <w:link w:val="Numberedheading2"/>
    <w:rsid w:val="003B7DE2"/>
    <w:rPr>
      <w:rFonts w:asciiTheme="majorHAnsi" w:hAnsiTheme="majorHAnsi" w:eastAsiaTheme="majorEastAsia" w:cstheme="majorBidi"/>
      <w:color w:val="0F4761" w:themeColor="accent1" w:themeShade="BF"/>
      <w:kern w:val="2"/>
      <w:sz w:val="32"/>
      <w:szCs w:val="32"/>
      <w:lang w:eastAsia="en-US"/>
      <w14:ligatures w14:val="standardContextual"/>
    </w:rPr>
  </w:style>
  <w:style w:type="paragraph" w:styleId="Numberedheading3" w:customStyle="1">
    <w:name w:val="Numbered heading 3"/>
    <w:basedOn w:val="Heading3"/>
    <w:next w:val="NICEnormal"/>
    <w:rsid w:val="003B7DE2"/>
    <w:pPr>
      <w:tabs>
        <w:tab w:val="num" w:pos="360"/>
      </w:tabs>
    </w:pPr>
    <w:rPr>
      <w:sz w:val="26"/>
    </w:rPr>
  </w:style>
  <w:style w:type="paragraph" w:styleId="Numberedlevel4text" w:customStyle="1">
    <w:name w:val="Numbered level 4 text"/>
    <w:basedOn w:val="NICEnormal"/>
    <w:next w:val="NICEnormal"/>
    <w:rsid w:val="003B7DE2"/>
    <w:pPr>
      <w:tabs>
        <w:tab w:val="num" w:pos="360"/>
      </w:tabs>
    </w:pPr>
  </w:style>
  <w:style w:type="paragraph" w:styleId="Numberedlevel3text" w:customStyle="1">
    <w:name w:val="Numbered level 3 text"/>
    <w:basedOn w:val="Numberedheading3"/>
    <w:rsid w:val="003B7DE2"/>
    <w:pPr>
      <w:spacing w:after="240"/>
    </w:pPr>
    <w:rPr>
      <w:b w:val="0"/>
      <w:sz w:val="24"/>
    </w:rPr>
  </w:style>
  <w:style w:type="paragraph" w:styleId="Bulletindent2" w:customStyle="1">
    <w:name w:val="Bullet indent 2"/>
    <w:basedOn w:val="NICEnormal"/>
    <w:rsid w:val="003B7DE2"/>
    <w:pPr>
      <w:tabs>
        <w:tab w:val="num" w:pos="360"/>
      </w:tabs>
      <w:spacing w:after="0"/>
      <w:ind w:left="1702" w:hanging="284"/>
    </w:pPr>
  </w:style>
  <w:style w:type="paragraph" w:styleId="Title16ptleft" w:customStyle="1">
    <w:name w:val="Title 16 pt left"/>
    <w:basedOn w:val="Title16pt"/>
    <w:rsid w:val="003B7DE2"/>
  </w:style>
  <w:style w:type="paragraph" w:styleId="Bulletleft1" w:customStyle="1">
    <w:name w:val="Bullet left 1"/>
    <w:basedOn w:val="NICEnormal"/>
    <w:rsid w:val="003B7DE2"/>
    <w:pPr>
      <w:tabs>
        <w:tab w:val="num" w:pos="360"/>
      </w:tabs>
      <w:spacing w:after="0"/>
    </w:pPr>
  </w:style>
  <w:style w:type="character" w:styleId="Bulletleft1Char" w:customStyle="1">
    <w:name w:val="Bullet left 1 Char"/>
    <w:basedOn w:val="NICEnormalChar"/>
    <w:rsid w:val="003B7DE2"/>
    <w:rPr>
      <w:rFonts w:ascii="Arial" w:hAnsi="Arial" w:eastAsia="Times New Roman"/>
      <w:sz w:val="24"/>
      <w:szCs w:val="24"/>
      <w:lang w:val="en-GB" w:eastAsia="en-US" w:bidi="ar-SA"/>
    </w:rPr>
  </w:style>
  <w:style w:type="paragraph" w:styleId="Bulletleft2" w:customStyle="1">
    <w:name w:val="Bullet left 2"/>
    <w:basedOn w:val="NICEnormal"/>
    <w:rsid w:val="003B7DE2"/>
    <w:pPr>
      <w:tabs>
        <w:tab w:val="num" w:pos="360"/>
      </w:tabs>
      <w:spacing w:after="0"/>
      <w:ind w:left="568" w:hanging="284"/>
    </w:pPr>
  </w:style>
  <w:style w:type="paragraph" w:styleId="Bulletleft3" w:customStyle="1">
    <w:name w:val="Bullet left 3"/>
    <w:basedOn w:val="NICEnormal"/>
    <w:rsid w:val="003B7DE2"/>
    <w:pPr>
      <w:tabs>
        <w:tab w:val="num" w:pos="360"/>
      </w:tabs>
      <w:spacing w:after="0"/>
    </w:pPr>
  </w:style>
  <w:style w:type="paragraph" w:styleId="Bulletindent1" w:customStyle="1">
    <w:name w:val="Bullet indent 1"/>
    <w:basedOn w:val="NICEnormal"/>
    <w:rsid w:val="003B7DE2"/>
    <w:pPr>
      <w:numPr>
        <w:numId w:val="21"/>
      </w:numPr>
      <w:spacing w:before="120" w:after="120" w:line="240" w:lineRule="auto"/>
    </w:pPr>
    <w:rPr>
      <w:sz w:val="22"/>
      <w:lang w:val="en-GB"/>
    </w:rPr>
  </w:style>
  <w:style w:type="paragraph" w:styleId="Bulletindent3" w:customStyle="1">
    <w:name w:val="Bullet indent 3"/>
    <w:basedOn w:val="NICEnormal"/>
    <w:rsid w:val="003B7DE2"/>
    <w:pPr>
      <w:tabs>
        <w:tab w:val="num" w:pos="360"/>
      </w:tabs>
      <w:spacing w:after="0"/>
    </w:pPr>
  </w:style>
  <w:style w:type="paragraph" w:styleId="Numberedlevel2text" w:customStyle="1">
    <w:name w:val="Numbered level 2 text"/>
    <w:basedOn w:val="Numberedheading2"/>
    <w:rsid w:val="003B7DE2"/>
    <w:pPr>
      <w:spacing w:after="240"/>
    </w:pPr>
    <w:rPr>
      <w:b/>
      <w:i/>
    </w:rPr>
  </w:style>
  <w:style w:type="paragraph" w:styleId="Bulletleft1last" w:customStyle="1">
    <w:name w:val="Bullet left 1 last"/>
    <w:basedOn w:val="NICEnormal"/>
    <w:rsid w:val="003B7DE2"/>
    <w:pPr>
      <w:tabs>
        <w:tab w:val="num" w:pos="360"/>
      </w:tabs>
    </w:pPr>
    <w:rPr>
      <w:rFonts w:cs="Arial"/>
    </w:rPr>
  </w:style>
  <w:style w:type="character" w:styleId="Bulletleft1lastChar" w:customStyle="1">
    <w:name w:val="Bullet left 1 last Char"/>
    <w:rsid w:val="003B7DE2"/>
    <w:rPr>
      <w:rFonts w:ascii="Arial" w:hAnsi="Arial" w:eastAsia="Times New Roman" w:cs="Arial"/>
      <w:sz w:val="24"/>
      <w:szCs w:val="24"/>
      <w:lang w:eastAsia="en-US"/>
    </w:rPr>
  </w:style>
  <w:style w:type="paragraph" w:styleId="boxedtext" w:customStyle="1">
    <w:name w:val="boxed text"/>
    <w:basedOn w:val="NICEnormal"/>
    <w:rsid w:val="003B7DE2"/>
    <w:pPr>
      <w:pBdr>
        <w:top w:val="single" w:color="auto" w:sz="4" w:space="1"/>
        <w:left w:val="single" w:color="auto" w:sz="4" w:space="4"/>
        <w:bottom w:val="single" w:color="auto" w:sz="4" w:space="1"/>
        <w:right w:val="single" w:color="auto" w:sz="4" w:space="4"/>
      </w:pBdr>
      <w:shd w:val="clear" w:color="auto" w:fill="E6E6E6"/>
    </w:pPr>
  </w:style>
  <w:style w:type="character" w:styleId="PageNumber">
    <w:name w:val="page number"/>
    <w:rsid w:val="003B7DE2"/>
    <w:rPr>
      <w:rFonts w:ascii="Arial" w:hAnsi="Arial"/>
      <w:sz w:val="24"/>
    </w:rPr>
  </w:style>
  <w:style w:type="paragraph" w:styleId="Bulletindent1last" w:customStyle="1">
    <w:name w:val="Bullet indent 1 last"/>
    <w:basedOn w:val="NICEnormal"/>
    <w:next w:val="NICEnormal"/>
    <w:rsid w:val="003B7DE2"/>
    <w:pPr>
      <w:numPr>
        <w:numId w:val="14"/>
      </w:numPr>
    </w:pPr>
    <w:rPr>
      <w:sz w:val="22"/>
      <w:lang w:val="en-GB"/>
    </w:rPr>
  </w:style>
  <w:style w:type="paragraph" w:styleId="NICEnormalindented" w:customStyle="1">
    <w:name w:val="NICE normal indented"/>
    <w:basedOn w:val="NICEnormal"/>
    <w:rsid w:val="003B7DE2"/>
    <w:pPr>
      <w:tabs>
        <w:tab w:val="left" w:pos="1134"/>
      </w:tabs>
      <w:ind w:left="1134"/>
    </w:pPr>
  </w:style>
  <w:style w:type="paragraph" w:styleId="Tabletitle" w:customStyle="1">
    <w:name w:val="Table title"/>
    <w:basedOn w:val="NICEnormal"/>
    <w:next w:val="NICEnormal"/>
    <w:rsid w:val="003B7DE2"/>
    <w:pPr>
      <w:keepNext/>
      <w:spacing w:after="60" w:line="240" w:lineRule="auto"/>
    </w:pPr>
    <w:rPr>
      <w:b/>
    </w:rPr>
  </w:style>
  <w:style w:type="paragraph" w:styleId="Tabletext" w:customStyle="1">
    <w:name w:val="Table text"/>
    <w:basedOn w:val="PGDNormal"/>
    <w:rsid w:val="003B7DE2"/>
    <w:pPr>
      <w:keepNext/>
      <w:spacing w:after="60"/>
    </w:pPr>
  </w:style>
  <w:style w:type="paragraph" w:styleId="Section2paragraphs" w:customStyle="1">
    <w:name w:val="Section 2 paragraphs"/>
    <w:basedOn w:val="NICEnormal"/>
    <w:rsid w:val="003B7DE2"/>
    <w:pPr>
      <w:tabs>
        <w:tab w:val="num" w:pos="360"/>
      </w:tabs>
    </w:pPr>
  </w:style>
  <w:style w:type="paragraph" w:styleId="Section3paragraphs" w:customStyle="1">
    <w:name w:val="Section 3 paragraphs"/>
    <w:basedOn w:val="NICEnormal"/>
    <w:rsid w:val="003B7DE2"/>
    <w:pPr>
      <w:tabs>
        <w:tab w:val="num" w:pos="360"/>
      </w:tabs>
    </w:pPr>
  </w:style>
  <w:style w:type="paragraph" w:styleId="Section411paragraphs" w:customStyle="1">
    <w:name w:val="Section 4.1.1 paragraphs"/>
    <w:basedOn w:val="NICEnormal"/>
    <w:rsid w:val="003B7DE2"/>
    <w:pPr>
      <w:tabs>
        <w:tab w:val="num" w:pos="360"/>
      </w:tabs>
    </w:pPr>
  </w:style>
  <w:style w:type="paragraph" w:styleId="Section412paragraphs" w:customStyle="1">
    <w:name w:val="Section 4.1.2 paragraphs"/>
    <w:basedOn w:val="NICEnormal"/>
    <w:rsid w:val="003B7DE2"/>
    <w:pPr>
      <w:tabs>
        <w:tab w:val="num" w:pos="360"/>
      </w:tabs>
    </w:pPr>
  </w:style>
  <w:style w:type="paragraph" w:styleId="Section42paragraphs" w:customStyle="1">
    <w:name w:val="Section 4.2 paragraphs"/>
    <w:basedOn w:val="NICEnormal"/>
    <w:rsid w:val="003B7DE2"/>
    <w:pPr>
      <w:tabs>
        <w:tab w:val="num" w:pos="360"/>
      </w:tabs>
    </w:pPr>
  </w:style>
  <w:style w:type="paragraph" w:styleId="Section43paragraphs" w:customStyle="1">
    <w:name w:val="Section 4.3 paragraphs"/>
    <w:basedOn w:val="NICEnormal"/>
    <w:rsid w:val="003B7DE2"/>
    <w:pPr>
      <w:tabs>
        <w:tab w:val="num" w:pos="360"/>
      </w:tabs>
    </w:pPr>
  </w:style>
  <w:style w:type="paragraph" w:styleId="Appendixlevel1" w:customStyle="1">
    <w:name w:val="Appendix level 1"/>
    <w:basedOn w:val="NICEnormal"/>
    <w:autoRedefine/>
    <w:rsid w:val="003B7DE2"/>
    <w:pPr>
      <w:tabs>
        <w:tab w:val="num" w:pos="360"/>
      </w:tabs>
      <w:spacing w:before="240"/>
    </w:pPr>
  </w:style>
  <w:style w:type="paragraph" w:styleId="Appendixlevel2" w:customStyle="1">
    <w:name w:val="Appendix level 2"/>
    <w:basedOn w:val="NICEnormal"/>
    <w:rsid w:val="003B7DE2"/>
    <w:pPr>
      <w:tabs>
        <w:tab w:val="num" w:pos="360"/>
      </w:tabs>
      <w:spacing w:before="240"/>
    </w:pPr>
  </w:style>
  <w:style w:type="paragraph" w:styleId="Appendixbullet" w:customStyle="1">
    <w:name w:val="Appendix bullet"/>
    <w:basedOn w:val="NICEnormal"/>
    <w:rsid w:val="003B7DE2"/>
    <w:pPr>
      <w:tabs>
        <w:tab w:val="num" w:pos="360"/>
      </w:tabs>
      <w:spacing w:after="0" w:line="240" w:lineRule="auto"/>
    </w:pPr>
  </w:style>
  <w:style w:type="paragraph" w:styleId="Appendixreferences" w:customStyle="1">
    <w:name w:val="Appendix references"/>
    <w:basedOn w:val="NICEnormal"/>
    <w:rsid w:val="003B7DE2"/>
    <w:pPr>
      <w:tabs>
        <w:tab w:val="left" w:pos="567"/>
      </w:tabs>
      <w:spacing w:after="120" w:line="240" w:lineRule="auto"/>
      <w:ind w:left="567"/>
    </w:pPr>
  </w:style>
  <w:style w:type="paragraph" w:styleId="References" w:customStyle="1">
    <w:name w:val="References"/>
    <w:basedOn w:val="PGDNormal"/>
    <w:rsid w:val="003B7DE2"/>
    <w:pPr>
      <w:tabs>
        <w:tab w:val="num" w:pos="360"/>
      </w:tabs>
      <w:spacing w:after="120"/>
    </w:pPr>
  </w:style>
  <w:style w:type="paragraph" w:styleId="BalloonText">
    <w:name w:val="Balloon Text"/>
    <w:basedOn w:val="Normal"/>
    <w:link w:val="BalloonTextChar"/>
    <w:semiHidden/>
    <w:rsid w:val="003B7DE2"/>
    <w:rPr>
      <w:rFonts w:ascii="Tahoma" w:hAnsi="Tahoma" w:cs="Tahoma"/>
      <w:sz w:val="16"/>
      <w:szCs w:val="16"/>
    </w:rPr>
  </w:style>
  <w:style w:type="character" w:styleId="BalloonTextChar" w:customStyle="1">
    <w:name w:val="Balloon Text Char"/>
    <w:link w:val="BalloonText"/>
    <w:semiHidden/>
    <w:rsid w:val="003B7DE2"/>
    <w:rPr>
      <w:rFonts w:ascii="Tahoma" w:hAnsi="Tahoma" w:cs="Tahoma" w:eastAsiaTheme="minorHAnsi"/>
      <w:kern w:val="2"/>
      <w:sz w:val="16"/>
      <w:szCs w:val="16"/>
      <w:lang w:eastAsia="en-US"/>
      <w14:ligatures w14:val="standardContextual"/>
    </w:rPr>
  </w:style>
  <w:style w:type="character" w:styleId="CommentReference">
    <w:name w:val="annotation reference"/>
    <w:unhideWhenUsed/>
    <w:rsid w:val="003B7DE2"/>
    <w:rPr>
      <w:sz w:val="16"/>
      <w:szCs w:val="16"/>
    </w:rPr>
  </w:style>
  <w:style w:type="paragraph" w:styleId="CommentText">
    <w:name w:val="annotation text"/>
    <w:basedOn w:val="Normal"/>
    <w:link w:val="CommentTextChar1"/>
    <w:uiPriority w:val="99"/>
    <w:unhideWhenUsed/>
    <w:rsid w:val="003B7DE2"/>
  </w:style>
  <w:style w:type="character" w:styleId="CommentTextChar" w:customStyle="1">
    <w:name w:val="Comment Text Char"/>
    <w:uiPriority w:val="99"/>
    <w:rsid w:val="003B7DE2"/>
    <w:rPr>
      <w:rFonts w:ascii="Times New Roman" w:hAnsi="Times New Roman" w:eastAsia="Times New Roman"/>
      <w:lang w:eastAsia="en-US"/>
    </w:rPr>
  </w:style>
  <w:style w:type="paragraph" w:styleId="CommentSubject">
    <w:name w:val="annotation subject"/>
    <w:basedOn w:val="CommentText"/>
    <w:next w:val="CommentText"/>
    <w:link w:val="CommentSubjectChar1"/>
    <w:semiHidden/>
    <w:unhideWhenUsed/>
    <w:rsid w:val="003B7DE2"/>
    <w:rPr>
      <w:b/>
      <w:bCs/>
    </w:rPr>
  </w:style>
  <w:style w:type="character" w:styleId="CommentSubjectChar" w:customStyle="1">
    <w:name w:val="Comment Subject Char"/>
    <w:semiHidden/>
    <w:rsid w:val="003B7DE2"/>
    <w:rPr>
      <w:rFonts w:ascii="Times New Roman" w:hAnsi="Times New Roman" w:eastAsia="Times New Roman"/>
      <w:b/>
      <w:bCs/>
      <w:lang w:eastAsia="en-US"/>
    </w:rPr>
  </w:style>
  <w:style w:type="paragraph" w:styleId="Revision">
    <w:name w:val="Revision"/>
    <w:hidden/>
    <w:semiHidden/>
    <w:rsid w:val="001F0DB2"/>
    <w:rPr>
      <w:rFonts w:ascii="Times New Roman" w:hAnsi="Times New Roman" w:eastAsia="Times New Roman"/>
      <w:sz w:val="24"/>
      <w:szCs w:val="24"/>
      <w:lang w:eastAsia="en-US"/>
    </w:rPr>
  </w:style>
  <w:style w:type="paragraph" w:styleId="NormalWeb">
    <w:name w:val="Normal (Web)"/>
    <w:basedOn w:val="Normal"/>
    <w:uiPriority w:val="99"/>
    <w:unhideWhenUsed/>
    <w:rsid w:val="003B7DE2"/>
    <w:pPr>
      <w:spacing w:before="100" w:beforeAutospacing="1" w:after="100" w:afterAutospacing="1"/>
    </w:pPr>
  </w:style>
  <w:style w:type="paragraph" w:styleId="TOC1">
    <w:name w:val="toc 1"/>
    <w:basedOn w:val="Normal"/>
    <w:next w:val="Normal"/>
    <w:autoRedefine/>
    <w:rsid w:val="003B7DE2"/>
    <w:rPr>
      <w:rFonts w:ascii="Arial" w:hAnsi="Arial"/>
    </w:rPr>
  </w:style>
  <w:style w:type="paragraph" w:styleId="TOC2">
    <w:name w:val="toc 2"/>
    <w:basedOn w:val="Normal"/>
    <w:next w:val="Normal"/>
    <w:autoRedefine/>
    <w:rsid w:val="003B7DE2"/>
    <w:pPr>
      <w:ind w:left="240"/>
    </w:pPr>
    <w:rPr>
      <w:rFonts w:ascii="Arial" w:hAnsi="Arial"/>
    </w:rPr>
  </w:style>
  <w:style w:type="paragraph" w:styleId="Frontpagetitle" w:customStyle="1">
    <w:name w:val="Front page title"/>
    <w:basedOn w:val="Normal"/>
    <w:rsid w:val="003B7DE2"/>
    <w:pPr>
      <w:spacing w:after="240"/>
      <w:jc w:val="center"/>
    </w:pPr>
    <w:rPr>
      <w:rFonts w:ascii="Arial" w:hAnsi="Arial" w:cs="Arial"/>
      <w:sz w:val="48"/>
      <w:szCs w:val="48"/>
      <w:lang w:val="en-US"/>
    </w:rPr>
  </w:style>
  <w:style w:type="paragraph" w:styleId="Frontpagedate" w:customStyle="1">
    <w:name w:val="Front page date"/>
    <w:basedOn w:val="Normal"/>
    <w:rsid w:val="003B7DE2"/>
    <w:pPr>
      <w:spacing w:after="240"/>
    </w:pPr>
    <w:rPr>
      <w:rFonts w:ascii="Arial" w:hAnsi="Arial" w:cs="Arial"/>
      <w:sz w:val="32"/>
      <w:szCs w:val="32"/>
      <w:lang w:val="en-US"/>
    </w:rPr>
  </w:style>
  <w:style w:type="paragraph" w:styleId="Frontpageguidelinenumber" w:customStyle="1">
    <w:name w:val="Front page guideline number"/>
    <w:basedOn w:val="Normal"/>
    <w:rsid w:val="003B7DE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3B7DE2"/>
    <w:pPr>
      <w:outlineLvl w:val="9"/>
    </w:pPr>
    <w:rPr>
      <w:lang w:bidi="en-US"/>
    </w:rPr>
  </w:style>
  <w:style w:type="paragraph" w:styleId="TOC3">
    <w:name w:val="toc 3"/>
    <w:basedOn w:val="Normal"/>
    <w:next w:val="Normal"/>
    <w:autoRedefine/>
    <w:semiHidden/>
    <w:rsid w:val="003B7DE2"/>
    <w:pPr>
      <w:ind w:left="480"/>
    </w:pPr>
    <w:rPr>
      <w:rFonts w:ascii="Arial" w:hAnsi="Arial"/>
    </w:rPr>
  </w:style>
  <w:style w:type="character" w:styleId="FollowedHyperlink">
    <w:name w:val="FollowedHyperlink"/>
    <w:unhideWhenUsed/>
    <w:rsid w:val="003B7DE2"/>
    <w:rPr>
      <w:color w:val="800080"/>
      <w:u w:val="single"/>
    </w:rPr>
  </w:style>
  <w:style w:type="paragraph" w:styleId="Level2text" w:customStyle="1">
    <w:name w:val="Level 2 text"/>
    <w:basedOn w:val="Numberedheading2"/>
    <w:locked/>
    <w:rsid w:val="003B7DE2"/>
    <w:pPr>
      <w:numPr>
        <w:ilvl w:val="1"/>
        <w:numId w:val="1"/>
      </w:numPr>
    </w:pPr>
    <w:rPr>
      <w:b/>
      <w:i/>
    </w:rPr>
  </w:style>
  <w:style w:type="paragraph" w:styleId="FootnoteText">
    <w:name w:val="footnote text"/>
    <w:basedOn w:val="Normal"/>
    <w:link w:val="FootnoteTextChar1"/>
    <w:semiHidden/>
    <w:rsid w:val="003B7DE2"/>
    <w:rPr>
      <w:rFonts w:ascii="Arial" w:hAnsi="Arial" w:eastAsia="Calibri"/>
    </w:rPr>
  </w:style>
  <w:style w:type="character" w:styleId="FootnoteTextChar" w:customStyle="1">
    <w:name w:val="Footnote Text Char"/>
    <w:rsid w:val="003B7DE2"/>
    <w:rPr>
      <w:rFonts w:ascii="Arial" w:hAnsi="Arial" w:eastAsia="Times New Roman"/>
    </w:rPr>
  </w:style>
  <w:style w:type="character" w:styleId="FootnoteReference">
    <w:name w:val="footnote reference"/>
    <w:rsid w:val="003B7DE2"/>
    <w:rPr>
      <w:vertAlign w:val="superscript"/>
    </w:rPr>
  </w:style>
  <w:style w:type="paragraph" w:styleId="Paragraph" w:customStyle="1">
    <w:name w:val="Paragraph"/>
    <w:basedOn w:val="Paragraphnonumbers"/>
    <w:uiPriority w:val="4"/>
    <w:qFormat/>
    <w:rsid w:val="003B7DE2"/>
    <w:pPr>
      <w:numPr>
        <w:numId w:val="11"/>
      </w:numPr>
      <w:tabs>
        <w:tab w:val="left" w:pos="567"/>
      </w:tabs>
    </w:pPr>
  </w:style>
  <w:style w:type="paragraph" w:styleId="Bullets" w:customStyle="1">
    <w:name w:val="Bullets"/>
    <w:basedOn w:val="Normal"/>
    <w:uiPriority w:val="5"/>
    <w:qFormat/>
    <w:rsid w:val="003B7DE2"/>
    <w:pPr>
      <w:numPr>
        <w:numId w:val="23"/>
      </w:numPr>
      <w:spacing w:after="120" w:line="276" w:lineRule="auto"/>
    </w:pPr>
    <w:rPr>
      <w:rFonts w:ascii="Arial" w:hAnsi="Arial"/>
    </w:rPr>
  </w:style>
  <w:style w:type="paragraph" w:styleId="Subbullets" w:customStyle="1">
    <w:name w:val="Sub bullets"/>
    <w:basedOn w:val="Normal"/>
    <w:uiPriority w:val="6"/>
    <w:qFormat/>
    <w:rsid w:val="003B7DE2"/>
    <w:pPr>
      <w:numPr>
        <w:numId w:val="24"/>
      </w:numPr>
      <w:spacing w:after="120" w:line="276" w:lineRule="auto"/>
    </w:pPr>
    <w:rPr>
      <w:rFonts w:ascii="Arial" w:hAnsi="Arial"/>
    </w:rPr>
  </w:style>
  <w:style w:type="paragraph" w:styleId="Paragraphnonumbers" w:customStyle="1">
    <w:name w:val="Paragraph no numbers"/>
    <w:basedOn w:val="Normal"/>
    <w:uiPriority w:val="99"/>
    <w:qFormat/>
    <w:rsid w:val="003B7DE2"/>
    <w:pPr>
      <w:spacing w:after="240" w:line="276" w:lineRule="auto"/>
    </w:pPr>
    <w:rPr>
      <w:rFonts w:ascii="Arial" w:hAnsi="Arial"/>
    </w:rPr>
  </w:style>
  <w:style w:type="paragraph" w:styleId="TOAHeading">
    <w:name w:val="toa heading"/>
    <w:basedOn w:val="Normal"/>
    <w:next w:val="Normal"/>
    <w:semiHidden/>
    <w:rsid w:val="003B7DE2"/>
    <w:pPr>
      <w:spacing w:before="120"/>
    </w:pPr>
    <w:rPr>
      <w:rFonts w:ascii="Arial" w:hAnsi="Arial"/>
      <w:b/>
      <w:bCs/>
    </w:rPr>
  </w:style>
  <w:style w:type="paragraph" w:styleId="TOC4">
    <w:name w:val="toc 4"/>
    <w:basedOn w:val="Normal"/>
    <w:next w:val="Normal"/>
    <w:autoRedefine/>
    <w:semiHidden/>
    <w:rsid w:val="003B7DE2"/>
    <w:pPr>
      <w:ind w:left="720"/>
    </w:pPr>
    <w:rPr>
      <w:rFonts w:ascii="Arial" w:hAnsi="Arial"/>
    </w:rPr>
  </w:style>
  <w:style w:type="paragraph" w:styleId="Bulletindent1alast" w:customStyle="1">
    <w:name w:val="Bullet indent 1a last"/>
    <w:basedOn w:val="Bulletindent1last"/>
    <w:qFormat/>
    <w:rsid w:val="003B7DE2"/>
    <w:pPr>
      <w:ind w:left="2552"/>
    </w:pPr>
  </w:style>
  <w:style w:type="paragraph" w:styleId="Bulletindent2a" w:customStyle="1">
    <w:name w:val="Bullet indent 2a"/>
    <w:basedOn w:val="Normal"/>
    <w:qFormat/>
    <w:rsid w:val="003B7DE2"/>
    <w:pPr>
      <w:keepNext/>
      <w:tabs>
        <w:tab w:val="num" w:pos="1701"/>
      </w:tabs>
      <w:spacing w:line="360" w:lineRule="auto"/>
      <w:ind w:left="2836" w:hanging="284"/>
    </w:pPr>
    <w:rPr>
      <w:rFonts w:ascii="Arial" w:hAnsi="Arial"/>
    </w:rPr>
  </w:style>
  <w:style w:type="paragraph" w:styleId="Bulletindent1a" w:customStyle="1">
    <w:name w:val="Bullet indent 1a"/>
    <w:basedOn w:val="Bulletindent1"/>
    <w:qFormat/>
    <w:rsid w:val="003B7DE2"/>
    <w:pPr>
      <w:tabs>
        <w:tab w:val="num" w:pos="2552"/>
      </w:tabs>
      <w:ind w:left="2552"/>
    </w:pPr>
  </w:style>
  <w:style w:type="paragraph" w:styleId="Frontpagegreentitle" w:customStyle="1">
    <w:name w:val="Front page green title"/>
    <w:basedOn w:val="Normal"/>
    <w:rsid w:val="003B7DE2"/>
    <w:pPr>
      <w:jc w:val="center"/>
    </w:pPr>
    <w:rPr>
      <w:rFonts w:ascii="Arial" w:hAnsi="Arial" w:cs="Arial"/>
      <w:b/>
      <w:color w:val="009999"/>
      <w:sz w:val="64"/>
      <w:szCs w:val="64"/>
    </w:rPr>
  </w:style>
  <w:style w:type="paragraph" w:styleId="TOC5">
    <w:name w:val="toc 5"/>
    <w:basedOn w:val="Normal"/>
    <w:next w:val="Normal"/>
    <w:autoRedefine/>
    <w:semiHidden/>
    <w:unhideWhenUsed/>
    <w:rsid w:val="003B7DE2"/>
    <w:pPr>
      <w:spacing w:after="100" w:line="276" w:lineRule="auto"/>
      <w:ind w:left="880"/>
    </w:pPr>
  </w:style>
  <w:style w:type="paragraph" w:styleId="TOC6">
    <w:name w:val="toc 6"/>
    <w:basedOn w:val="Normal"/>
    <w:next w:val="Normal"/>
    <w:autoRedefine/>
    <w:semiHidden/>
    <w:unhideWhenUsed/>
    <w:rsid w:val="003B7DE2"/>
    <w:pPr>
      <w:spacing w:after="100" w:line="276" w:lineRule="auto"/>
      <w:ind w:left="1100"/>
    </w:pPr>
  </w:style>
  <w:style w:type="paragraph" w:styleId="TOC7">
    <w:name w:val="toc 7"/>
    <w:basedOn w:val="Normal"/>
    <w:next w:val="Normal"/>
    <w:autoRedefine/>
    <w:semiHidden/>
    <w:unhideWhenUsed/>
    <w:rsid w:val="003B7DE2"/>
    <w:pPr>
      <w:spacing w:after="100" w:line="276" w:lineRule="auto"/>
      <w:ind w:left="1320"/>
    </w:pPr>
  </w:style>
  <w:style w:type="paragraph" w:styleId="TOC8">
    <w:name w:val="toc 8"/>
    <w:basedOn w:val="Normal"/>
    <w:next w:val="Normal"/>
    <w:autoRedefine/>
    <w:semiHidden/>
    <w:unhideWhenUsed/>
    <w:rsid w:val="003B7DE2"/>
    <w:pPr>
      <w:spacing w:after="100" w:line="276" w:lineRule="auto"/>
      <w:ind w:left="1540"/>
    </w:pPr>
  </w:style>
  <w:style w:type="paragraph" w:styleId="TOC9">
    <w:name w:val="toc 9"/>
    <w:basedOn w:val="Normal"/>
    <w:next w:val="Normal"/>
    <w:autoRedefine/>
    <w:semiHidden/>
    <w:unhideWhenUsed/>
    <w:rsid w:val="003B7DE2"/>
    <w:pPr>
      <w:spacing w:after="100" w:line="276" w:lineRule="auto"/>
      <w:ind w:left="1760"/>
    </w:pPr>
  </w:style>
  <w:style w:type="paragraph" w:styleId="Question" w:customStyle="1">
    <w:name w:val="Question"/>
    <w:basedOn w:val="References"/>
    <w:qFormat/>
    <w:rsid w:val="003B7DE2"/>
    <w:pPr>
      <w:keepNext/>
      <w:numPr>
        <w:numId w:val="4"/>
      </w:numPr>
    </w:pPr>
    <w:rPr>
      <w:b/>
    </w:rPr>
  </w:style>
  <w:style w:type="paragraph" w:styleId="EndnoteText">
    <w:name w:val="endnote text"/>
    <w:basedOn w:val="Normal"/>
    <w:link w:val="EndnoteTextChar1"/>
    <w:semiHidden/>
    <w:unhideWhenUsed/>
    <w:rsid w:val="003B7DE2"/>
  </w:style>
  <w:style w:type="character" w:styleId="EndnoteTextChar" w:customStyle="1">
    <w:name w:val="Endnote Text Char"/>
    <w:semiHidden/>
    <w:rsid w:val="003B7DE2"/>
    <w:rPr>
      <w:rFonts w:ascii="Times New Roman" w:hAnsi="Times New Roman" w:eastAsia="Times New Roman"/>
    </w:rPr>
  </w:style>
  <w:style w:type="character" w:styleId="EndnoteReference">
    <w:name w:val="endnote reference"/>
    <w:semiHidden/>
    <w:unhideWhenUsed/>
    <w:rsid w:val="003B7DE2"/>
    <w:rPr>
      <w:vertAlign w:val="superscript"/>
    </w:rPr>
  </w:style>
  <w:style w:type="paragraph" w:styleId="Style4" w:customStyle="1">
    <w:name w:val="Style4"/>
    <w:basedOn w:val="Normal"/>
    <w:autoRedefine/>
    <w:rsid w:val="003B7DE2"/>
    <w:pPr>
      <w:keepNext/>
      <w:spacing w:line="360" w:lineRule="auto"/>
      <w:ind w:left="567"/>
    </w:pPr>
    <w:rPr>
      <w:rFonts w:ascii="Arial" w:hAnsi="Arial" w:cs="Arial"/>
    </w:rPr>
  </w:style>
  <w:style w:type="paragraph" w:styleId="Bodytextosteo" w:customStyle="1">
    <w:name w:val="Body text osteo"/>
    <w:basedOn w:val="BodyText"/>
    <w:autoRedefine/>
    <w:rsid w:val="003B7DE2"/>
    <w:pPr>
      <w:spacing w:after="0" w:line="360" w:lineRule="auto"/>
      <w:ind w:left="567"/>
    </w:pPr>
    <w:rPr>
      <w:rFonts w:ascii="Arial" w:hAnsi="Arial" w:cs="Arial"/>
    </w:rPr>
  </w:style>
  <w:style w:type="paragraph" w:styleId="BodyText">
    <w:name w:val="Body Text"/>
    <w:basedOn w:val="Normal"/>
    <w:link w:val="BodyTextChar"/>
    <w:rsid w:val="003B7DE2"/>
    <w:pPr>
      <w:spacing w:after="120"/>
    </w:pPr>
  </w:style>
  <w:style w:type="paragraph" w:styleId="bulletdoubleindent" w:customStyle="1">
    <w:name w:val="bullet double indent"/>
    <w:basedOn w:val="Normal"/>
    <w:autoRedefine/>
    <w:rsid w:val="003B7DE2"/>
    <w:pPr>
      <w:numPr>
        <w:numId w:val="5"/>
      </w:numPr>
      <w:spacing w:line="360" w:lineRule="auto"/>
    </w:pPr>
    <w:rPr>
      <w:rFonts w:ascii="Arial" w:hAnsi="Arial" w:eastAsia="Calibri"/>
    </w:rPr>
  </w:style>
  <w:style w:type="paragraph" w:styleId="bulletindentosteo" w:customStyle="1">
    <w:name w:val="bullet indent osteo"/>
    <w:basedOn w:val="Normal"/>
    <w:autoRedefine/>
    <w:rsid w:val="003B7DE2"/>
    <w:pPr>
      <w:numPr>
        <w:numId w:val="6"/>
      </w:numPr>
      <w:spacing w:line="360" w:lineRule="auto"/>
    </w:pPr>
    <w:rPr>
      <w:rFonts w:ascii="Arial" w:hAnsi="Arial" w:eastAsia="Calibri"/>
      <w:color w:val="000000"/>
    </w:rPr>
  </w:style>
  <w:style w:type="paragraph" w:styleId="bulletosteoporosis" w:customStyle="1">
    <w:name w:val="bullet osteoporosis"/>
    <w:basedOn w:val="Normal"/>
    <w:autoRedefine/>
    <w:rsid w:val="003B7DE2"/>
    <w:pPr>
      <w:numPr>
        <w:numId w:val="9"/>
      </w:numPr>
      <w:tabs>
        <w:tab w:val="left" w:pos="900"/>
      </w:tabs>
      <w:spacing w:line="360" w:lineRule="auto"/>
    </w:pPr>
    <w:rPr>
      <w:rFonts w:ascii="Arial" w:hAnsi="Arial" w:cs="Arial"/>
      <w:bCs/>
    </w:rPr>
  </w:style>
  <w:style w:type="paragraph" w:styleId="Subheading" w:customStyle="1">
    <w:name w:val="Sub heading"/>
    <w:basedOn w:val="Heading3"/>
    <w:autoRedefine/>
    <w:rsid w:val="003B7DE2"/>
    <w:pPr>
      <w:spacing w:after="0" w:line="360" w:lineRule="auto"/>
      <w:ind w:left="567"/>
    </w:pPr>
  </w:style>
  <w:style w:type="paragraph" w:styleId="subheadingosteo" w:customStyle="1">
    <w:name w:val="subheading osteo"/>
    <w:basedOn w:val="Heading6"/>
    <w:autoRedefine/>
    <w:rsid w:val="003B7DE2"/>
    <w:pPr>
      <w:keepNext/>
      <w:spacing w:line="360" w:lineRule="auto"/>
      <w:ind w:left="539"/>
    </w:pPr>
    <w:rPr>
      <w:rFonts w:ascii="Arial" w:hAnsi="Arial"/>
    </w:rPr>
  </w:style>
  <w:style w:type="paragraph" w:styleId="bulletdoubleindentosteo" w:customStyle="1">
    <w:name w:val="bullet double indent osteo"/>
    <w:basedOn w:val="bulletindentosteo"/>
    <w:autoRedefine/>
    <w:rsid w:val="003B7DE2"/>
    <w:pPr>
      <w:numPr>
        <w:numId w:val="7"/>
      </w:numPr>
    </w:pPr>
    <w:rPr>
      <w:rFonts w:eastAsia="Times New Roman"/>
      <w:lang w:eastAsia="en-GB"/>
    </w:rPr>
  </w:style>
  <w:style w:type="paragraph" w:styleId="ListBullet3">
    <w:name w:val="List Bullet 3"/>
    <w:basedOn w:val="Normal"/>
    <w:autoRedefine/>
    <w:rsid w:val="003B7DE2"/>
  </w:style>
  <w:style w:type="paragraph" w:styleId="Bulletosteotable" w:customStyle="1">
    <w:name w:val="Bullet osteo table"/>
    <w:basedOn w:val="bulletosteoporosis"/>
    <w:autoRedefine/>
    <w:rsid w:val="003B7DE2"/>
    <w:pPr>
      <w:numPr>
        <w:numId w:val="8"/>
      </w:numPr>
    </w:pPr>
  </w:style>
  <w:style w:type="paragraph" w:styleId="StyleHeading2Before0ptAfter0ptLinespacing15l" w:customStyle="1">
    <w:name w:val="Style Heading 2 + Before:  0 pt After:  0 pt Line spacing:  1.5 l..."/>
    <w:basedOn w:val="Heading2"/>
    <w:autoRedefine/>
    <w:rsid w:val="003B7DE2"/>
    <w:pPr>
      <w:spacing w:after="0" w:line="360" w:lineRule="auto"/>
    </w:pPr>
    <w:rPr>
      <w:szCs w:val="20"/>
      <w:lang w:val="en-US"/>
    </w:rPr>
  </w:style>
  <w:style w:type="paragraph" w:styleId="NCC-ACChaptertitle" w:customStyle="1">
    <w:name w:val="NCC-AC Chapter title"/>
    <w:basedOn w:val="Numberedheading1"/>
    <w:next w:val="Normal"/>
    <w:autoRedefine/>
    <w:rsid w:val="003B7DE2"/>
    <w:pPr>
      <w:tabs>
        <w:tab w:val="clear" w:pos="360"/>
        <w:tab w:val="left" w:pos="0"/>
      </w:tabs>
      <w:spacing w:after="0"/>
    </w:pPr>
    <w:rPr>
      <w:rFonts w:ascii="Tw Cen MT" w:hAnsi="Tw Cen MT"/>
      <w:sz w:val="36"/>
    </w:rPr>
  </w:style>
  <w:style w:type="paragraph" w:styleId="StyleNCC-ACChaptertitleArial18pt" w:customStyle="1">
    <w:name w:val="Style NCC-AC Chapter title + Arial 18 pt"/>
    <w:basedOn w:val="NCC-ACChaptertitle"/>
    <w:autoRedefine/>
    <w:rsid w:val="003B7DE2"/>
    <w:pPr>
      <w:tabs>
        <w:tab w:val="clear" w:pos="0"/>
        <w:tab w:val="left" w:pos="567"/>
        <w:tab w:val="num" w:pos="1134"/>
      </w:tabs>
      <w:spacing w:before="2160" w:after="600" w:line="360" w:lineRule="auto"/>
    </w:pPr>
    <w:rPr>
      <w:rFonts w:ascii="Arial" w:hAnsi="Arial"/>
      <w:szCs w:val="36"/>
    </w:rPr>
  </w:style>
  <w:style w:type="paragraph" w:styleId="Numberedheading4" w:customStyle="1">
    <w:name w:val="Numbered heading 4"/>
    <w:basedOn w:val="Heading4"/>
    <w:next w:val="Normal"/>
    <w:autoRedefine/>
    <w:rsid w:val="003B7DE2"/>
    <w:pPr>
      <w:numPr>
        <w:ilvl w:val="3"/>
        <w:numId w:val="10"/>
      </w:numPr>
    </w:pPr>
    <w:rPr>
      <w:b w:val="0"/>
    </w:rPr>
  </w:style>
  <w:style w:type="numbering" w:styleId="NiceNumbering" w:customStyle="1">
    <w:name w:val="Nice Numbering"/>
    <w:rsid w:val="003B7DE2"/>
    <w:pPr>
      <w:numPr>
        <w:numId w:val="10"/>
      </w:numPr>
    </w:pPr>
  </w:style>
  <w:style w:type="character" w:styleId="FootnoteTextChar1" w:customStyle="1">
    <w:name w:val="Footnote Text Char1"/>
    <w:link w:val="FootnoteText"/>
    <w:semiHidden/>
    <w:rsid w:val="003B7DE2"/>
    <w:rPr>
      <w:rFonts w:ascii="Arial" w:hAnsi="Arial"/>
      <w:kern w:val="2"/>
      <w:lang w:eastAsia="en-US"/>
      <w14:ligatures w14:val="standardContextual"/>
    </w:rPr>
  </w:style>
  <w:style w:type="table" w:styleId="TableGrid">
    <w:name w:val="Table Grid"/>
    <w:basedOn w:val="TableNormal"/>
    <w:rsid w:val="003B7DE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rontpageguidanceno" w:customStyle="1">
    <w:name w:val="Front page guidance no"/>
    <w:basedOn w:val="Normal"/>
    <w:rsid w:val="003B7DE2"/>
    <w:rPr>
      <w:rFonts w:ascii="Arial" w:hAnsi="Arial" w:cs="Arial"/>
      <w:color w:val="FFFFFF"/>
      <w:sz w:val="32"/>
      <w:szCs w:val="32"/>
    </w:rPr>
  </w:style>
  <w:style w:type="paragraph" w:styleId="Default" w:customStyle="1">
    <w:name w:val="Default"/>
    <w:rsid w:val="003B7DE2"/>
    <w:pPr>
      <w:autoSpaceDE w:val="0"/>
      <w:autoSpaceDN w:val="0"/>
      <w:adjustRightInd w:val="0"/>
    </w:pPr>
    <w:rPr>
      <w:rFonts w:eastAsia="Times New Roman" w:cs="Calibri"/>
      <w:color w:val="000000"/>
    </w:rPr>
  </w:style>
  <w:style w:type="paragraph" w:styleId="PGDNormal" w:customStyle="1">
    <w:name w:val="PGD Normal"/>
    <w:basedOn w:val="NICEnormal"/>
    <w:rsid w:val="003B7DE2"/>
    <w:pPr>
      <w:spacing w:line="240" w:lineRule="auto"/>
    </w:pPr>
    <w:rPr>
      <w:sz w:val="22"/>
    </w:rPr>
  </w:style>
  <w:style w:type="paragraph" w:styleId="TabletextIPoverviewevidence" w:customStyle="1">
    <w:name w:val="Table text IP overview evidence"/>
    <w:basedOn w:val="Tabletext"/>
    <w:rsid w:val="003B7DE2"/>
    <w:rPr>
      <w:sz w:val="18"/>
    </w:rPr>
  </w:style>
  <w:style w:type="character" w:styleId="Heading5Char" w:customStyle="1">
    <w:name w:val="Heading 5 Char"/>
    <w:link w:val="Heading5"/>
    <w:uiPriority w:val="9"/>
    <w:rsid w:val="003B7DE2"/>
    <w:rPr>
      <w:rFonts w:ascii="Cambria" w:hAnsi="Cambria" w:eastAsiaTheme="minorHAnsi"/>
      <w:b/>
      <w:bCs/>
      <w:color w:val="7F7F7F"/>
      <w:kern w:val="2"/>
      <w:lang w:eastAsia="en-US"/>
      <w14:ligatures w14:val="standardContextual"/>
    </w:rPr>
  </w:style>
  <w:style w:type="character" w:styleId="Heading7Char" w:customStyle="1">
    <w:name w:val="Heading 7 Char"/>
    <w:link w:val="Heading7"/>
    <w:uiPriority w:val="9"/>
    <w:rsid w:val="003B7DE2"/>
    <w:rPr>
      <w:rFonts w:ascii="Cambria" w:hAnsi="Cambria" w:eastAsiaTheme="minorHAnsi"/>
      <w:i/>
      <w:iCs/>
      <w:kern w:val="2"/>
      <w:lang w:eastAsia="en-US"/>
      <w14:ligatures w14:val="standardContextual"/>
    </w:rPr>
  </w:style>
  <w:style w:type="character" w:styleId="Heading8Char" w:customStyle="1">
    <w:name w:val="Heading 8 Char"/>
    <w:link w:val="Heading8"/>
    <w:uiPriority w:val="9"/>
    <w:rsid w:val="003B7DE2"/>
    <w:rPr>
      <w:rFonts w:ascii="Cambria" w:hAnsi="Cambria" w:eastAsiaTheme="minorHAnsi"/>
      <w:kern w:val="2"/>
      <w:lang w:eastAsia="en-US"/>
      <w14:ligatures w14:val="standardContextual"/>
    </w:rPr>
  </w:style>
  <w:style w:type="character" w:styleId="Heading9Char" w:customStyle="1">
    <w:name w:val="Heading 9 Char"/>
    <w:link w:val="Heading9"/>
    <w:uiPriority w:val="9"/>
    <w:rsid w:val="003B7DE2"/>
    <w:rPr>
      <w:rFonts w:ascii="Cambria" w:hAnsi="Cambria" w:eastAsiaTheme="minorHAnsi"/>
      <w:i/>
      <w:iCs/>
      <w:spacing w:val="5"/>
      <w:kern w:val="2"/>
      <w:lang w:eastAsia="en-US"/>
      <w14:ligatures w14:val="standardContextual"/>
    </w:rPr>
  </w:style>
  <w:style w:type="character" w:styleId="Heading6Char" w:customStyle="1">
    <w:name w:val="Heading 6 Char"/>
    <w:link w:val="Heading6"/>
    <w:uiPriority w:val="9"/>
    <w:rsid w:val="003B7DE2"/>
    <w:rPr>
      <w:rFonts w:ascii="Cambria" w:hAnsi="Cambria" w:eastAsiaTheme="minorHAnsi"/>
      <w:b/>
      <w:bCs/>
      <w:i/>
      <w:iCs/>
      <w:color w:val="7F7F7F"/>
      <w:kern w:val="2"/>
      <w:lang w:eastAsia="en-US"/>
      <w14:ligatures w14:val="standardContextual"/>
    </w:rPr>
  </w:style>
  <w:style w:type="paragraph" w:styleId="Subtitle">
    <w:name w:val="Subtitle"/>
    <w:basedOn w:val="Normal"/>
    <w:next w:val="Normal"/>
    <w:link w:val="SubtitleChar"/>
    <w:uiPriority w:val="11"/>
    <w:qFormat/>
    <w:rsid w:val="003B7DE2"/>
    <w:pPr>
      <w:spacing w:after="600"/>
    </w:pPr>
    <w:rPr>
      <w:rFonts w:ascii="Cambria" w:hAnsi="Cambria"/>
      <w:i/>
      <w:iCs/>
      <w:spacing w:val="13"/>
    </w:rPr>
  </w:style>
  <w:style w:type="character" w:styleId="SubtitleChar" w:customStyle="1">
    <w:name w:val="Subtitle Char"/>
    <w:link w:val="Subtitle"/>
    <w:uiPriority w:val="11"/>
    <w:rsid w:val="003B7DE2"/>
    <w:rPr>
      <w:rFonts w:ascii="Cambria" w:hAnsi="Cambria" w:eastAsiaTheme="minorHAnsi"/>
      <w:i/>
      <w:iCs/>
      <w:spacing w:val="13"/>
      <w:kern w:val="2"/>
      <w:lang w:eastAsia="en-US"/>
      <w14:ligatures w14:val="standardContextual"/>
    </w:rPr>
  </w:style>
  <w:style w:type="character" w:styleId="Strong">
    <w:name w:val="Strong"/>
    <w:uiPriority w:val="22"/>
    <w:qFormat/>
    <w:rsid w:val="003B7DE2"/>
    <w:rPr>
      <w:b/>
      <w:bCs/>
    </w:rPr>
  </w:style>
  <w:style w:type="character" w:styleId="Emphasis">
    <w:name w:val="Emphasis"/>
    <w:uiPriority w:val="20"/>
    <w:qFormat/>
    <w:rsid w:val="003B7DE2"/>
    <w:rPr>
      <w:b/>
      <w:bCs/>
      <w:i/>
      <w:iCs/>
      <w:spacing w:val="10"/>
      <w:bdr w:val="none" w:color="auto" w:sz="0" w:space="0"/>
      <w:shd w:val="clear" w:color="auto" w:fill="auto"/>
    </w:rPr>
  </w:style>
  <w:style w:type="paragraph" w:styleId="NoSpacing">
    <w:name w:val="No Spacing"/>
    <w:basedOn w:val="Normal"/>
    <w:uiPriority w:val="1"/>
    <w:qFormat/>
    <w:rsid w:val="003B7DE2"/>
    <w:rPr>
      <w:rFonts w:eastAsia="Calibri"/>
    </w:rPr>
  </w:style>
  <w:style w:type="paragraph" w:styleId="Quote">
    <w:name w:val="Quote"/>
    <w:basedOn w:val="Normal"/>
    <w:next w:val="Normal"/>
    <w:link w:val="QuoteChar"/>
    <w:uiPriority w:val="29"/>
    <w:qFormat/>
    <w:rsid w:val="003B7DE2"/>
    <w:pPr>
      <w:spacing w:before="200"/>
      <w:ind w:left="360" w:right="360"/>
    </w:pPr>
    <w:rPr>
      <w:i/>
      <w:iCs/>
    </w:rPr>
  </w:style>
  <w:style w:type="character" w:styleId="QuoteChar" w:customStyle="1">
    <w:name w:val="Quote Char"/>
    <w:link w:val="Quote"/>
    <w:uiPriority w:val="29"/>
    <w:rsid w:val="003B7DE2"/>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3B7DE2"/>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3B7DE2"/>
    <w:rPr>
      <w:rFonts w:eastAsiaTheme="minorHAnsi"/>
      <w:b/>
      <w:bCs/>
      <w:i/>
      <w:iCs/>
      <w:kern w:val="2"/>
      <w:lang w:eastAsia="en-US"/>
      <w14:ligatures w14:val="standardContextual"/>
    </w:rPr>
  </w:style>
  <w:style w:type="character" w:styleId="SubtleEmphasis">
    <w:name w:val="Subtle Emphasis"/>
    <w:uiPriority w:val="19"/>
    <w:qFormat/>
    <w:rsid w:val="003B7DE2"/>
    <w:rPr>
      <w:i/>
      <w:iCs/>
    </w:rPr>
  </w:style>
  <w:style w:type="character" w:styleId="IntenseEmphasis">
    <w:name w:val="Intense Emphasis"/>
    <w:uiPriority w:val="21"/>
    <w:qFormat/>
    <w:rsid w:val="003B7DE2"/>
    <w:rPr>
      <w:b/>
      <w:bCs/>
    </w:rPr>
  </w:style>
  <w:style w:type="character" w:styleId="SubtleReference">
    <w:name w:val="Subtle Reference"/>
    <w:uiPriority w:val="31"/>
    <w:qFormat/>
    <w:rsid w:val="003B7DE2"/>
    <w:rPr>
      <w:smallCaps/>
    </w:rPr>
  </w:style>
  <w:style w:type="character" w:styleId="IntenseReference">
    <w:name w:val="Intense Reference"/>
    <w:uiPriority w:val="32"/>
    <w:qFormat/>
    <w:rsid w:val="003B7DE2"/>
    <w:rPr>
      <w:smallCaps/>
      <w:spacing w:val="5"/>
      <w:u w:val="single"/>
    </w:rPr>
  </w:style>
  <w:style w:type="character" w:styleId="BookTitle">
    <w:name w:val="Book Title"/>
    <w:uiPriority w:val="33"/>
    <w:qFormat/>
    <w:rsid w:val="003B7DE2"/>
    <w:rPr>
      <w:i/>
      <w:iCs/>
      <w:smallCaps/>
      <w:spacing w:val="5"/>
    </w:rPr>
  </w:style>
  <w:style w:type="paragraph" w:styleId="NICETitle2" w:customStyle="1">
    <w:name w:val="NICE Title 2"/>
    <w:basedOn w:val="Normal"/>
    <w:qFormat/>
    <w:rsid w:val="003B7DE2"/>
    <w:pPr>
      <w:keepNext/>
      <w:spacing w:before="240" w:after="240"/>
      <w:jc w:val="center"/>
      <w:outlineLvl w:val="0"/>
    </w:pPr>
    <w:rPr>
      <w:rFonts w:ascii="Arial" w:hAnsi="Arial" w:cs="Arial"/>
      <w:b/>
      <w:bCs/>
      <w:color w:val="282828"/>
      <w:kern w:val="28"/>
      <w:sz w:val="32"/>
      <w:szCs w:val="32"/>
    </w:rPr>
  </w:style>
  <w:style w:type="character" w:styleId="acicollapsed1" w:customStyle="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3B7DE2"/>
    <w:pPr>
      <w:spacing w:after="120" w:line="480" w:lineRule="auto"/>
    </w:pPr>
  </w:style>
  <w:style w:type="character" w:styleId="BodyText2Char" w:customStyle="1">
    <w:name w:val="Body Text 2 Char"/>
    <w:link w:val="BodyText2"/>
    <w:uiPriority w:val="99"/>
    <w:semiHidden/>
    <w:rsid w:val="003B7DE2"/>
    <w:rPr>
      <w:rFonts w:eastAsiaTheme="minorHAnsi"/>
      <w:kern w:val="2"/>
      <w:lang w:eastAsia="en-US"/>
      <w14:ligatures w14:val="standardContextual"/>
    </w:rPr>
  </w:style>
  <w:style w:type="character" w:styleId="UnresolvedMention">
    <w:name w:val="Unresolved Mention"/>
    <w:uiPriority w:val="99"/>
    <w:semiHidden/>
    <w:unhideWhenUsed/>
    <w:rsid w:val="003B7DE2"/>
    <w:rPr>
      <w:color w:val="605E5C"/>
      <w:shd w:val="clear" w:color="auto" w:fill="E1DFDD"/>
    </w:rPr>
  </w:style>
  <w:style w:type="paragraph" w:styleId="PGDTitle2" w:customStyle="1">
    <w:name w:val="PGD Title 2"/>
    <w:basedOn w:val="Normal"/>
    <w:rsid w:val="003B7DE2"/>
    <w:pPr>
      <w:jc w:val="center"/>
    </w:pPr>
    <w:rPr>
      <w:rFonts w:ascii="Arial" w:hAnsi="Arial"/>
      <w:b/>
      <w:sz w:val="36"/>
      <w:szCs w:val="36"/>
    </w:rPr>
  </w:style>
  <w:style w:type="paragraph" w:styleId="PGDTitle1" w:customStyle="1">
    <w:name w:val="PGD Title 1"/>
    <w:basedOn w:val="Normal"/>
    <w:rsid w:val="003B7DE2"/>
    <w:pPr>
      <w:jc w:val="center"/>
    </w:pPr>
    <w:rPr>
      <w:rFonts w:ascii="Arial" w:hAnsi="Arial"/>
      <w:b/>
      <w:bCs/>
      <w:sz w:val="44"/>
    </w:rPr>
  </w:style>
  <w:style w:type="character" w:styleId="PGDVersionNumber" w:customStyle="1">
    <w:name w:val="PGD Version Number"/>
    <w:basedOn w:val="DefaultParagraphFont"/>
    <w:qFormat/>
    <w:rsid w:val="003B7DE2"/>
    <w:rPr>
      <w:rFonts w:ascii="Arial" w:hAnsi="Arial"/>
      <w:sz w:val="28"/>
    </w:rPr>
  </w:style>
  <w:style w:type="paragraph" w:styleId="TableHeaderRow" w:customStyle="1">
    <w:name w:val="Table Header Row"/>
    <w:basedOn w:val="Normal"/>
    <w:rsid w:val="003B7DE2"/>
    <w:rPr>
      <w:rFonts w:ascii="Arial" w:hAnsi="Arial"/>
      <w:b/>
      <w:bCs/>
    </w:rPr>
  </w:style>
  <w:style w:type="character" w:styleId="PGDNormalBold" w:customStyle="1">
    <w:name w:val="PGD Normal Bold"/>
    <w:basedOn w:val="DefaultParagraphFont"/>
    <w:rsid w:val="003B7DE2"/>
    <w:rPr>
      <w:rFonts w:ascii="Arial" w:hAnsi="Arial"/>
      <w:b/>
      <w:bCs/>
    </w:rPr>
  </w:style>
  <w:style w:type="character" w:styleId="TableHeaderColumn" w:customStyle="1">
    <w:name w:val="Table Header Column"/>
    <w:basedOn w:val="DefaultParagraphFont"/>
    <w:rsid w:val="003B7DE2"/>
    <w:rPr>
      <w:rFonts w:ascii="Arial" w:hAnsi="Arial"/>
      <w:b/>
      <w:bCs/>
      <w:sz w:val="20"/>
    </w:rPr>
  </w:style>
  <w:style w:type="paragraph" w:styleId="Title1" w:customStyle="1">
    <w:name w:val="Title 1"/>
    <w:basedOn w:val="Title"/>
    <w:qFormat/>
    <w:rsid w:val="003B7DE2"/>
    <w:rPr>
      <w:rFonts w:ascii="Arial" w:hAnsi="Arial" w:cs="Arial"/>
      <w:sz w:val="44"/>
      <w:szCs w:val="44"/>
    </w:rPr>
  </w:style>
  <w:style w:type="paragraph" w:styleId="Title2" w:customStyle="1">
    <w:name w:val="Title 2"/>
    <w:basedOn w:val="Title"/>
    <w:qFormat/>
    <w:rsid w:val="003B7DE2"/>
    <w:rPr>
      <w:rFonts w:ascii="Arial" w:hAnsi="Arial" w:cs="Arial"/>
      <w:sz w:val="40"/>
      <w:szCs w:val="40"/>
    </w:rPr>
  </w:style>
  <w:style w:type="paragraph" w:styleId="PGDHeading2" w:customStyle="1">
    <w:name w:val="PGD Heading 2"/>
    <w:basedOn w:val="Heading2"/>
    <w:qFormat/>
    <w:rsid w:val="003B7DE2"/>
    <w:rPr>
      <w:rFonts w:ascii="Arial" w:hAnsi="Arial" w:cs="Arial"/>
      <w:color w:val="auto"/>
      <w:sz w:val="28"/>
      <w:szCs w:val="28"/>
    </w:rPr>
  </w:style>
  <w:style w:type="table" w:styleId="Tableheading" w:customStyle="1">
    <w:name w:val="Table heading"/>
    <w:basedOn w:val="TableNormal"/>
    <w:uiPriority w:val="99"/>
    <w:rsid w:val="003B7DE2"/>
    <w:rPr>
      <w:rFonts w:ascii="Arial" w:hAnsi="Arial" w:eastAsiaTheme="minorHAnsi"/>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styleId="NICEnormalsinglespacing" w:customStyle="1">
    <w:name w:val="NICE normal single spacing"/>
    <w:basedOn w:val="NICEnormal"/>
    <w:rsid w:val="003B7DE2"/>
    <w:pPr>
      <w:spacing w:line="240" w:lineRule="auto"/>
    </w:pPr>
  </w:style>
  <w:style w:type="paragraph" w:styleId="PGDtablebullet0" w:customStyle="1">
    <w:name w:val="PGD table bullet"/>
    <w:basedOn w:val="Normal"/>
    <w:rsid w:val="003B7DE2"/>
    <w:rPr>
      <w:rFonts w:ascii="Arial" w:hAnsi="Arial" w:eastAsia="Times New Roman"/>
    </w:rPr>
  </w:style>
  <w:style w:type="numbering" w:styleId="PGDTableBullet" w:customStyle="1">
    <w:name w:val="PGD Table Bullet"/>
    <w:basedOn w:val="NoList"/>
    <w:uiPriority w:val="99"/>
    <w:rsid w:val="003B7DE2"/>
    <w:pPr>
      <w:numPr>
        <w:numId w:val="13"/>
      </w:numPr>
    </w:pPr>
  </w:style>
  <w:style w:type="paragraph" w:styleId="StyleLatinArialAfter0ptLinespacingsingle" w:customStyle="1">
    <w:name w:val="Style (Latin) Arial After:  0 pt Line spacing:  single"/>
    <w:basedOn w:val="Normal"/>
    <w:rsid w:val="003B7DE2"/>
    <w:rPr>
      <w:rFonts w:ascii="Arial" w:hAnsi="Arial" w:eastAsia="Times New Roman"/>
    </w:rPr>
  </w:style>
  <w:style w:type="paragraph" w:styleId="PGDlogo" w:customStyle="1">
    <w:name w:val="PGD logo"/>
    <w:basedOn w:val="NICEnormal"/>
    <w:rsid w:val="003B7DE2"/>
    <w:pPr>
      <w:jc w:val="right"/>
    </w:pPr>
  </w:style>
  <w:style w:type="paragraph" w:styleId="PGDLogo0" w:customStyle="1">
    <w:name w:val="PGD Logo"/>
    <w:basedOn w:val="PGDNormal"/>
    <w:rsid w:val="003B7DE2"/>
    <w:pPr>
      <w:jc w:val="right"/>
    </w:pPr>
  </w:style>
  <w:style w:type="paragraph" w:styleId="PGDVersion" w:customStyle="1">
    <w:name w:val="PGD Version"/>
    <w:basedOn w:val="Normal"/>
    <w:rsid w:val="003B7DE2"/>
    <w:pPr>
      <w:jc w:val="center"/>
    </w:pPr>
    <w:rPr>
      <w:rFonts w:ascii="Arial" w:hAnsi="Arial" w:eastAsia="Times New Roman"/>
      <w:sz w:val="28"/>
    </w:rPr>
  </w:style>
  <w:style w:type="numbering" w:styleId="PGDtablebullet2" w:customStyle="1">
    <w:name w:val="PGD table bullet 2"/>
    <w:basedOn w:val="NoList"/>
    <w:rsid w:val="003B7DE2"/>
    <w:pPr>
      <w:numPr>
        <w:numId w:val="15"/>
      </w:numPr>
    </w:pPr>
  </w:style>
  <w:style w:type="numbering" w:styleId="PGDbullet2" w:customStyle="1">
    <w:name w:val="PGD bullet 2"/>
    <w:basedOn w:val="NoList"/>
    <w:rsid w:val="003B7DE2"/>
    <w:pPr>
      <w:numPr>
        <w:numId w:val="18"/>
      </w:numPr>
    </w:pPr>
  </w:style>
  <w:style w:type="numbering" w:styleId="PGDtablebullet1" w:customStyle="1">
    <w:name w:val="PGD table bullet 1"/>
    <w:basedOn w:val="NoList"/>
    <w:rsid w:val="003B7DE2"/>
    <w:pPr>
      <w:numPr>
        <w:numId w:val="20"/>
      </w:numPr>
    </w:pPr>
  </w:style>
  <w:style w:type="character" w:styleId="BodyTextChar" w:customStyle="1">
    <w:name w:val="Body Text Char"/>
    <w:basedOn w:val="DefaultParagraphFont"/>
    <w:link w:val="BodyText"/>
    <w:rsid w:val="003B7DE2"/>
    <w:rPr>
      <w:rFonts w:eastAsiaTheme="minorHAnsi"/>
      <w:kern w:val="2"/>
      <w:lang w:eastAsia="en-US"/>
      <w14:ligatures w14:val="standardContextual"/>
    </w:rPr>
  </w:style>
  <w:style w:type="character" w:styleId="CommentTextChar1" w:customStyle="1">
    <w:name w:val="Comment Text Char1"/>
    <w:basedOn w:val="DefaultParagraphFont"/>
    <w:link w:val="CommentText"/>
    <w:uiPriority w:val="99"/>
    <w:rsid w:val="003B7DE2"/>
    <w:rPr>
      <w:rFonts w:eastAsiaTheme="minorHAnsi"/>
      <w:kern w:val="2"/>
      <w:lang w:eastAsia="en-US"/>
      <w14:ligatures w14:val="standardContextual"/>
    </w:rPr>
  </w:style>
  <w:style w:type="character" w:styleId="EndnoteTextChar1" w:customStyle="1">
    <w:name w:val="Endnote Text Char1"/>
    <w:basedOn w:val="DefaultParagraphFont"/>
    <w:link w:val="EndnoteText"/>
    <w:semiHidden/>
    <w:rsid w:val="003B7DE2"/>
    <w:rPr>
      <w:rFonts w:eastAsiaTheme="minorHAnsi"/>
      <w:kern w:val="2"/>
      <w:lang w:eastAsia="en-US"/>
      <w14:ligatures w14:val="standardContextual"/>
    </w:rPr>
  </w:style>
  <w:style w:type="character" w:styleId="CommentSubjectChar1" w:customStyle="1">
    <w:name w:val="Comment Subject Char1"/>
    <w:basedOn w:val="CommentTextChar1"/>
    <w:link w:val="CommentSubject"/>
    <w:semiHidden/>
    <w:rsid w:val="003B7DE2"/>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nice.org.uk/Guidance/MPG2" TargetMode="External" Id="rId13" /><Relationship Type="http://schemas.openxmlformats.org/officeDocument/2006/relationships/hyperlink" Target="https://products.mhra.gov.uk/search/?search=ioversol&amp;page=1" TargetMode="External" Id="rId18" /><Relationship Type="http://schemas.openxmlformats.org/officeDocument/2006/relationships/hyperlink" Target="http://www.esur.org/guidelines/" TargetMode="External" Id="rId26" /><Relationship Type="http://schemas.openxmlformats.org/officeDocument/2006/relationships/fontTable" Target="fontTable.xml" Id="rId39" /><Relationship Type="http://schemas.openxmlformats.org/officeDocument/2006/relationships/hyperlink" Target="https://products.mhra.gov.uk/search/?search=ioversol&amp;page=1" TargetMode="External" Id="rId21" /><Relationship Type="http://schemas.openxmlformats.org/officeDocument/2006/relationships/hyperlink" Target="https://www.esur.org/wp-content/uploads/2022/03/ESUR-Guidelines-10_0-Final-Version.pdf" TargetMode="External" Id="rId34" /><Relationship Type="http://schemas.openxmlformats.org/officeDocument/2006/relationships/settings" Target="settings.xml" Id="rId7" /><Relationship Type="http://schemas.openxmlformats.org/officeDocument/2006/relationships/hyperlink" Target="https://www.sps.nhs.uk/home/guidance/patient-group-directions/templates/" TargetMode="External" Id="rId12" /><Relationship Type="http://schemas.openxmlformats.org/officeDocument/2006/relationships/hyperlink" Target="https://products.mhra.gov.uk/search/?search=ioversol&amp;page=1" TargetMode="External" Id="rId17" /><Relationship Type="http://schemas.openxmlformats.org/officeDocument/2006/relationships/hyperlink" Target="http://www.bnf.org" TargetMode="External" Id="rId25" /><Relationship Type="http://schemas.openxmlformats.org/officeDocument/2006/relationships/hyperlink" Target="https://www.nice.org.uk/guidance/ng148" TargetMode="External" Id="rId33" /><Relationship Type="http://schemas.openxmlformats.org/officeDocument/2006/relationships/header" Target="header3.xml" Id="rId38" /><Relationship Type="http://schemas.openxmlformats.org/officeDocument/2006/relationships/customXml" Target="../customXml/item2.xml" Id="rId2"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16" /><Relationship Type="http://schemas.openxmlformats.org/officeDocument/2006/relationships/hyperlink" Target="https://products.mhra.gov.uk/substance/?substance=GADOPICLENOL" TargetMode="External" Id="rId20" /><Relationship Type="http://schemas.openxmlformats.org/officeDocument/2006/relationships/hyperlink" Target="https://www.european-radiology.org/highlights/need-know-post-contrast-acute-kidney-injury-aki/"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mpg2/chapter/Recommendations" TargetMode="External" Id="rId11" /><Relationship Type="http://schemas.openxmlformats.org/officeDocument/2006/relationships/hyperlink" Target="https://www.ranzcr.com/college/document-library/iodinated-contrast-guidelines-2016?searchword=iodinated" TargetMode="External" Id="rId24" /><Relationship Type="http://schemas.openxmlformats.org/officeDocument/2006/relationships/hyperlink" Target="https://dermnetnz.org/topics/drug-hypersensitivity-syndrome"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nice.org.uk/guidance/mpg2/resources" TargetMode="External" Id="rId15" /><Relationship Type="http://schemas.openxmlformats.org/officeDocument/2006/relationships/hyperlink" Target="https://products.mhra.gov.uk/search/?search=ioversol&amp;page=1" TargetMode="External" Id="rId23" /><Relationship Type="http://schemas.openxmlformats.org/officeDocument/2006/relationships/hyperlink" Target="https://www.rpharms.com/making-a-difference/projects-and-campaigns/safe-and-secure-handling-of-medicines"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s://yellowcard.mhra.gov.uk/" TargetMode="External" Id="rId19" /><Relationship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mpg2/chapter/Recommendations" TargetMode="External" Id="rId14" /><Relationship Type="http://schemas.openxmlformats.org/officeDocument/2006/relationships/hyperlink" Target="https://www.rcr.ac.uk/news-policy/latest-updates/rcr-and-sor-statement-on-patients-who-are-breastfeeding-who-require-a-ct-or-mri-with-contrast/" TargetMode="External" Id="rId22" /><Relationship Type="http://schemas.openxmlformats.org/officeDocument/2006/relationships/hyperlink" Target="https://www.sor.org/learning-advice/professional-practice/areas-of-practice/obtaining-consent" TargetMode="External" Id="rId27" /><Relationship Type="http://schemas.openxmlformats.org/officeDocument/2006/relationships/hyperlink" Target="https://www.rcr.ac.uk/news-policy/latest-updates/rcr-and-sor-statement-on-patients-who-are-breastfeeding-who-require-a-ct-or-mri-with-contrast/" TargetMode="Externa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2025-04-23T23:00:00+00:00</PublishedDate>
    <Effectivefromdate xmlns="f161132f-3af4-47f5-b28f-8075dccddbe8">2025-01-01T00:00:00+00:00</Effectivefromdate>
    <RAGrating xmlns="f161132f-3af4-47f5-b28f-8075dccddbe8" xsi:nil="true"/>
    <ExpiryDate xmlns="f161132f-3af4-47f5-b28f-8075dccddbe8">2027-12-31T00:00:00+00:00</ExpiryDate>
    <Accessibletemplate xmlns="f161132f-3af4-47f5-b28f-8075dccddbe8">true</Accessibletemplate>
    <Cardcreated xmlns="f161132f-3af4-47f5-b28f-8075dccddbe8">
      <Url>https://digitalliverpool.sharepoint.com/sites/SPSDigital/Lists/Content%20Directory/DispForm.aspx?ID=2864</Url>
      <Description>Ioversol card</Description>
    </Cardcreated>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Props1.xml><?xml version="1.0" encoding="utf-8"?>
<ds:datastoreItem xmlns:ds="http://schemas.openxmlformats.org/officeDocument/2006/customXml" ds:itemID="{B9A96822-4CED-4C35-BE13-93E2D222DE01}"/>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NICE Administrator</dc:creator>
  <keywords/>
  <lastModifiedBy>PARKINSON, Barbara (LIVERPOOL UNIVERSITY HOSPITALS NHS FOUNDATION TRUST)</lastModifiedBy>
  <revision>34</revision>
  <lastPrinted>2017-03-27T13:58:00.0000000Z</lastPrinted>
  <dcterms:created xsi:type="dcterms:W3CDTF">2025-07-31T16:34:00.0000000Z</dcterms:created>
  <dcterms:modified xsi:type="dcterms:W3CDTF">2026-02-11T13:45:32.0409582Z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