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31" w:type="pct"/>
        <w:tblInd w:w="-176" w:type="dxa"/>
        <w:tblLayout w:type="fixed"/>
        <w:tblLook w:val="01E0" w:firstRow="1" w:lastRow="1" w:firstColumn="1" w:lastColumn="1" w:noHBand="0" w:noVBand="0"/>
      </w:tblPr>
      <w:tblGrid>
        <w:gridCol w:w="10267"/>
      </w:tblGrid>
      <w:tr w:rsidR="00D2402E" w:rsidRPr="00B47869" w14:paraId="78E41C2A" w14:textId="77777777" w:rsidTr="009B0BCE">
        <w:trPr>
          <w:trHeight w:val="192"/>
        </w:trPr>
        <w:tc>
          <w:tcPr>
            <w:tcW w:w="5000" w:type="pct"/>
            <w:tcMar>
              <w:top w:w="57" w:type="dxa"/>
              <w:bottom w:w="57" w:type="dxa"/>
            </w:tcMar>
          </w:tcPr>
          <w:p w14:paraId="3E87C02C" w14:textId="77777777" w:rsidR="00D2402E" w:rsidRPr="00B47869" w:rsidRDefault="00860B89" w:rsidP="00F81A28">
            <w:pPr>
              <w:jc w:val="right"/>
              <w:rPr>
                <w:rFonts w:cs="Arial"/>
                <w:b/>
                <w:bCs/>
                <w:iCs/>
                <w:color w:val="0070C0"/>
                <w:sz w:val="15"/>
                <w:szCs w:val="15"/>
              </w:rPr>
            </w:pPr>
            <w:r w:rsidRPr="00B47869">
              <w:rPr>
                <w:rFonts w:cs="Arial"/>
                <w:b/>
                <w:bCs/>
                <w:iCs/>
                <w:color w:val="333399"/>
                <w:sz w:val="15"/>
                <w:szCs w:val="15"/>
              </w:rPr>
              <w:t xml:space="preserve">  </w:t>
            </w:r>
            <w:r w:rsidR="00A3053B" w:rsidRPr="00B47869">
              <w:rPr>
                <w:rFonts w:cs="Arial"/>
                <w:b/>
                <w:bCs/>
                <w:iCs/>
                <w:color w:val="333399"/>
                <w:sz w:val="15"/>
                <w:szCs w:val="15"/>
              </w:rPr>
              <w:t xml:space="preserve"> </w:t>
            </w:r>
            <w:r w:rsidR="00AB34E3" w:rsidRPr="00B47869">
              <w:rPr>
                <w:rFonts w:cs="Arial"/>
                <w:b/>
                <w:bCs/>
                <w:iCs/>
                <w:color w:val="333399"/>
                <w:sz w:val="15"/>
                <w:szCs w:val="15"/>
              </w:rPr>
              <w:t xml:space="preserve"> </w:t>
            </w:r>
            <w:r w:rsidR="009C539A" w:rsidRPr="00B47869">
              <w:rPr>
                <w:rFonts w:cs="Arial"/>
                <w:b/>
                <w:bCs/>
                <w:iCs/>
                <w:color w:val="333399"/>
                <w:sz w:val="15"/>
                <w:szCs w:val="15"/>
              </w:rPr>
              <w:t xml:space="preserve"> </w:t>
            </w:r>
            <w:hyperlink r:id="rId11" w:tgtFrame="_blank" w:history="1">
              <w:r w:rsidR="00F81A28" w:rsidRPr="00B47869">
                <w:rPr>
                  <w:rStyle w:val="Hyperlink"/>
                  <w:rFonts w:ascii="Arial" w:hAnsi="Arial" w:cs="Arial"/>
                  <w:b/>
                  <w:bCs/>
                  <w:iCs/>
                  <w:color w:val="0070C0"/>
                  <w:sz w:val="20"/>
                  <w:szCs w:val="15"/>
                </w:rPr>
                <w:t>SPS</w:t>
              </w:r>
              <w:r w:rsidR="00D2402E" w:rsidRPr="00B47869">
                <w:rPr>
                  <w:rStyle w:val="Hyperlink"/>
                  <w:rFonts w:ascii="Arial" w:hAnsi="Arial" w:cs="Arial"/>
                  <w:b/>
                  <w:bCs/>
                  <w:iCs/>
                  <w:color w:val="0070C0"/>
                  <w:sz w:val="20"/>
                  <w:szCs w:val="15"/>
                </w:rPr>
                <w:t xml:space="preserve"> home</w:t>
              </w:r>
            </w:hyperlink>
            <w:r w:rsidR="00D2402E" w:rsidRPr="00B47869">
              <w:rPr>
                <w:rFonts w:cs="Arial"/>
                <w:b/>
                <w:bCs/>
                <w:iCs/>
                <w:color w:val="0070C0"/>
                <w:sz w:val="20"/>
                <w:szCs w:val="15"/>
              </w:rPr>
              <w:t xml:space="preserve"> | </w:t>
            </w:r>
            <w:hyperlink r:id="rId12" w:history="1">
              <w:r w:rsidR="00D2402E" w:rsidRPr="00B47869">
                <w:rPr>
                  <w:rStyle w:val="Hyperlink"/>
                  <w:rFonts w:ascii="Arial" w:hAnsi="Arial" w:cs="Arial"/>
                  <w:b/>
                  <w:bCs/>
                  <w:iCs/>
                  <w:color w:val="0070C0"/>
                  <w:sz w:val="20"/>
                  <w:szCs w:val="15"/>
                </w:rPr>
                <w:t>Contact</w:t>
              </w:r>
            </w:hyperlink>
          </w:p>
        </w:tc>
      </w:tr>
    </w:tbl>
    <w:p w14:paraId="621982B3" w14:textId="77777777" w:rsidR="00B85859" w:rsidRPr="00B47869" w:rsidRDefault="00B85859" w:rsidP="00727945">
      <w:pPr>
        <w:rPr>
          <w:rFonts w:ascii="Latha" w:hAnsi="Latha" w:cs="Latha"/>
          <w:sz w:val="8"/>
          <w:szCs w:val="8"/>
        </w:rPr>
      </w:pPr>
    </w:p>
    <w:tbl>
      <w:tblPr>
        <w:tblW w:w="5170" w:type="pct"/>
        <w:tblInd w:w="-176" w:type="dxa"/>
        <w:tblLayout w:type="fixed"/>
        <w:tblLook w:val="01E0" w:firstRow="1" w:lastRow="1" w:firstColumn="1" w:lastColumn="1" w:noHBand="0" w:noVBand="0"/>
      </w:tblPr>
      <w:tblGrid>
        <w:gridCol w:w="2728"/>
        <w:gridCol w:w="7823"/>
      </w:tblGrid>
      <w:tr w:rsidR="0020101A" w:rsidRPr="00B47869" w14:paraId="355461FE" w14:textId="77777777" w:rsidTr="002772ED">
        <w:tc>
          <w:tcPr>
            <w:tcW w:w="5000" w:type="pct"/>
            <w:gridSpan w:val="2"/>
            <w:shd w:val="clear" w:color="auto" w:fill="0070C0"/>
            <w:tcMar>
              <w:top w:w="85" w:type="dxa"/>
              <w:bottom w:w="85" w:type="dxa"/>
            </w:tcMar>
            <w:vAlign w:val="bottom"/>
          </w:tcPr>
          <w:p w14:paraId="07B7E838" w14:textId="77777777" w:rsidR="0020101A" w:rsidRPr="00B47869" w:rsidRDefault="0020101A" w:rsidP="00720F9E">
            <w:pPr>
              <w:rPr>
                <w:rFonts w:cs="Arial"/>
                <w:color w:val="FFFFFF"/>
                <w:sz w:val="15"/>
                <w:szCs w:val="15"/>
              </w:rPr>
            </w:pPr>
            <w:r w:rsidRPr="00B47869">
              <w:rPr>
                <w:rFonts w:cs="Arial"/>
                <w:b/>
                <w:bCs/>
                <w:iCs/>
                <w:color w:val="FFFFFF"/>
                <w:sz w:val="28"/>
                <w:szCs w:val="28"/>
              </w:rPr>
              <w:t>New product information</w:t>
            </w:r>
            <w:r w:rsidRPr="00B47869">
              <w:rPr>
                <w:rFonts w:cs="Arial"/>
                <w:b/>
                <w:bCs/>
                <w:iCs/>
                <w:color w:val="FFFFFF"/>
                <w:sz w:val="28"/>
                <w:szCs w:val="28"/>
              </w:rPr>
              <w:tab/>
            </w:r>
          </w:p>
        </w:tc>
      </w:tr>
      <w:tr w:rsidR="0020101A" w:rsidRPr="00B47869" w14:paraId="1579D197" w14:textId="77777777" w:rsidTr="002772ED">
        <w:tc>
          <w:tcPr>
            <w:tcW w:w="5000" w:type="pct"/>
            <w:gridSpan w:val="2"/>
            <w:shd w:val="clear" w:color="auto" w:fill="DAEEF3"/>
            <w:tcMar>
              <w:top w:w="0" w:type="dxa"/>
              <w:bottom w:w="0" w:type="dxa"/>
            </w:tcMar>
          </w:tcPr>
          <w:p w14:paraId="01402937" w14:textId="77777777" w:rsidR="0020101A" w:rsidRPr="00B47869" w:rsidRDefault="0020101A" w:rsidP="00720F9E">
            <w:pPr>
              <w:rPr>
                <w:rFonts w:cs="Arial"/>
                <w:b/>
                <w:bCs/>
                <w:i/>
                <w:iCs/>
                <w:color w:val="000000"/>
                <w:sz w:val="8"/>
                <w:szCs w:val="8"/>
              </w:rPr>
            </w:pPr>
          </w:p>
        </w:tc>
      </w:tr>
      <w:tr w:rsidR="0020101A" w:rsidRPr="00B47869" w14:paraId="703C7858" w14:textId="77777777" w:rsidTr="00562CE4">
        <w:tc>
          <w:tcPr>
            <w:tcW w:w="5000" w:type="pct"/>
            <w:gridSpan w:val="2"/>
            <w:shd w:val="clear" w:color="auto" w:fill="008232"/>
            <w:tcMar>
              <w:top w:w="57" w:type="dxa"/>
              <w:bottom w:w="57" w:type="dxa"/>
            </w:tcMar>
          </w:tcPr>
          <w:p w14:paraId="7D6A4094" w14:textId="77777777" w:rsidR="0020101A" w:rsidRPr="00B47869" w:rsidRDefault="0020101A" w:rsidP="00720F9E">
            <w:pPr>
              <w:rPr>
                <w:rFonts w:cs="Arial"/>
                <w:color w:val="FFFFFF"/>
                <w:sz w:val="20"/>
                <w:szCs w:val="20"/>
              </w:rPr>
            </w:pPr>
            <w:r w:rsidRPr="00B47869">
              <w:rPr>
                <w:rFonts w:cs="Arial"/>
                <w:b/>
                <w:bCs/>
                <w:i/>
                <w:iCs/>
                <w:color w:val="FFFFFF"/>
                <w:sz w:val="22"/>
                <w:szCs w:val="20"/>
              </w:rPr>
              <w:t>Launched in the UK (or licence change for existing products)</w:t>
            </w:r>
          </w:p>
        </w:tc>
      </w:tr>
      <w:tr w:rsidR="006D4849" w:rsidRPr="00B47869" w14:paraId="5F00E355" w14:textId="77777777" w:rsidTr="000F6122">
        <w:tc>
          <w:tcPr>
            <w:tcW w:w="1293" w:type="pct"/>
            <w:tcMar>
              <w:top w:w="57" w:type="dxa"/>
              <w:left w:w="170" w:type="dxa"/>
              <w:bottom w:w="57" w:type="dxa"/>
              <w:right w:w="170" w:type="dxa"/>
            </w:tcMar>
          </w:tcPr>
          <w:p w14:paraId="3BA53CCF" w14:textId="77777777" w:rsidR="006D4849" w:rsidRPr="00B47869" w:rsidRDefault="006D4849" w:rsidP="006D4849">
            <w:pPr>
              <w:rPr>
                <w:rFonts w:cs="Arial"/>
                <w:szCs w:val="19"/>
              </w:rPr>
            </w:pPr>
            <w:proofErr w:type="spellStart"/>
            <w:r w:rsidRPr="00B47869">
              <w:rPr>
                <w:rFonts w:cs="Arial"/>
                <w:szCs w:val="19"/>
              </w:rPr>
              <w:t>Acoramidis</w:t>
            </w:r>
            <w:proofErr w:type="spellEnd"/>
            <w:r w:rsidRPr="00B47869">
              <w:rPr>
                <w:rFonts w:cs="Arial"/>
                <w:szCs w:val="19"/>
              </w:rPr>
              <w:t xml:space="preserve"> (</w:t>
            </w:r>
            <w:proofErr w:type="spellStart"/>
            <w:r w:rsidRPr="00B47869">
              <w:rPr>
                <w:rFonts w:cs="Arial"/>
                <w:i/>
                <w:iCs/>
                <w:szCs w:val="19"/>
              </w:rPr>
              <w:t>Beyonttra</w:t>
            </w:r>
            <w:proofErr w:type="spellEnd"/>
            <w:r w:rsidRPr="00B47869">
              <w:rPr>
                <w:rFonts w:cs="Arial"/>
                <w:szCs w:val="19"/>
              </w:rPr>
              <w:t>)</w:t>
            </w:r>
          </w:p>
          <w:p w14:paraId="54182F89" w14:textId="4D1A9FF3" w:rsidR="006D4849" w:rsidRPr="00B47869" w:rsidRDefault="006D4849" w:rsidP="006D4849">
            <w:pPr>
              <w:rPr>
                <w:rFonts w:cs="Arial"/>
                <w:szCs w:val="19"/>
              </w:rPr>
            </w:pPr>
            <w:r w:rsidRPr="00B47869">
              <w:rPr>
                <w:rFonts w:cs="Arial"/>
                <w:sz w:val="16"/>
                <w:szCs w:val="16"/>
              </w:rPr>
              <w:t>356mg tablet</w:t>
            </w:r>
          </w:p>
        </w:tc>
        <w:tc>
          <w:tcPr>
            <w:tcW w:w="3707" w:type="pct"/>
            <w:tcMar>
              <w:top w:w="57" w:type="dxa"/>
              <w:left w:w="170" w:type="dxa"/>
              <w:bottom w:w="57" w:type="dxa"/>
              <w:right w:w="170" w:type="dxa"/>
            </w:tcMar>
          </w:tcPr>
          <w:p w14:paraId="3EE47FA0" w14:textId="11770373" w:rsidR="006D4849" w:rsidRPr="00B47869" w:rsidRDefault="006D4849" w:rsidP="006D4849">
            <w:pPr>
              <w:tabs>
                <w:tab w:val="center" w:pos="3152"/>
              </w:tabs>
              <w:rPr>
                <w:rFonts w:cs="Arial"/>
                <w:szCs w:val="19"/>
              </w:rPr>
            </w:pPr>
            <w:r w:rsidRPr="00B47869">
              <w:rPr>
                <w:rFonts w:cs="Arial"/>
                <w:szCs w:val="19"/>
              </w:rPr>
              <w:t>Treatment of wild-type or variant transthyretin amyloidosis in adults with cardiomyopathy</w:t>
            </w:r>
          </w:p>
        </w:tc>
      </w:tr>
      <w:tr w:rsidR="006D4849" w:rsidRPr="00B47869" w14:paraId="56F78A65" w14:textId="77777777" w:rsidTr="000F6122">
        <w:tc>
          <w:tcPr>
            <w:tcW w:w="1293" w:type="pct"/>
            <w:tcMar>
              <w:top w:w="57" w:type="dxa"/>
              <w:left w:w="170" w:type="dxa"/>
              <w:bottom w:w="57" w:type="dxa"/>
              <w:right w:w="170" w:type="dxa"/>
            </w:tcMar>
          </w:tcPr>
          <w:p w14:paraId="15313025" w14:textId="77777777" w:rsidR="00A2207C" w:rsidRPr="00B47869" w:rsidRDefault="006D4849" w:rsidP="00DF7D5B">
            <w:pPr>
              <w:rPr>
                <w:rFonts w:cs="Arial"/>
                <w:szCs w:val="19"/>
              </w:rPr>
            </w:pPr>
            <w:r w:rsidRPr="00B47869">
              <w:rPr>
                <w:rFonts w:cs="Arial"/>
                <w:szCs w:val="19"/>
              </w:rPr>
              <w:t>Aflibercept biosimilar (</w:t>
            </w:r>
            <w:proofErr w:type="spellStart"/>
            <w:r w:rsidRPr="00B47869">
              <w:rPr>
                <w:rFonts w:cs="Arial"/>
                <w:i/>
                <w:iCs/>
                <w:szCs w:val="19"/>
              </w:rPr>
              <w:t>Vgenfli</w:t>
            </w:r>
            <w:proofErr w:type="spellEnd"/>
            <w:r w:rsidRPr="00B47869">
              <w:rPr>
                <w:rFonts w:cs="Arial"/>
                <w:szCs w:val="19"/>
              </w:rPr>
              <w:t>)</w:t>
            </w:r>
            <w:r w:rsidR="00DF7D5B" w:rsidRPr="00B47869">
              <w:rPr>
                <w:rFonts w:cs="Arial"/>
                <w:szCs w:val="19"/>
              </w:rPr>
              <w:t xml:space="preserve"> </w:t>
            </w:r>
          </w:p>
          <w:p w14:paraId="7C88946D" w14:textId="1FC4E887" w:rsidR="006D4849" w:rsidRPr="00B47869" w:rsidRDefault="006D4849" w:rsidP="00DF7D5B">
            <w:pPr>
              <w:rPr>
                <w:rFonts w:cs="Arial"/>
                <w:szCs w:val="19"/>
              </w:rPr>
            </w:pPr>
            <w:r w:rsidRPr="00B47869">
              <w:rPr>
                <w:rFonts w:cs="Arial"/>
                <w:sz w:val="16"/>
                <w:szCs w:val="16"/>
              </w:rPr>
              <w:t>6.6mg in 0.165mL prefilled syringe</w:t>
            </w:r>
          </w:p>
        </w:tc>
        <w:tc>
          <w:tcPr>
            <w:tcW w:w="3707" w:type="pct"/>
            <w:tcMar>
              <w:top w:w="57" w:type="dxa"/>
              <w:left w:w="170" w:type="dxa"/>
              <w:bottom w:w="57" w:type="dxa"/>
              <w:right w:w="170" w:type="dxa"/>
            </w:tcMar>
          </w:tcPr>
          <w:p w14:paraId="1EB31349" w14:textId="0D85727B" w:rsidR="006D4849" w:rsidRPr="00B47869" w:rsidRDefault="006D4849" w:rsidP="006D4849">
            <w:pPr>
              <w:tabs>
                <w:tab w:val="center" w:pos="3152"/>
              </w:tabs>
              <w:rPr>
                <w:rFonts w:cs="Arial"/>
                <w:szCs w:val="19"/>
              </w:rPr>
            </w:pPr>
            <w:r w:rsidRPr="00B47869">
              <w:rPr>
                <w:rFonts w:cs="Arial"/>
                <w:szCs w:val="19"/>
              </w:rPr>
              <w:t>Use in adults for the treatment of neovascular (wet) age-related macular degeneration, visual impairment due to macular oedema secondary to retinal vein occlusion (branch RVO or central RVO), visual impairment due to diabetic macular oedema, and visual impairment due to myopic choroidal neovascularisation</w:t>
            </w:r>
          </w:p>
        </w:tc>
      </w:tr>
      <w:tr w:rsidR="006D4849" w:rsidRPr="00B47869" w14:paraId="3F97D909" w14:textId="77777777" w:rsidTr="000F6122">
        <w:tc>
          <w:tcPr>
            <w:tcW w:w="1293" w:type="pct"/>
            <w:tcMar>
              <w:top w:w="57" w:type="dxa"/>
              <w:left w:w="170" w:type="dxa"/>
              <w:bottom w:w="57" w:type="dxa"/>
              <w:right w:w="170" w:type="dxa"/>
            </w:tcMar>
          </w:tcPr>
          <w:p w14:paraId="454E4E1B" w14:textId="10C69D79" w:rsidR="006D4849" w:rsidRPr="00B47869" w:rsidRDefault="006D4849" w:rsidP="006D4849">
            <w:pPr>
              <w:rPr>
                <w:rFonts w:cs="Arial"/>
                <w:szCs w:val="19"/>
              </w:rPr>
            </w:pPr>
            <w:r w:rsidRPr="00B47869">
              <w:rPr>
                <w:rFonts w:cs="Arial"/>
                <w:szCs w:val="19"/>
              </w:rPr>
              <w:t>Aflibercept biosimilar (</w:t>
            </w:r>
            <w:proofErr w:type="spellStart"/>
            <w:r w:rsidRPr="00B47869">
              <w:rPr>
                <w:rFonts w:cs="Arial"/>
                <w:i/>
                <w:iCs/>
                <w:szCs w:val="19"/>
              </w:rPr>
              <w:t>Yesafili</w:t>
            </w:r>
            <w:proofErr w:type="spellEnd"/>
            <w:r w:rsidRPr="00B47869">
              <w:rPr>
                <w:rFonts w:cs="Arial"/>
                <w:szCs w:val="19"/>
              </w:rPr>
              <w:t>)</w:t>
            </w:r>
          </w:p>
          <w:p w14:paraId="7ACA3307" w14:textId="46E4CFB0" w:rsidR="006D4849" w:rsidRPr="00B47869" w:rsidRDefault="006D4849" w:rsidP="006D4849">
            <w:pPr>
              <w:rPr>
                <w:rFonts w:cs="Arial"/>
                <w:szCs w:val="19"/>
              </w:rPr>
            </w:pPr>
            <w:r w:rsidRPr="00B47869">
              <w:rPr>
                <w:rFonts w:cs="Arial"/>
                <w:sz w:val="16"/>
                <w:szCs w:val="16"/>
              </w:rPr>
              <w:t>3.6mg in 0.09mL prefilled syringe</w:t>
            </w:r>
          </w:p>
        </w:tc>
        <w:tc>
          <w:tcPr>
            <w:tcW w:w="3707" w:type="pct"/>
            <w:tcMar>
              <w:top w:w="57" w:type="dxa"/>
              <w:left w:w="170" w:type="dxa"/>
              <w:bottom w:w="57" w:type="dxa"/>
              <w:right w:w="170" w:type="dxa"/>
            </w:tcMar>
          </w:tcPr>
          <w:p w14:paraId="3A1480A4" w14:textId="62F086EC" w:rsidR="006D4849" w:rsidRPr="00B47869" w:rsidRDefault="006D4849" w:rsidP="006D4849">
            <w:pPr>
              <w:tabs>
                <w:tab w:val="center" w:pos="3152"/>
              </w:tabs>
              <w:rPr>
                <w:rFonts w:cs="Arial"/>
                <w:szCs w:val="19"/>
              </w:rPr>
            </w:pPr>
            <w:r w:rsidRPr="00B47869">
              <w:rPr>
                <w:rFonts w:cs="Arial"/>
                <w:szCs w:val="19"/>
              </w:rPr>
              <w:t>Treatment of adults with neovascular (wet) age-related macular degeneration, visual impairment due to macular oedema secondary to retinal vein occlusion (branch RVO or central RVO), visual impairment due to diabetic macular oedema and visual impairment due to myopic choroidal neovascularisation</w:t>
            </w:r>
          </w:p>
        </w:tc>
      </w:tr>
      <w:tr w:rsidR="006D4849" w:rsidRPr="00B47869" w14:paraId="409C9A58" w14:textId="77777777" w:rsidTr="000F6122">
        <w:tc>
          <w:tcPr>
            <w:tcW w:w="1293" w:type="pct"/>
            <w:tcMar>
              <w:top w:w="57" w:type="dxa"/>
              <w:left w:w="170" w:type="dxa"/>
              <w:bottom w:w="57" w:type="dxa"/>
              <w:right w:w="170" w:type="dxa"/>
            </w:tcMar>
          </w:tcPr>
          <w:p w14:paraId="6C10CFE2" w14:textId="25C0D53B" w:rsidR="006D4849" w:rsidRPr="00B47869" w:rsidRDefault="006D4849" w:rsidP="006D4849">
            <w:pPr>
              <w:rPr>
                <w:rFonts w:cs="Arial"/>
                <w:szCs w:val="19"/>
              </w:rPr>
            </w:pPr>
            <w:r w:rsidRPr="00B47869">
              <w:rPr>
                <w:rFonts w:cs="Arial"/>
                <w:szCs w:val="19"/>
              </w:rPr>
              <w:t>Bedaquiline (</w:t>
            </w:r>
            <w:proofErr w:type="spellStart"/>
            <w:r w:rsidRPr="00B47869">
              <w:rPr>
                <w:rFonts w:cs="Arial"/>
                <w:i/>
                <w:iCs/>
                <w:szCs w:val="19"/>
              </w:rPr>
              <w:t>Sirturo</w:t>
            </w:r>
            <w:proofErr w:type="spellEnd"/>
            <w:r w:rsidRPr="00B47869">
              <w:rPr>
                <w:rFonts w:cs="Arial"/>
                <w:szCs w:val="19"/>
              </w:rPr>
              <w:t>)</w:t>
            </w:r>
          </w:p>
          <w:p w14:paraId="5AE1B2E4" w14:textId="0790B2F1" w:rsidR="006D4849" w:rsidRPr="00B47869" w:rsidRDefault="006D4849" w:rsidP="006D4849">
            <w:pPr>
              <w:rPr>
                <w:rFonts w:cs="Arial"/>
                <w:sz w:val="16"/>
                <w:szCs w:val="16"/>
              </w:rPr>
            </w:pPr>
            <w:r w:rsidRPr="00B47869">
              <w:rPr>
                <w:rFonts w:cs="Arial"/>
                <w:sz w:val="16"/>
                <w:szCs w:val="16"/>
              </w:rPr>
              <w:t>20mg and 100mg tablets</w:t>
            </w:r>
          </w:p>
        </w:tc>
        <w:tc>
          <w:tcPr>
            <w:tcW w:w="3707" w:type="pct"/>
            <w:tcMar>
              <w:top w:w="57" w:type="dxa"/>
              <w:left w:w="170" w:type="dxa"/>
              <w:bottom w:w="57" w:type="dxa"/>
              <w:right w:w="170" w:type="dxa"/>
            </w:tcMar>
          </w:tcPr>
          <w:p w14:paraId="1182C8A0" w14:textId="383A517B" w:rsidR="00A2207C" w:rsidRPr="00B47869" w:rsidRDefault="006D4849" w:rsidP="006D4849">
            <w:pPr>
              <w:tabs>
                <w:tab w:val="center" w:pos="3152"/>
              </w:tabs>
              <w:rPr>
                <w:rFonts w:cs="Arial"/>
                <w:szCs w:val="19"/>
              </w:rPr>
            </w:pPr>
            <w:r w:rsidRPr="00B47869">
              <w:rPr>
                <w:rFonts w:cs="Arial"/>
                <w:szCs w:val="19"/>
              </w:rPr>
              <w:t xml:space="preserve">Use as part of an appropriate combination regimen in adult and paediatric patients (aged 2 years to less than 18 years and weighing at least 7kg) with pulmonary tuberculosis due to </w:t>
            </w:r>
            <w:r w:rsidRPr="00B47869">
              <w:rPr>
                <w:rFonts w:cs="Arial"/>
                <w:i/>
                <w:iCs/>
                <w:szCs w:val="19"/>
              </w:rPr>
              <w:t>Mycobacterium tuberculosis</w:t>
            </w:r>
            <w:r w:rsidRPr="00B47869">
              <w:rPr>
                <w:rFonts w:cs="Arial"/>
                <w:szCs w:val="19"/>
              </w:rPr>
              <w:t xml:space="preserve"> resistant to at least rifampicin and isoniazid </w:t>
            </w:r>
          </w:p>
          <w:p w14:paraId="1F98B676" w14:textId="1A60E01F" w:rsidR="006D4849" w:rsidRPr="00B47869" w:rsidRDefault="006D4849" w:rsidP="006D4849">
            <w:pPr>
              <w:tabs>
                <w:tab w:val="center" w:pos="3152"/>
              </w:tabs>
              <w:rPr>
                <w:rFonts w:cs="Arial"/>
                <w:szCs w:val="19"/>
              </w:rPr>
            </w:pPr>
            <w:r w:rsidRPr="00B47869">
              <w:rPr>
                <w:rFonts w:cs="Arial"/>
                <w:sz w:val="16"/>
                <w:szCs w:val="16"/>
              </w:rPr>
              <w:t>[licence change from use only from age 5 years and weighing at least 15kg]</w:t>
            </w:r>
          </w:p>
        </w:tc>
      </w:tr>
      <w:tr w:rsidR="006D4849" w:rsidRPr="00B47869" w14:paraId="6DC94929" w14:textId="77777777" w:rsidTr="000F6122">
        <w:tc>
          <w:tcPr>
            <w:tcW w:w="1293" w:type="pct"/>
            <w:tcMar>
              <w:top w:w="57" w:type="dxa"/>
              <w:left w:w="170" w:type="dxa"/>
              <w:bottom w:w="57" w:type="dxa"/>
              <w:right w:w="170" w:type="dxa"/>
            </w:tcMar>
          </w:tcPr>
          <w:p w14:paraId="7643DC4B" w14:textId="77777777" w:rsidR="006D4849" w:rsidRPr="00B47869" w:rsidRDefault="006D4849" w:rsidP="006D4849">
            <w:pPr>
              <w:rPr>
                <w:rFonts w:cs="Arial"/>
                <w:szCs w:val="19"/>
              </w:rPr>
            </w:pPr>
            <w:r w:rsidRPr="00B47869">
              <w:rPr>
                <w:rFonts w:cs="Arial"/>
                <w:szCs w:val="19"/>
              </w:rPr>
              <w:t>Canagliflozin (</w:t>
            </w:r>
            <w:r w:rsidRPr="00B47869">
              <w:rPr>
                <w:rFonts w:cs="Arial"/>
                <w:i/>
                <w:iCs/>
                <w:szCs w:val="19"/>
              </w:rPr>
              <w:t>Invokana</w:t>
            </w:r>
            <w:r w:rsidRPr="00B47869">
              <w:rPr>
                <w:rFonts w:cs="Arial"/>
                <w:szCs w:val="19"/>
              </w:rPr>
              <w:t>)</w:t>
            </w:r>
          </w:p>
          <w:p w14:paraId="6D620ED8" w14:textId="149FD658" w:rsidR="006D4849" w:rsidRPr="00B47869" w:rsidRDefault="006D4849" w:rsidP="006D4849">
            <w:pPr>
              <w:rPr>
                <w:rFonts w:cs="Arial"/>
                <w:sz w:val="16"/>
                <w:szCs w:val="16"/>
              </w:rPr>
            </w:pPr>
            <w:r w:rsidRPr="00B47869">
              <w:rPr>
                <w:rFonts w:cs="Arial"/>
                <w:sz w:val="16"/>
                <w:szCs w:val="16"/>
              </w:rPr>
              <w:t>100mg and 300mg tablets</w:t>
            </w:r>
          </w:p>
        </w:tc>
        <w:tc>
          <w:tcPr>
            <w:tcW w:w="3707" w:type="pct"/>
            <w:tcMar>
              <w:top w:w="57" w:type="dxa"/>
              <w:left w:w="170" w:type="dxa"/>
              <w:bottom w:w="57" w:type="dxa"/>
              <w:right w:w="170" w:type="dxa"/>
            </w:tcMar>
          </w:tcPr>
          <w:p w14:paraId="73BFBF0C" w14:textId="77777777" w:rsidR="00661430" w:rsidRPr="00B47869" w:rsidRDefault="006D4849" w:rsidP="00661430">
            <w:pPr>
              <w:tabs>
                <w:tab w:val="center" w:pos="3152"/>
              </w:tabs>
              <w:rPr>
                <w:rFonts w:cs="Arial"/>
                <w:szCs w:val="19"/>
              </w:rPr>
            </w:pPr>
            <w:r w:rsidRPr="00B47869">
              <w:rPr>
                <w:rFonts w:cs="Arial"/>
                <w:szCs w:val="19"/>
              </w:rPr>
              <w:t xml:space="preserve">Treatment of adults and children aged 10 years and older with insufficiently controlled type 2 diabetes mellitus as an adjunct to diet and exercise, as monotherapy when metformin is considered inappropriate due to intolerance or contraindications, and in addition to other medicinal products for the treatment of diabetes </w:t>
            </w:r>
          </w:p>
          <w:p w14:paraId="65E06D2D" w14:textId="647B92E8" w:rsidR="006D4849" w:rsidRPr="00B47869" w:rsidRDefault="006D4849" w:rsidP="00661430">
            <w:pPr>
              <w:tabs>
                <w:tab w:val="center" w:pos="3152"/>
              </w:tabs>
              <w:rPr>
                <w:rFonts w:cs="Arial"/>
                <w:szCs w:val="19"/>
              </w:rPr>
            </w:pPr>
            <w:r w:rsidRPr="00B47869">
              <w:rPr>
                <w:rFonts w:cs="Arial"/>
                <w:sz w:val="16"/>
                <w:szCs w:val="16"/>
              </w:rPr>
              <w:t>[licence change from use only in adults]</w:t>
            </w:r>
          </w:p>
        </w:tc>
      </w:tr>
      <w:tr w:rsidR="006D4849" w:rsidRPr="00B47869" w14:paraId="1B079217" w14:textId="77777777" w:rsidTr="000F6122">
        <w:tc>
          <w:tcPr>
            <w:tcW w:w="1293" w:type="pct"/>
            <w:tcMar>
              <w:top w:w="57" w:type="dxa"/>
              <w:left w:w="170" w:type="dxa"/>
              <w:bottom w:w="57" w:type="dxa"/>
              <w:right w:w="170" w:type="dxa"/>
            </w:tcMar>
          </w:tcPr>
          <w:p w14:paraId="485CE384" w14:textId="77777777" w:rsidR="006D4849" w:rsidRPr="00B47869" w:rsidRDefault="006D4849" w:rsidP="006D4849">
            <w:pPr>
              <w:rPr>
                <w:rFonts w:cs="Arial"/>
                <w:szCs w:val="19"/>
              </w:rPr>
            </w:pPr>
            <w:r w:rsidRPr="00B47869">
              <w:rPr>
                <w:rFonts w:cs="Arial"/>
                <w:szCs w:val="19"/>
              </w:rPr>
              <w:t>Ciclosporin (</w:t>
            </w:r>
            <w:proofErr w:type="spellStart"/>
            <w:r w:rsidRPr="00B47869">
              <w:rPr>
                <w:rFonts w:cs="Arial"/>
                <w:i/>
                <w:iCs/>
                <w:szCs w:val="19"/>
              </w:rPr>
              <w:t>Vevizye</w:t>
            </w:r>
            <w:proofErr w:type="spellEnd"/>
            <w:r w:rsidRPr="00B47869">
              <w:rPr>
                <w:rFonts w:cs="Arial"/>
                <w:szCs w:val="19"/>
              </w:rPr>
              <w:t>)</w:t>
            </w:r>
          </w:p>
          <w:p w14:paraId="0557F01B" w14:textId="2E911B7E" w:rsidR="006D4849" w:rsidRPr="00B47869" w:rsidRDefault="006D4849" w:rsidP="006D4849">
            <w:pPr>
              <w:rPr>
                <w:rFonts w:cs="Arial"/>
                <w:szCs w:val="19"/>
              </w:rPr>
            </w:pPr>
            <w:r w:rsidRPr="00B47869">
              <w:rPr>
                <w:rFonts w:cs="Arial"/>
                <w:sz w:val="16"/>
                <w:szCs w:val="16"/>
              </w:rPr>
              <w:t>1mg in 1mL eye drops</w:t>
            </w:r>
          </w:p>
        </w:tc>
        <w:tc>
          <w:tcPr>
            <w:tcW w:w="3707" w:type="pct"/>
            <w:tcMar>
              <w:top w:w="57" w:type="dxa"/>
              <w:left w:w="170" w:type="dxa"/>
              <w:bottom w:w="57" w:type="dxa"/>
              <w:right w:w="170" w:type="dxa"/>
            </w:tcMar>
          </w:tcPr>
          <w:p w14:paraId="19A2F116" w14:textId="2907EA48" w:rsidR="006D4849" w:rsidRPr="00B47869" w:rsidRDefault="006D4849" w:rsidP="00A2207C">
            <w:pPr>
              <w:tabs>
                <w:tab w:val="center" w:pos="3152"/>
              </w:tabs>
              <w:rPr>
                <w:rFonts w:cs="Arial"/>
                <w:szCs w:val="19"/>
              </w:rPr>
            </w:pPr>
            <w:r w:rsidRPr="00B47869">
              <w:rPr>
                <w:rFonts w:cs="Arial"/>
                <w:szCs w:val="19"/>
              </w:rPr>
              <w:t xml:space="preserve">Treatment of moderate to severe dry eye disease (keratoconjunctivitis sicca) in adults, which has not improved despite treatment with tear substitutes </w:t>
            </w:r>
            <w:r w:rsidRPr="00B47869">
              <w:rPr>
                <w:rFonts w:cs="Arial"/>
                <w:sz w:val="16"/>
                <w:szCs w:val="16"/>
              </w:rPr>
              <w:t>[new formulation]</w:t>
            </w:r>
          </w:p>
        </w:tc>
      </w:tr>
      <w:tr w:rsidR="00696BC5" w:rsidRPr="00B47869" w14:paraId="3E7933AE" w14:textId="77777777" w:rsidTr="000F6122">
        <w:tc>
          <w:tcPr>
            <w:tcW w:w="1293" w:type="pct"/>
            <w:tcMar>
              <w:top w:w="57" w:type="dxa"/>
              <w:left w:w="170" w:type="dxa"/>
              <w:bottom w:w="57" w:type="dxa"/>
              <w:right w:w="170" w:type="dxa"/>
            </w:tcMar>
          </w:tcPr>
          <w:p w14:paraId="772BC82C" w14:textId="77777777" w:rsidR="00696BC5" w:rsidRPr="00B47869" w:rsidRDefault="00696BC5" w:rsidP="00696BC5">
            <w:pPr>
              <w:rPr>
                <w:rFonts w:cs="Arial"/>
                <w:szCs w:val="19"/>
              </w:rPr>
            </w:pPr>
            <w:r w:rsidRPr="00B47869">
              <w:rPr>
                <w:rFonts w:cs="Arial"/>
                <w:szCs w:val="19"/>
              </w:rPr>
              <w:t>Denosumab biosimilar (</w:t>
            </w:r>
            <w:proofErr w:type="spellStart"/>
            <w:r w:rsidRPr="00B47869">
              <w:rPr>
                <w:rFonts w:cs="Arial"/>
                <w:i/>
                <w:iCs/>
                <w:szCs w:val="19"/>
              </w:rPr>
              <w:t>Denbrayce</w:t>
            </w:r>
            <w:proofErr w:type="spellEnd"/>
            <w:r w:rsidRPr="00B47869">
              <w:rPr>
                <w:rFonts w:cs="Arial"/>
                <w:szCs w:val="19"/>
              </w:rPr>
              <w:t>)</w:t>
            </w:r>
          </w:p>
          <w:p w14:paraId="52D9F4C4" w14:textId="65AB32B3" w:rsidR="00696BC5" w:rsidRPr="00B47869" w:rsidRDefault="00696BC5" w:rsidP="00696BC5">
            <w:pPr>
              <w:rPr>
                <w:rFonts w:cs="Arial"/>
                <w:szCs w:val="19"/>
              </w:rPr>
            </w:pPr>
            <w:r w:rsidRPr="00B47869">
              <w:rPr>
                <w:rFonts w:cs="Arial"/>
                <w:sz w:val="16"/>
                <w:szCs w:val="16"/>
              </w:rPr>
              <w:t>120mg in 1.7mL vial</w:t>
            </w:r>
          </w:p>
        </w:tc>
        <w:tc>
          <w:tcPr>
            <w:tcW w:w="3707" w:type="pct"/>
            <w:tcMar>
              <w:top w:w="57" w:type="dxa"/>
              <w:left w:w="170" w:type="dxa"/>
              <w:bottom w:w="57" w:type="dxa"/>
              <w:right w:w="170" w:type="dxa"/>
            </w:tcMar>
          </w:tcPr>
          <w:p w14:paraId="0E8FD208" w14:textId="73C4DA76" w:rsidR="00696BC5" w:rsidRPr="00B47869" w:rsidRDefault="00696BC5" w:rsidP="00696BC5">
            <w:pPr>
              <w:tabs>
                <w:tab w:val="center" w:pos="3152"/>
              </w:tabs>
              <w:rPr>
                <w:rFonts w:cs="Arial"/>
                <w:bCs/>
                <w:szCs w:val="19"/>
              </w:rPr>
            </w:pPr>
            <w:r w:rsidRPr="00B47869">
              <w:rPr>
                <w:rFonts w:cs="Arial"/>
                <w:szCs w:val="19"/>
              </w:rPr>
              <w:t>Prevention of skeletal related events (pathological fracture, radiation to bone, spinal cord compression or surgery to bone) in adults with advanced malignancies involving bone, and treatment of adults and skeletally mature adolescents with giant cell tumour of bone that is unresectable or where surgical resection is likely to result in severe morbidity</w:t>
            </w:r>
          </w:p>
        </w:tc>
      </w:tr>
      <w:tr w:rsidR="007371D8" w:rsidRPr="00B47869" w14:paraId="5C05E133" w14:textId="77777777" w:rsidTr="000F6122">
        <w:tc>
          <w:tcPr>
            <w:tcW w:w="1293" w:type="pct"/>
            <w:tcMar>
              <w:top w:w="57" w:type="dxa"/>
              <w:left w:w="170" w:type="dxa"/>
              <w:bottom w:w="57" w:type="dxa"/>
              <w:right w:w="170" w:type="dxa"/>
            </w:tcMar>
          </w:tcPr>
          <w:p w14:paraId="2D30C9C9" w14:textId="77777777" w:rsidR="007371D8" w:rsidRPr="00B47869" w:rsidRDefault="007371D8" w:rsidP="007371D8">
            <w:pPr>
              <w:rPr>
                <w:rFonts w:cs="Arial"/>
                <w:szCs w:val="19"/>
              </w:rPr>
            </w:pPr>
            <w:r w:rsidRPr="00B47869">
              <w:rPr>
                <w:rFonts w:cs="Arial"/>
                <w:szCs w:val="19"/>
              </w:rPr>
              <w:t>Denosumab biosimilar (</w:t>
            </w:r>
            <w:proofErr w:type="spellStart"/>
            <w:r w:rsidRPr="00B47869">
              <w:rPr>
                <w:rFonts w:cs="Arial"/>
                <w:i/>
                <w:iCs/>
                <w:szCs w:val="19"/>
              </w:rPr>
              <w:t>Izamby</w:t>
            </w:r>
            <w:proofErr w:type="spellEnd"/>
            <w:r w:rsidRPr="00B47869">
              <w:rPr>
                <w:rFonts w:cs="Arial"/>
                <w:szCs w:val="19"/>
              </w:rPr>
              <w:t>)</w:t>
            </w:r>
          </w:p>
          <w:p w14:paraId="23A51143" w14:textId="43BA01AE" w:rsidR="007371D8" w:rsidRPr="00B47869" w:rsidRDefault="007371D8" w:rsidP="007371D8">
            <w:pPr>
              <w:rPr>
                <w:rFonts w:cs="Arial"/>
                <w:color w:val="000000" w:themeColor="text1"/>
                <w:szCs w:val="19"/>
              </w:rPr>
            </w:pPr>
            <w:r w:rsidRPr="00B47869">
              <w:rPr>
                <w:rFonts w:cs="Arial"/>
                <w:sz w:val="16"/>
                <w:szCs w:val="16"/>
              </w:rPr>
              <w:t>60mg in 1mL prefilled syringe</w:t>
            </w:r>
          </w:p>
        </w:tc>
        <w:tc>
          <w:tcPr>
            <w:tcW w:w="3707" w:type="pct"/>
            <w:tcMar>
              <w:top w:w="57" w:type="dxa"/>
              <w:left w:w="170" w:type="dxa"/>
              <w:bottom w:w="57" w:type="dxa"/>
              <w:right w:w="170" w:type="dxa"/>
            </w:tcMar>
          </w:tcPr>
          <w:p w14:paraId="0E93ED5E" w14:textId="51DF4BFF" w:rsidR="007371D8" w:rsidRPr="00B47869" w:rsidRDefault="007371D8" w:rsidP="007371D8">
            <w:pPr>
              <w:tabs>
                <w:tab w:val="center" w:pos="3152"/>
              </w:tabs>
              <w:rPr>
                <w:rFonts w:cs="Arial"/>
                <w:szCs w:val="19"/>
              </w:rPr>
            </w:pPr>
            <w:r w:rsidRPr="00B47869">
              <w:rPr>
                <w:rFonts w:cs="Arial"/>
                <w:szCs w:val="19"/>
              </w:rPr>
              <w:t>Treatment of osteoporosis in postmenopausal women and in men at increased risk of fractures, treatment of bone loss associated with hormone ablation in men with prostate cancer at increased risk of fractures, and treatment of bone loss associated with long-term systemic glucocorticoid therapy in adults at increased risk of fracture</w:t>
            </w:r>
          </w:p>
        </w:tc>
      </w:tr>
      <w:tr w:rsidR="007371D8" w:rsidRPr="00B47869" w14:paraId="463B8670" w14:textId="77777777" w:rsidTr="000F6122">
        <w:tc>
          <w:tcPr>
            <w:tcW w:w="1293" w:type="pct"/>
            <w:tcMar>
              <w:top w:w="57" w:type="dxa"/>
              <w:left w:w="170" w:type="dxa"/>
              <w:bottom w:w="57" w:type="dxa"/>
              <w:right w:w="170" w:type="dxa"/>
            </w:tcMar>
          </w:tcPr>
          <w:p w14:paraId="4A4AC335" w14:textId="77777777" w:rsidR="007371D8" w:rsidRPr="00B47869" w:rsidRDefault="007371D8" w:rsidP="007371D8">
            <w:pPr>
              <w:rPr>
                <w:rFonts w:cs="Arial"/>
                <w:color w:val="000000" w:themeColor="text1"/>
                <w:szCs w:val="19"/>
              </w:rPr>
            </w:pPr>
            <w:r w:rsidRPr="00B47869">
              <w:rPr>
                <w:rFonts w:cs="Arial"/>
                <w:color w:val="000000" w:themeColor="text1"/>
                <w:szCs w:val="19"/>
              </w:rPr>
              <w:t>Denosumab biosimilar (</w:t>
            </w:r>
            <w:proofErr w:type="spellStart"/>
            <w:r w:rsidRPr="00B47869">
              <w:rPr>
                <w:rFonts w:cs="Arial"/>
                <w:i/>
                <w:iCs/>
                <w:color w:val="000000" w:themeColor="text1"/>
                <w:szCs w:val="19"/>
              </w:rPr>
              <w:t>Jubereq</w:t>
            </w:r>
            <w:proofErr w:type="spellEnd"/>
            <w:r w:rsidRPr="00B47869">
              <w:rPr>
                <w:rFonts w:cs="Arial"/>
                <w:color w:val="000000" w:themeColor="text1"/>
                <w:szCs w:val="19"/>
              </w:rPr>
              <w:t>)</w:t>
            </w:r>
          </w:p>
          <w:p w14:paraId="4AC06B95" w14:textId="312F9D60" w:rsidR="007371D8" w:rsidRPr="00B47869" w:rsidRDefault="007371D8" w:rsidP="007371D8">
            <w:pPr>
              <w:rPr>
                <w:rFonts w:cs="Arial"/>
                <w:szCs w:val="19"/>
              </w:rPr>
            </w:pPr>
            <w:r w:rsidRPr="00B47869">
              <w:rPr>
                <w:rFonts w:cs="Arial"/>
                <w:color w:val="000000" w:themeColor="text1"/>
                <w:sz w:val="16"/>
                <w:szCs w:val="16"/>
              </w:rPr>
              <w:t>120mg in 1.7mL vial</w:t>
            </w:r>
          </w:p>
        </w:tc>
        <w:tc>
          <w:tcPr>
            <w:tcW w:w="3707" w:type="pct"/>
            <w:tcMar>
              <w:top w:w="57" w:type="dxa"/>
              <w:left w:w="170" w:type="dxa"/>
              <w:bottom w:w="57" w:type="dxa"/>
              <w:right w:w="170" w:type="dxa"/>
            </w:tcMar>
          </w:tcPr>
          <w:p w14:paraId="52EC1702" w14:textId="637A7A9B" w:rsidR="007371D8" w:rsidRPr="00B47869" w:rsidRDefault="007371D8" w:rsidP="007371D8">
            <w:pPr>
              <w:tabs>
                <w:tab w:val="center" w:pos="3152"/>
              </w:tabs>
              <w:rPr>
                <w:rFonts w:cs="Arial"/>
                <w:szCs w:val="19"/>
              </w:rPr>
            </w:pPr>
            <w:r w:rsidRPr="00B47869">
              <w:rPr>
                <w:rFonts w:cs="Arial"/>
                <w:szCs w:val="19"/>
              </w:rPr>
              <w:t>Prevention of skeletal related events (pathological fracture, radiation to bone, spinal cord compression or surgery to bone) in adults with advanced malignancies involving bone, and treatment of adults and skeletally mature adolescents with giant cell tumour of bone that is unresectable or where surgical resection is likely to result in severe morbidity</w:t>
            </w:r>
          </w:p>
        </w:tc>
      </w:tr>
      <w:tr w:rsidR="007371D8" w:rsidRPr="00B47869" w14:paraId="041AE9DB" w14:textId="77777777" w:rsidTr="000F6122">
        <w:tc>
          <w:tcPr>
            <w:tcW w:w="1293" w:type="pct"/>
            <w:tcMar>
              <w:top w:w="57" w:type="dxa"/>
              <w:left w:w="170" w:type="dxa"/>
              <w:bottom w:w="57" w:type="dxa"/>
              <w:right w:w="170" w:type="dxa"/>
            </w:tcMar>
          </w:tcPr>
          <w:p w14:paraId="6CBE694B" w14:textId="77777777" w:rsidR="007371D8" w:rsidRPr="00B47869" w:rsidRDefault="007371D8" w:rsidP="007371D8">
            <w:pPr>
              <w:rPr>
                <w:rFonts w:cs="Arial"/>
                <w:szCs w:val="19"/>
              </w:rPr>
            </w:pPr>
            <w:r w:rsidRPr="00B47869">
              <w:rPr>
                <w:rFonts w:cs="Arial"/>
                <w:szCs w:val="19"/>
              </w:rPr>
              <w:t>Denosumab biosimilar (</w:t>
            </w:r>
            <w:proofErr w:type="spellStart"/>
            <w:r w:rsidRPr="00B47869">
              <w:rPr>
                <w:rFonts w:cs="Arial"/>
                <w:i/>
                <w:iCs/>
                <w:szCs w:val="19"/>
              </w:rPr>
              <w:t>Obodence</w:t>
            </w:r>
            <w:proofErr w:type="spellEnd"/>
            <w:r w:rsidRPr="00B47869">
              <w:rPr>
                <w:rFonts w:cs="Arial"/>
                <w:szCs w:val="19"/>
              </w:rPr>
              <w:t>)</w:t>
            </w:r>
          </w:p>
          <w:p w14:paraId="2986DBCE" w14:textId="5FDA4C0B" w:rsidR="007371D8" w:rsidRPr="00B47869" w:rsidRDefault="007371D8" w:rsidP="007371D8">
            <w:pPr>
              <w:rPr>
                <w:rFonts w:cs="Arial"/>
                <w:szCs w:val="19"/>
              </w:rPr>
            </w:pPr>
            <w:r w:rsidRPr="00B47869">
              <w:rPr>
                <w:rFonts w:cs="Arial"/>
                <w:sz w:val="16"/>
                <w:szCs w:val="16"/>
              </w:rPr>
              <w:t>60mg in 1mL prefilled syringe</w:t>
            </w:r>
          </w:p>
        </w:tc>
        <w:tc>
          <w:tcPr>
            <w:tcW w:w="3707" w:type="pct"/>
            <w:tcMar>
              <w:top w:w="57" w:type="dxa"/>
              <w:left w:w="170" w:type="dxa"/>
              <w:bottom w:w="57" w:type="dxa"/>
              <w:right w:w="170" w:type="dxa"/>
            </w:tcMar>
          </w:tcPr>
          <w:p w14:paraId="35AB34F2" w14:textId="398A12DC" w:rsidR="007371D8" w:rsidRPr="00B47869" w:rsidRDefault="007371D8" w:rsidP="007371D8">
            <w:pPr>
              <w:tabs>
                <w:tab w:val="center" w:pos="3152"/>
              </w:tabs>
              <w:rPr>
                <w:rFonts w:cs="Arial"/>
                <w:sz w:val="18"/>
                <w:szCs w:val="18"/>
              </w:rPr>
            </w:pPr>
            <w:r w:rsidRPr="00B47869">
              <w:rPr>
                <w:rFonts w:cs="Arial"/>
                <w:szCs w:val="19"/>
              </w:rPr>
              <w:t>Treatment of osteoporosis in postmenopausal women and in men at increased risk of fractures, treatment of bone loss associated with hormone ablation in men with prostate cancer at increased risk of fractures, and treatment of bone loss associated with long-term systemic glucocorticoid therapy in adults at increased risk of fracture</w:t>
            </w:r>
          </w:p>
        </w:tc>
      </w:tr>
      <w:tr w:rsidR="007371D8" w:rsidRPr="00B47869" w14:paraId="3D173C2F" w14:textId="77777777" w:rsidTr="002772ED">
        <w:tc>
          <w:tcPr>
            <w:tcW w:w="5000" w:type="pct"/>
            <w:gridSpan w:val="2"/>
            <w:tcMar>
              <w:top w:w="0" w:type="dxa"/>
              <w:bottom w:w="0" w:type="dxa"/>
            </w:tcMar>
          </w:tcPr>
          <w:p w14:paraId="4B66AD68" w14:textId="77777777" w:rsidR="007371D8" w:rsidRPr="00B47869" w:rsidRDefault="007371D8" w:rsidP="007371D8">
            <w:pPr>
              <w:rPr>
                <w:rFonts w:cs="Arial"/>
                <w:b/>
                <w:sz w:val="8"/>
                <w:szCs w:val="8"/>
              </w:rPr>
            </w:pPr>
          </w:p>
        </w:tc>
      </w:tr>
      <w:tr w:rsidR="007371D8" w:rsidRPr="00B47869" w14:paraId="45B24ADD" w14:textId="77777777" w:rsidTr="002772ED">
        <w:tc>
          <w:tcPr>
            <w:tcW w:w="5000" w:type="pct"/>
            <w:gridSpan w:val="2"/>
            <w:shd w:val="clear" w:color="auto" w:fill="DAEEF3"/>
            <w:tcMar>
              <w:top w:w="0" w:type="dxa"/>
              <w:bottom w:w="0" w:type="dxa"/>
            </w:tcMar>
          </w:tcPr>
          <w:p w14:paraId="3F6CA2E7" w14:textId="77777777" w:rsidR="007371D8" w:rsidRPr="00B47869" w:rsidRDefault="007371D8" w:rsidP="007371D8">
            <w:pPr>
              <w:rPr>
                <w:rFonts w:cs="Arial"/>
                <w:b/>
                <w:i/>
                <w:sz w:val="8"/>
                <w:szCs w:val="8"/>
              </w:rPr>
            </w:pPr>
          </w:p>
        </w:tc>
      </w:tr>
    </w:tbl>
    <w:p w14:paraId="63EEDD0B" w14:textId="77777777" w:rsidR="00797F59" w:rsidRPr="00B47869" w:rsidRDefault="00797F59" w:rsidP="00727945">
      <w:pPr>
        <w:rPr>
          <w:rFonts w:ascii="Latha" w:hAnsi="Latha" w:cs="Latha"/>
          <w:sz w:val="8"/>
          <w:szCs w:val="8"/>
        </w:rPr>
      </w:pPr>
    </w:p>
    <w:p w14:paraId="4E0191BC" w14:textId="77777777" w:rsidR="0022269C" w:rsidRPr="00B47869" w:rsidRDefault="0022269C" w:rsidP="00727945">
      <w:pPr>
        <w:rPr>
          <w:rFonts w:ascii="Latha" w:hAnsi="Latha" w:cs="Latha"/>
          <w:sz w:val="8"/>
          <w:szCs w:val="8"/>
        </w:rPr>
      </w:pPr>
    </w:p>
    <w:p w14:paraId="2D40B622" w14:textId="77777777" w:rsidR="0022269C" w:rsidRPr="00B47869" w:rsidRDefault="0022269C" w:rsidP="00727945">
      <w:pPr>
        <w:rPr>
          <w:rFonts w:ascii="Latha" w:hAnsi="Latha" w:cs="Latha"/>
          <w:sz w:val="8"/>
          <w:szCs w:val="8"/>
        </w:rPr>
      </w:pPr>
    </w:p>
    <w:p w14:paraId="26981237" w14:textId="77777777" w:rsidR="001A42CE" w:rsidRPr="00B47869" w:rsidRDefault="001A42CE" w:rsidP="00727945">
      <w:pPr>
        <w:rPr>
          <w:rFonts w:ascii="Latha" w:hAnsi="Latha" w:cs="Latha"/>
          <w:sz w:val="8"/>
          <w:szCs w:val="8"/>
        </w:rPr>
        <w:sectPr w:rsidR="001A42CE" w:rsidRPr="00B47869" w:rsidSect="002772ED">
          <w:headerReference w:type="even" r:id="rId13"/>
          <w:headerReference w:type="default" r:id="rId14"/>
          <w:footerReference w:type="even" r:id="rId15"/>
          <w:footerReference w:type="default" r:id="rId16"/>
          <w:headerReference w:type="first" r:id="rId17"/>
          <w:pgSz w:w="11906" w:h="16838" w:code="9"/>
          <w:pgMar w:top="680" w:right="851" w:bottom="680" w:left="851" w:header="567" w:footer="227" w:gutter="0"/>
          <w:cols w:space="708"/>
          <w:docGrid w:linePitch="360"/>
        </w:sectPr>
      </w:pPr>
    </w:p>
    <w:p w14:paraId="32FF95FB" w14:textId="77777777" w:rsidR="006825BB" w:rsidRPr="00B47869" w:rsidRDefault="006825BB">
      <w:pPr>
        <w:rPr>
          <w:sz w:val="8"/>
          <w:szCs w:val="16"/>
        </w:rPr>
      </w:pPr>
    </w:p>
    <w:p w14:paraId="12299B66" w14:textId="77777777" w:rsidR="00C10FEB" w:rsidRPr="00B47869" w:rsidRDefault="00C10FEB">
      <w:pPr>
        <w:rPr>
          <w:sz w:val="8"/>
          <w:szCs w:val="16"/>
        </w:rPr>
      </w:pPr>
    </w:p>
    <w:p w14:paraId="613B4A08" w14:textId="77777777" w:rsidR="00A81694" w:rsidRPr="00B47869" w:rsidRDefault="00EB3E6F" w:rsidP="00EB3E6F">
      <w:pPr>
        <w:tabs>
          <w:tab w:val="left" w:pos="2087"/>
        </w:tabs>
      </w:pPr>
      <w:r w:rsidRPr="00B47869">
        <w:tab/>
      </w:r>
    </w:p>
    <w:tbl>
      <w:tblPr>
        <w:tblW w:w="5170" w:type="pct"/>
        <w:tblInd w:w="-176" w:type="dxa"/>
        <w:tblLayout w:type="fixed"/>
        <w:tblLook w:val="01E0" w:firstRow="1" w:lastRow="1" w:firstColumn="1" w:lastColumn="1" w:noHBand="0" w:noVBand="0"/>
      </w:tblPr>
      <w:tblGrid>
        <w:gridCol w:w="3011"/>
        <w:gridCol w:w="7540"/>
      </w:tblGrid>
      <w:tr w:rsidR="00870487" w:rsidRPr="00B47869" w14:paraId="37396597" w14:textId="77777777" w:rsidTr="00396D16">
        <w:tc>
          <w:tcPr>
            <w:tcW w:w="5000" w:type="pct"/>
            <w:gridSpan w:val="2"/>
            <w:shd w:val="clear" w:color="auto" w:fill="0070C0"/>
            <w:tcMar>
              <w:top w:w="85" w:type="dxa"/>
              <w:bottom w:w="85" w:type="dxa"/>
            </w:tcMar>
            <w:vAlign w:val="bottom"/>
          </w:tcPr>
          <w:p w14:paraId="2F06E985" w14:textId="77777777" w:rsidR="00870487" w:rsidRPr="00B47869" w:rsidRDefault="00870487" w:rsidP="00396D16">
            <w:pPr>
              <w:rPr>
                <w:rFonts w:cs="Arial"/>
                <w:color w:val="FFFFFF"/>
                <w:sz w:val="15"/>
                <w:szCs w:val="15"/>
              </w:rPr>
            </w:pPr>
            <w:r w:rsidRPr="00B47869">
              <w:rPr>
                <w:rFonts w:cs="Arial"/>
                <w:b/>
                <w:bCs/>
                <w:iCs/>
                <w:color w:val="FFFFFF"/>
                <w:sz w:val="28"/>
                <w:szCs w:val="28"/>
              </w:rPr>
              <w:t>New product information</w:t>
            </w:r>
            <w:r w:rsidRPr="00B47869">
              <w:rPr>
                <w:rFonts w:cs="Arial"/>
                <w:b/>
                <w:bCs/>
                <w:iCs/>
                <w:color w:val="FFFFFF"/>
                <w:sz w:val="28"/>
                <w:szCs w:val="28"/>
              </w:rPr>
              <w:tab/>
            </w:r>
          </w:p>
        </w:tc>
      </w:tr>
      <w:tr w:rsidR="00870487" w:rsidRPr="00B47869" w14:paraId="4E920253" w14:textId="77777777" w:rsidTr="00396D16">
        <w:tc>
          <w:tcPr>
            <w:tcW w:w="5000" w:type="pct"/>
            <w:gridSpan w:val="2"/>
            <w:shd w:val="clear" w:color="auto" w:fill="DAEEF3"/>
            <w:tcMar>
              <w:top w:w="0" w:type="dxa"/>
              <w:bottom w:w="0" w:type="dxa"/>
            </w:tcMar>
          </w:tcPr>
          <w:p w14:paraId="2FFB1644" w14:textId="77777777" w:rsidR="00870487" w:rsidRPr="00B47869" w:rsidRDefault="00870487" w:rsidP="00396D16">
            <w:pPr>
              <w:rPr>
                <w:rFonts w:cs="Arial"/>
                <w:b/>
                <w:bCs/>
                <w:i/>
                <w:iCs/>
                <w:color w:val="000000"/>
                <w:sz w:val="8"/>
                <w:szCs w:val="8"/>
              </w:rPr>
            </w:pPr>
          </w:p>
        </w:tc>
      </w:tr>
      <w:tr w:rsidR="00870487" w:rsidRPr="00B47869" w14:paraId="2CAC8C16" w14:textId="77777777" w:rsidTr="00396D16">
        <w:tc>
          <w:tcPr>
            <w:tcW w:w="5000" w:type="pct"/>
            <w:gridSpan w:val="2"/>
            <w:shd w:val="clear" w:color="auto" w:fill="008232"/>
            <w:tcMar>
              <w:top w:w="57" w:type="dxa"/>
              <w:bottom w:w="57" w:type="dxa"/>
            </w:tcMar>
          </w:tcPr>
          <w:p w14:paraId="526FF8E7" w14:textId="46D22817" w:rsidR="00870487" w:rsidRPr="00B47869" w:rsidRDefault="00870487" w:rsidP="00396D16">
            <w:pPr>
              <w:rPr>
                <w:rFonts w:cs="Arial"/>
                <w:color w:val="FFFFFF"/>
                <w:sz w:val="20"/>
                <w:szCs w:val="20"/>
              </w:rPr>
            </w:pPr>
            <w:r w:rsidRPr="00B47869">
              <w:rPr>
                <w:rFonts w:cs="Arial"/>
                <w:b/>
                <w:bCs/>
                <w:i/>
                <w:iCs/>
                <w:color w:val="FFFFFF"/>
                <w:sz w:val="22"/>
                <w:szCs w:val="20"/>
              </w:rPr>
              <w:t xml:space="preserve">Launched in the UK (or licence change for existing products) </w:t>
            </w:r>
            <w:r w:rsidRPr="00B47869">
              <w:rPr>
                <w:rFonts w:cs="Arial"/>
                <w:b/>
                <w:bCs/>
                <w:color w:val="FFFFFF"/>
                <w:sz w:val="16"/>
                <w:szCs w:val="16"/>
              </w:rPr>
              <w:t>(continued)</w:t>
            </w:r>
          </w:p>
        </w:tc>
      </w:tr>
      <w:tr w:rsidR="004468E5" w:rsidRPr="00B47869" w14:paraId="7D5263EF" w14:textId="77777777" w:rsidTr="00FC13D0">
        <w:tc>
          <w:tcPr>
            <w:tcW w:w="1427" w:type="pct"/>
            <w:tcMar>
              <w:top w:w="57" w:type="dxa"/>
              <w:left w:w="170" w:type="dxa"/>
              <w:bottom w:w="57" w:type="dxa"/>
              <w:right w:w="170" w:type="dxa"/>
            </w:tcMar>
          </w:tcPr>
          <w:p w14:paraId="421A3E8F" w14:textId="77777777" w:rsidR="004468E5" w:rsidRPr="00B47869" w:rsidRDefault="004468E5" w:rsidP="004468E5">
            <w:pPr>
              <w:rPr>
                <w:rFonts w:cs="Arial"/>
                <w:szCs w:val="19"/>
              </w:rPr>
            </w:pPr>
            <w:r w:rsidRPr="00B47869">
              <w:rPr>
                <w:rFonts w:cs="Arial"/>
                <w:szCs w:val="19"/>
              </w:rPr>
              <w:t>Denosumab biosimilar (</w:t>
            </w:r>
            <w:proofErr w:type="spellStart"/>
            <w:r w:rsidRPr="00B47869">
              <w:rPr>
                <w:rFonts w:cs="Arial"/>
                <w:i/>
                <w:iCs/>
                <w:szCs w:val="19"/>
              </w:rPr>
              <w:t>Osenvelt</w:t>
            </w:r>
            <w:proofErr w:type="spellEnd"/>
            <w:r w:rsidRPr="00B47869">
              <w:rPr>
                <w:rFonts w:cs="Arial"/>
                <w:szCs w:val="19"/>
              </w:rPr>
              <w:t>)</w:t>
            </w:r>
          </w:p>
          <w:p w14:paraId="19B272E7" w14:textId="03DEC7CC" w:rsidR="004468E5" w:rsidRPr="00B47869" w:rsidRDefault="004468E5" w:rsidP="004468E5">
            <w:pPr>
              <w:rPr>
                <w:rFonts w:cs="Arial"/>
                <w:color w:val="000000" w:themeColor="text1"/>
                <w:szCs w:val="19"/>
              </w:rPr>
            </w:pPr>
            <w:r w:rsidRPr="00B47869">
              <w:rPr>
                <w:rFonts w:cs="Arial"/>
                <w:sz w:val="16"/>
                <w:szCs w:val="16"/>
              </w:rPr>
              <w:t>120mg in 1.7mL vial</w:t>
            </w:r>
          </w:p>
        </w:tc>
        <w:tc>
          <w:tcPr>
            <w:tcW w:w="3573" w:type="pct"/>
            <w:tcMar>
              <w:top w:w="57" w:type="dxa"/>
              <w:left w:w="170" w:type="dxa"/>
              <w:bottom w:w="57" w:type="dxa"/>
              <w:right w:w="170" w:type="dxa"/>
            </w:tcMar>
          </w:tcPr>
          <w:p w14:paraId="6DEECD99" w14:textId="63672B38" w:rsidR="004468E5" w:rsidRPr="00B47869" w:rsidRDefault="004468E5" w:rsidP="004468E5">
            <w:pPr>
              <w:tabs>
                <w:tab w:val="center" w:pos="3152"/>
              </w:tabs>
              <w:rPr>
                <w:rFonts w:cs="Arial"/>
                <w:szCs w:val="19"/>
              </w:rPr>
            </w:pPr>
            <w:r w:rsidRPr="00B47869">
              <w:rPr>
                <w:rFonts w:cs="Arial"/>
                <w:szCs w:val="19"/>
              </w:rPr>
              <w:t>Prevention of skeletal related events (pathological fracture, radiation to bone, spinal cord compression or surgery to bone) in adults with advanced malignancies involving bone, and treatment of adults and skeletally mature adolescents with giant cell tumour of bone that is unresectable or where surgical resection is likely to result in severe morbidity</w:t>
            </w:r>
          </w:p>
        </w:tc>
      </w:tr>
      <w:tr w:rsidR="004468E5" w:rsidRPr="00B47869" w14:paraId="3424D26A" w14:textId="77777777" w:rsidTr="00FC13D0">
        <w:tc>
          <w:tcPr>
            <w:tcW w:w="1427" w:type="pct"/>
            <w:tcMar>
              <w:top w:w="57" w:type="dxa"/>
              <w:left w:w="170" w:type="dxa"/>
              <w:bottom w:w="57" w:type="dxa"/>
              <w:right w:w="170" w:type="dxa"/>
            </w:tcMar>
          </w:tcPr>
          <w:p w14:paraId="4143F07C" w14:textId="77777777" w:rsidR="004468E5" w:rsidRPr="00B47869" w:rsidRDefault="004468E5" w:rsidP="004468E5">
            <w:pPr>
              <w:rPr>
                <w:rFonts w:cs="Arial"/>
                <w:color w:val="000000" w:themeColor="text1"/>
                <w:szCs w:val="19"/>
              </w:rPr>
            </w:pPr>
            <w:r w:rsidRPr="00B47869">
              <w:rPr>
                <w:rFonts w:cs="Arial"/>
                <w:color w:val="000000" w:themeColor="text1"/>
                <w:szCs w:val="19"/>
              </w:rPr>
              <w:t>Denosumab biosimilar (</w:t>
            </w:r>
            <w:proofErr w:type="spellStart"/>
            <w:r w:rsidRPr="00B47869">
              <w:rPr>
                <w:rFonts w:cs="Arial"/>
                <w:i/>
                <w:iCs/>
                <w:color w:val="000000" w:themeColor="text1"/>
                <w:szCs w:val="19"/>
              </w:rPr>
              <w:t>Osvyrti</w:t>
            </w:r>
            <w:proofErr w:type="spellEnd"/>
            <w:r w:rsidRPr="00B47869">
              <w:rPr>
                <w:rFonts w:cs="Arial"/>
                <w:color w:val="000000" w:themeColor="text1"/>
                <w:szCs w:val="19"/>
              </w:rPr>
              <w:t>)</w:t>
            </w:r>
          </w:p>
          <w:p w14:paraId="389E9082" w14:textId="666DAC4C" w:rsidR="004468E5" w:rsidRPr="00B47869" w:rsidRDefault="004468E5" w:rsidP="004468E5">
            <w:pPr>
              <w:rPr>
                <w:rFonts w:cs="Arial"/>
                <w:szCs w:val="19"/>
              </w:rPr>
            </w:pPr>
            <w:r w:rsidRPr="00B47869">
              <w:rPr>
                <w:rFonts w:cs="Arial"/>
                <w:color w:val="000000" w:themeColor="text1"/>
                <w:sz w:val="16"/>
                <w:szCs w:val="16"/>
              </w:rPr>
              <w:t>60mg in 1mL prefilled syringe</w:t>
            </w:r>
          </w:p>
        </w:tc>
        <w:tc>
          <w:tcPr>
            <w:tcW w:w="3573" w:type="pct"/>
            <w:tcMar>
              <w:top w:w="57" w:type="dxa"/>
              <w:left w:w="170" w:type="dxa"/>
              <w:bottom w:w="57" w:type="dxa"/>
              <w:right w:w="170" w:type="dxa"/>
            </w:tcMar>
          </w:tcPr>
          <w:p w14:paraId="361A9076" w14:textId="45CCEE88" w:rsidR="004468E5" w:rsidRPr="00B47869" w:rsidRDefault="004468E5" w:rsidP="004468E5">
            <w:pPr>
              <w:tabs>
                <w:tab w:val="center" w:pos="3152"/>
              </w:tabs>
              <w:rPr>
                <w:rFonts w:cs="Arial"/>
                <w:szCs w:val="19"/>
              </w:rPr>
            </w:pPr>
            <w:r w:rsidRPr="00B47869">
              <w:rPr>
                <w:rFonts w:cs="Arial"/>
                <w:szCs w:val="19"/>
              </w:rPr>
              <w:t>Treatment of osteoporosis in postmenopausal women and in men at increased risk of fractures, treatment of bone loss associated with hormone ablation in men with prostate cancer at increased risk of fractures, and treatment of bone loss associated with long-term systemic glucocorticoid therapy in adults at increased risk of fracture</w:t>
            </w:r>
          </w:p>
        </w:tc>
      </w:tr>
      <w:tr w:rsidR="004468E5" w:rsidRPr="00B47869" w14:paraId="2564246A" w14:textId="77777777" w:rsidTr="00FC13D0">
        <w:tc>
          <w:tcPr>
            <w:tcW w:w="1427" w:type="pct"/>
            <w:tcMar>
              <w:top w:w="57" w:type="dxa"/>
              <w:left w:w="170" w:type="dxa"/>
              <w:bottom w:w="57" w:type="dxa"/>
              <w:right w:w="170" w:type="dxa"/>
            </w:tcMar>
          </w:tcPr>
          <w:p w14:paraId="2FBAB1C6" w14:textId="77777777" w:rsidR="004468E5" w:rsidRPr="00B47869" w:rsidRDefault="004468E5" w:rsidP="004468E5">
            <w:pPr>
              <w:rPr>
                <w:rFonts w:cs="Arial"/>
                <w:szCs w:val="19"/>
              </w:rPr>
            </w:pPr>
            <w:r w:rsidRPr="00B47869">
              <w:rPr>
                <w:rFonts w:cs="Arial"/>
                <w:szCs w:val="19"/>
              </w:rPr>
              <w:t>Denosumab biosimilar (</w:t>
            </w:r>
            <w:proofErr w:type="spellStart"/>
            <w:r w:rsidRPr="00B47869">
              <w:rPr>
                <w:rFonts w:cs="Arial"/>
                <w:i/>
                <w:iCs/>
                <w:szCs w:val="19"/>
              </w:rPr>
              <w:t>Ponlimsi</w:t>
            </w:r>
            <w:proofErr w:type="spellEnd"/>
            <w:r w:rsidRPr="00B47869">
              <w:rPr>
                <w:rFonts w:cs="Arial"/>
                <w:szCs w:val="19"/>
              </w:rPr>
              <w:t>)</w:t>
            </w:r>
          </w:p>
          <w:p w14:paraId="70974721" w14:textId="2842D3D2" w:rsidR="004468E5" w:rsidRPr="00B47869" w:rsidRDefault="004468E5" w:rsidP="004468E5">
            <w:pPr>
              <w:rPr>
                <w:rFonts w:cs="Arial"/>
                <w:szCs w:val="19"/>
              </w:rPr>
            </w:pPr>
            <w:r w:rsidRPr="00B47869">
              <w:rPr>
                <w:rFonts w:cs="Arial"/>
                <w:sz w:val="16"/>
                <w:szCs w:val="16"/>
              </w:rPr>
              <w:t>60mg in 1mL prefilled syringe</w:t>
            </w:r>
          </w:p>
        </w:tc>
        <w:tc>
          <w:tcPr>
            <w:tcW w:w="3573" w:type="pct"/>
            <w:tcMar>
              <w:top w:w="57" w:type="dxa"/>
              <w:left w:w="170" w:type="dxa"/>
              <w:bottom w:w="57" w:type="dxa"/>
              <w:right w:w="170" w:type="dxa"/>
            </w:tcMar>
          </w:tcPr>
          <w:p w14:paraId="7690A057" w14:textId="26C4DF6E" w:rsidR="004468E5" w:rsidRPr="00B47869" w:rsidRDefault="004468E5" w:rsidP="004468E5">
            <w:pPr>
              <w:tabs>
                <w:tab w:val="center" w:pos="3152"/>
              </w:tabs>
              <w:rPr>
                <w:rFonts w:cs="Arial"/>
                <w:szCs w:val="19"/>
              </w:rPr>
            </w:pPr>
            <w:r w:rsidRPr="00B47869">
              <w:rPr>
                <w:rFonts w:cs="Arial"/>
                <w:szCs w:val="19"/>
              </w:rPr>
              <w:t>Treatment of osteoporosis in postmenopausal women and in men at increased risk of fractures, treatment of bone loss associated with hormone ablation in men with prostate cancer at increased risk of fractures, and treatment of bone loss associated with long-term systemic glucocorticoid therapy in adults at increased risk of fracture</w:t>
            </w:r>
          </w:p>
        </w:tc>
      </w:tr>
      <w:tr w:rsidR="004468E5" w:rsidRPr="00B47869" w14:paraId="4B838100" w14:textId="77777777" w:rsidTr="00FC13D0">
        <w:tc>
          <w:tcPr>
            <w:tcW w:w="1427" w:type="pct"/>
            <w:tcMar>
              <w:top w:w="57" w:type="dxa"/>
              <w:left w:w="170" w:type="dxa"/>
              <w:bottom w:w="57" w:type="dxa"/>
              <w:right w:w="170" w:type="dxa"/>
            </w:tcMar>
          </w:tcPr>
          <w:p w14:paraId="34E996E7" w14:textId="77777777" w:rsidR="004468E5" w:rsidRPr="00B47869" w:rsidRDefault="004468E5" w:rsidP="004468E5">
            <w:pPr>
              <w:rPr>
                <w:rFonts w:cs="Arial"/>
                <w:szCs w:val="19"/>
              </w:rPr>
            </w:pPr>
            <w:r w:rsidRPr="00B47869">
              <w:rPr>
                <w:rFonts w:cs="Arial"/>
                <w:szCs w:val="19"/>
              </w:rPr>
              <w:t>Denosumab biosimilar (</w:t>
            </w:r>
            <w:proofErr w:type="spellStart"/>
            <w:r w:rsidRPr="00B47869">
              <w:rPr>
                <w:rFonts w:cs="Arial"/>
                <w:i/>
                <w:iCs/>
                <w:szCs w:val="19"/>
              </w:rPr>
              <w:t>Stoboclo</w:t>
            </w:r>
            <w:proofErr w:type="spellEnd"/>
            <w:r w:rsidRPr="00B47869">
              <w:rPr>
                <w:rFonts w:cs="Arial"/>
                <w:szCs w:val="19"/>
              </w:rPr>
              <w:t>)</w:t>
            </w:r>
          </w:p>
          <w:p w14:paraId="3FB7618D" w14:textId="004EEF2B" w:rsidR="004468E5" w:rsidRPr="00B47869" w:rsidRDefault="004468E5" w:rsidP="004468E5">
            <w:pPr>
              <w:rPr>
                <w:rFonts w:cs="Arial"/>
                <w:szCs w:val="19"/>
              </w:rPr>
            </w:pPr>
            <w:r w:rsidRPr="00B47869">
              <w:rPr>
                <w:rFonts w:cs="Arial"/>
                <w:sz w:val="16"/>
                <w:szCs w:val="16"/>
              </w:rPr>
              <w:t>60mg in 1mL prefilled syringe</w:t>
            </w:r>
          </w:p>
        </w:tc>
        <w:tc>
          <w:tcPr>
            <w:tcW w:w="3573" w:type="pct"/>
            <w:tcMar>
              <w:top w:w="57" w:type="dxa"/>
              <w:left w:w="170" w:type="dxa"/>
              <w:bottom w:w="57" w:type="dxa"/>
              <w:right w:w="170" w:type="dxa"/>
            </w:tcMar>
          </w:tcPr>
          <w:p w14:paraId="79264073" w14:textId="1CCD55D2" w:rsidR="004468E5" w:rsidRPr="00B47869" w:rsidRDefault="004468E5" w:rsidP="004468E5">
            <w:pPr>
              <w:tabs>
                <w:tab w:val="center" w:pos="3152"/>
              </w:tabs>
              <w:rPr>
                <w:rFonts w:cs="Arial"/>
                <w:szCs w:val="19"/>
              </w:rPr>
            </w:pPr>
            <w:r w:rsidRPr="00B47869">
              <w:rPr>
                <w:rFonts w:cs="Arial"/>
                <w:szCs w:val="19"/>
              </w:rPr>
              <w:t>Treatment of osteoporosis in postmenopausal women and in men at increased risk of fractures, treatment of bone loss associated with hormone ablation in men with prostate cancer at increased risk of fractures, and treatment of bone loss associated with long-term systemic glucocorticoid therapy in adults at increased risk of fracture</w:t>
            </w:r>
          </w:p>
        </w:tc>
      </w:tr>
      <w:tr w:rsidR="004468E5" w:rsidRPr="00B47869" w14:paraId="751F81D1" w14:textId="77777777" w:rsidTr="00FC13D0">
        <w:tc>
          <w:tcPr>
            <w:tcW w:w="1427" w:type="pct"/>
            <w:tcMar>
              <w:top w:w="57" w:type="dxa"/>
              <w:left w:w="170" w:type="dxa"/>
              <w:bottom w:w="57" w:type="dxa"/>
              <w:right w:w="170" w:type="dxa"/>
            </w:tcMar>
          </w:tcPr>
          <w:p w14:paraId="294096C2" w14:textId="77777777" w:rsidR="004468E5" w:rsidRPr="00B47869" w:rsidRDefault="004468E5" w:rsidP="004468E5">
            <w:pPr>
              <w:rPr>
                <w:rFonts w:cs="Arial"/>
                <w:szCs w:val="19"/>
              </w:rPr>
            </w:pPr>
            <w:r w:rsidRPr="00B47869">
              <w:rPr>
                <w:rFonts w:cs="Arial"/>
                <w:szCs w:val="19"/>
              </w:rPr>
              <w:t>Denosumab biosimilar (</w:t>
            </w:r>
            <w:proofErr w:type="spellStart"/>
            <w:r w:rsidRPr="00B47869">
              <w:rPr>
                <w:rFonts w:cs="Arial"/>
                <w:i/>
                <w:iCs/>
                <w:szCs w:val="19"/>
              </w:rPr>
              <w:t>Xbryk</w:t>
            </w:r>
            <w:proofErr w:type="spellEnd"/>
            <w:r w:rsidRPr="00B47869">
              <w:rPr>
                <w:rFonts w:cs="Arial"/>
                <w:szCs w:val="19"/>
              </w:rPr>
              <w:t>)</w:t>
            </w:r>
          </w:p>
          <w:p w14:paraId="7651AA5C" w14:textId="2DE45E8E" w:rsidR="004468E5" w:rsidRPr="00B47869" w:rsidRDefault="004468E5" w:rsidP="004468E5">
            <w:pPr>
              <w:rPr>
                <w:rFonts w:cs="Arial"/>
                <w:szCs w:val="19"/>
              </w:rPr>
            </w:pPr>
            <w:r w:rsidRPr="00B47869">
              <w:rPr>
                <w:rFonts w:cs="Arial"/>
                <w:sz w:val="16"/>
                <w:szCs w:val="16"/>
              </w:rPr>
              <w:t>120mg in 1.7mL vial</w:t>
            </w:r>
          </w:p>
        </w:tc>
        <w:tc>
          <w:tcPr>
            <w:tcW w:w="3573" w:type="pct"/>
            <w:tcMar>
              <w:top w:w="57" w:type="dxa"/>
              <w:left w:w="170" w:type="dxa"/>
              <w:bottom w:w="57" w:type="dxa"/>
              <w:right w:w="170" w:type="dxa"/>
            </w:tcMar>
          </w:tcPr>
          <w:p w14:paraId="360190DF" w14:textId="2D0C2B67" w:rsidR="004468E5" w:rsidRPr="00B47869" w:rsidRDefault="004468E5" w:rsidP="004468E5">
            <w:pPr>
              <w:tabs>
                <w:tab w:val="center" w:pos="3152"/>
              </w:tabs>
              <w:rPr>
                <w:rFonts w:cs="Arial"/>
                <w:szCs w:val="19"/>
              </w:rPr>
            </w:pPr>
            <w:r w:rsidRPr="00B47869">
              <w:rPr>
                <w:rFonts w:cs="Arial"/>
                <w:szCs w:val="19"/>
              </w:rPr>
              <w:t>Prevention of skeletal related events (pathological fracture, radiation to bone, spinal cord compression or surgery to bone) in adults with advanced malignancies involving bone, and treatment of adults and skeletally mature adolescents with giant cell tumour of bone that is unresectable or where surgical resection is likely to result in severe morbidity</w:t>
            </w:r>
          </w:p>
        </w:tc>
      </w:tr>
      <w:tr w:rsidR="004468E5" w:rsidRPr="00B47869" w14:paraId="58AADAF3" w14:textId="77777777" w:rsidTr="00FC13D0">
        <w:tc>
          <w:tcPr>
            <w:tcW w:w="1427" w:type="pct"/>
            <w:tcMar>
              <w:top w:w="57" w:type="dxa"/>
              <w:left w:w="170" w:type="dxa"/>
              <w:bottom w:w="57" w:type="dxa"/>
              <w:right w:w="170" w:type="dxa"/>
            </w:tcMar>
          </w:tcPr>
          <w:p w14:paraId="74477769" w14:textId="77777777" w:rsidR="005A176F" w:rsidRPr="00B47869" w:rsidRDefault="004468E5" w:rsidP="004468E5">
            <w:pPr>
              <w:rPr>
                <w:rFonts w:cs="Arial"/>
                <w:szCs w:val="19"/>
              </w:rPr>
            </w:pPr>
            <w:r w:rsidRPr="00B47869">
              <w:rPr>
                <w:rFonts w:cs="Arial"/>
                <w:szCs w:val="19"/>
              </w:rPr>
              <w:t xml:space="preserve">Formoterol + </w:t>
            </w:r>
            <w:proofErr w:type="spellStart"/>
            <w:r w:rsidRPr="00B47869">
              <w:rPr>
                <w:rFonts w:cs="Arial"/>
                <w:szCs w:val="19"/>
              </w:rPr>
              <w:t>glycopyrronium</w:t>
            </w:r>
            <w:proofErr w:type="spellEnd"/>
            <w:r w:rsidRPr="00B47869">
              <w:rPr>
                <w:rFonts w:cs="Arial"/>
                <w:szCs w:val="19"/>
              </w:rPr>
              <w:t xml:space="preserve"> + budesonide </w:t>
            </w:r>
          </w:p>
          <w:p w14:paraId="33EF1AE3" w14:textId="2D60C3E2" w:rsidR="004468E5" w:rsidRPr="00B47869" w:rsidRDefault="004468E5" w:rsidP="004468E5">
            <w:pPr>
              <w:rPr>
                <w:rFonts w:cs="Arial"/>
                <w:szCs w:val="19"/>
              </w:rPr>
            </w:pPr>
            <w:r w:rsidRPr="00B47869">
              <w:rPr>
                <w:rFonts w:cs="Arial"/>
                <w:szCs w:val="19"/>
              </w:rPr>
              <w:t>(</w:t>
            </w:r>
            <w:proofErr w:type="spellStart"/>
            <w:r w:rsidRPr="00B47869">
              <w:rPr>
                <w:rFonts w:cs="Arial"/>
                <w:i/>
                <w:iCs/>
                <w:szCs w:val="19"/>
              </w:rPr>
              <w:t>Trixeo</w:t>
            </w:r>
            <w:proofErr w:type="spellEnd"/>
            <w:r w:rsidRPr="00B47869">
              <w:rPr>
                <w:rFonts w:cs="Arial"/>
                <w:i/>
                <w:iCs/>
                <w:szCs w:val="19"/>
              </w:rPr>
              <w:t xml:space="preserve"> Aerosphere</w:t>
            </w:r>
            <w:r w:rsidRPr="00B47869">
              <w:rPr>
                <w:rFonts w:cs="Arial"/>
                <w:szCs w:val="19"/>
              </w:rPr>
              <w:t>)</w:t>
            </w:r>
          </w:p>
          <w:p w14:paraId="76E73EB1" w14:textId="77777777" w:rsidR="004468E5" w:rsidRPr="00B47869" w:rsidRDefault="004468E5" w:rsidP="004468E5">
            <w:pPr>
              <w:rPr>
                <w:rFonts w:cs="Arial"/>
                <w:sz w:val="16"/>
                <w:szCs w:val="16"/>
              </w:rPr>
            </w:pPr>
            <w:r w:rsidRPr="00B47869">
              <w:rPr>
                <w:rFonts w:cs="Arial"/>
                <w:sz w:val="16"/>
                <w:szCs w:val="16"/>
              </w:rPr>
              <w:t>5micrograms/7.2micrograms/</w:t>
            </w:r>
          </w:p>
          <w:p w14:paraId="034E4DD0" w14:textId="205D1067" w:rsidR="004468E5" w:rsidRPr="00B47869" w:rsidRDefault="004468E5" w:rsidP="004468E5">
            <w:pPr>
              <w:rPr>
                <w:rFonts w:cs="Arial"/>
                <w:sz w:val="16"/>
                <w:szCs w:val="16"/>
              </w:rPr>
            </w:pPr>
            <w:r w:rsidRPr="00B47869">
              <w:rPr>
                <w:rFonts w:cs="Arial"/>
                <w:sz w:val="16"/>
                <w:szCs w:val="16"/>
              </w:rPr>
              <w:t>160micrograms inhaler</w:t>
            </w:r>
          </w:p>
        </w:tc>
        <w:tc>
          <w:tcPr>
            <w:tcW w:w="3573" w:type="pct"/>
            <w:tcMar>
              <w:top w:w="57" w:type="dxa"/>
              <w:left w:w="170" w:type="dxa"/>
              <w:bottom w:w="57" w:type="dxa"/>
              <w:right w:w="170" w:type="dxa"/>
            </w:tcMar>
          </w:tcPr>
          <w:p w14:paraId="1F07A623" w14:textId="77777777" w:rsidR="004468E5" w:rsidRPr="00B47869" w:rsidRDefault="004468E5" w:rsidP="004468E5">
            <w:pPr>
              <w:tabs>
                <w:tab w:val="center" w:pos="3152"/>
              </w:tabs>
              <w:rPr>
                <w:rFonts w:cs="Arial"/>
                <w:color w:val="000000" w:themeColor="text1"/>
                <w:szCs w:val="19"/>
              </w:rPr>
            </w:pPr>
            <w:r w:rsidRPr="00B47869">
              <w:rPr>
                <w:rFonts w:cs="Arial"/>
                <w:color w:val="000000" w:themeColor="text1"/>
                <w:szCs w:val="19"/>
              </w:rPr>
              <w:t xml:space="preserve">Use as a maintenance treatment in adults with moderate to severe chronic obstructive pulmonary disease who are not adequately treated by a combination of an inhaled corticosteroid and a long-acting beta2-agonist or combination of a long-acting beta2-agonist and a long-acting muscarinic antagonist </w:t>
            </w:r>
          </w:p>
          <w:p w14:paraId="6E0BE05A" w14:textId="43BC048E" w:rsidR="004468E5" w:rsidRPr="00B47869" w:rsidRDefault="004468E5" w:rsidP="004468E5">
            <w:pPr>
              <w:tabs>
                <w:tab w:val="center" w:pos="3152"/>
              </w:tabs>
              <w:rPr>
                <w:rFonts w:cs="Arial"/>
                <w:szCs w:val="19"/>
              </w:rPr>
            </w:pPr>
            <w:r w:rsidRPr="00B47869">
              <w:rPr>
                <w:rFonts w:cs="Arial"/>
                <w:sz w:val="16"/>
                <w:szCs w:val="16"/>
              </w:rPr>
              <w:t>[new low-carbon formulation]</w:t>
            </w:r>
          </w:p>
        </w:tc>
      </w:tr>
      <w:tr w:rsidR="004468E5" w:rsidRPr="00B47869" w14:paraId="2AA17F21" w14:textId="77777777" w:rsidTr="00FC13D0">
        <w:tc>
          <w:tcPr>
            <w:tcW w:w="1427" w:type="pct"/>
            <w:tcMar>
              <w:top w:w="57" w:type="dxa"/>
              <w:left w:w="170" w:type="dxa"/>
              <w:bottom w:w="57" w:type="dxa"/>
              <w:right w:w="170" w:type="dxa"/>
            </w:tcMar>
          </w:tcPr>
          <w:p w14:paraId="46E547AC" w14:textId="77777777" w:rsidR="004468E5" w:rsidRPr="00B47869" w:rsidRDefault="004468E5" w:rsidP="004468E5">
            <w:pPr>
              <w:rPr>
                <w:rFonts w:cs="Arial"/>
                <w:szCs w:val="19"/>
              </w:rPr>
            </w:pPr>
            <w:r w:rsidRPr="00B47869">
              <w:rPr>
                <w:rFonts w:cs="Arial"/>
                <w:szCs w:val="19"/>
              </w:rPr>
              <w:t>Mepolizumab (</w:t>
            </w:r>
            <w:r w:rsidRPr="00B47869">
              <w:rPr>
                <w:rFonts w:cs="Arial"/>
                <w:i/>
                <w:iCs/>
                <w:szCs w:val="19"/>
              </w:rPr>
              <w:t>Nucala</w:t>
            </w:r>
            <w:r w:rsidRPr="00B47869">
              <w:rPr>
                <w:rFonts w:cs="Arial"/>
                <w:szCs w:val="19"/>
              </w:rPr>
              <w:t>)</w:t>
            </w:r>
          </w:p>
          <w:p w14:paraId="36F7829A" w14:textId="53A9355D" w:rsidR="004468E5" w:rsidRPr="00B47869" w:rsidRDefault="004468E5" w:rsidP="004468E5">
            <w:pPr>
              <w:rPr>
                <w:rFonts w:cs="Arial"/>
                <w:sz w:val="16"/>
                <w:szCs w:val="16"/>
              </w:rPr>
            </w:pPr>
            <w:r w:rsidRPr="00B47869">
              <w:rPr>
                <w:rFonts w:cs="Arial"/>
                <w:sz w:val="16"/>
                <w:szCs w:val="16"/>
              </w:rPr>
              <w:t>100mg in 1mL prefilled pen and syringe</w:t>
            </w:r>
          </w:p>
        </w:tc>
        <w:tc>
          <w:tcPr>
            <w:tcW w:w="3573" w:type="pct"/>
            <w:tcMar>
              <w:top w:w="57" w:type="dxa"/>
              <w:left w:w="170" w:type="dxa"/>
              <w:bottom w:w="57" w:type="dxa"/>
              <w:right w:w="170" w:type="dxa"/>
            </w:tcMar>
          </w:tcPr>
          <w:p w14:paraId="505A1341" w14:textId="2B746EFD" w:rsidR="004468E5" w:rsidRPr="00B47869" w:rsidRDefault="004468E5" w:rsidP="004468E5">
            <w:pPr>
              <w:tabs>
                <w:tab w:val="center" w:pos="3152"/>
              </w:tabs>
              <w:rPr>
                <w:rFonts w:cs="Arial"/>
                <w:szCs w:val="19"/>
              </w:rPr>
            </w:pPr>
            <w:r w:rsidRPr="00B47869">
              <w:rPr>
                <w:rFonts w:cs="Arial"/>
                <w:szCs w:val="19"/>
              </w:rPr>
              <w:t xml:space="preserve">Use as add-on maintenance treatment of adults with uncontrolled chronic obstructive pulmonary disease of an eosinophilic phenotype on a combination of an inhaled corticosteroid, a long acting beta2-agonist and a long-acting muscarinic antagonist </w:t>
            </w:r>
            <w:r w:rsidRPr="00B47869">
              <w:rPr>
                <w:rFonts w:cs="Arial"/>
                <w:sz w:val="16"/>
                <w:szCs w:val="16"/>
              </w:rPr>
              <w:t>[new indication]</w:t>
            </w:r>
          </w:p>
        </w:tc>
      </w:tr>
      <w:tr w:rsidR="004468E5" w:rsidRPr="00B47869" w14:paraId="602B908D" w14:textId="77777777" w:rsidTr="00FC13D0">
        <w:tc>
          <w:tcPr>
            <w:tcW w:w="1427" w:type="pct"/>
            <w:tcMar>
              <w:top w:w="57" w:type="dxa"/>
              <w:left w:w="170" w:type="dxa"/>
              <w:bottom w:w="57" w:type="dxa"/>
              <w:right w:w="170" w:type="dxa"/>
            </w:tcMar>
          </w:tcPr>
          <w:p w14:paraId="16787437" w14:textId="77777777" w:rsidR="004468E5" w:rsidRPr="00B47869" w:rsidRDefault="004468E5" w:rsidP="004468E5">
            <w:pPr>
              <w:rPr>
                <w:rFonts w:cs="Arial"/>
                <w:szCs w:val="19"/>
              </w:rPr>
            </w:pPr>
            <w:r w:rsidRPr="00B47869">
              <w:rPr>
                <w:rFonts w:cs="Arial"/>
                <w:szCs w:val="19"/>
              </w:rPr>
              <w:t>Methylphenidate (</w:t>
            </w:r>
            <w:proofErr w:type="spellStart"/>
            <w:r w:rsidRPr="00B47869">
              <w:rPr>
                <w:rFonts w:cs="Arial"/>
                <w:i/>
                <w:iCs/>
                <w:szCs w:val="19"/>
              </w:rPr>
              <w:t>Tuzulby</w:t>
            </w:r>
            <w:proofErr w:type="spellEnd"/>
            <w:r w:rsidRPr="00B47869">
              <w:rPr>
                <w:rFonts w:cs="Arial"/>
                <w:szCs w:val="19"/>
              </w:rPr>
              <w:t xml:space="preserve">) </w:t>
            </w:r>
          </w:p>
          <w:p w14:paraId="060232F9" w14:textId="260F1C34" w:rsidR="004468E5" w:rsidRPr="00B47869" w:rsidRDefault="004468E5" w:rsidP="004468E5">
            <w:pPr>
              <w:rPr>
                <w:rFonts w:cs="Arial"/>
                <w:szCs w:val="19"/>
              </w:rPr>
            </w:pPr>
            <w:r w:rsidRPr="00B47869">
              <w:rPr>
                <w:rFonts w:cs="Arial"/>
                <w:sz w:val="16"/>
                <w:szCs w:val="16"/>
              </w:rPr>
              <w:t>20mg, 30mg and 40mg modified-release chewable tablets</w:t>
            </w:r>
          </w:p>
        </w:tc>
        <w:tc>
          <w:tcPr>
            <w:tcW w:w="3573" w:type="pct"/>
            <w:tcMar>
              <w:top w:w="57" w:type="dxa"/>
              <w:left w:w="170" w:type="dxa"/>
              <w:bottom w:w="57" w:type="dxa"/>
              <w:right w:w="170" w:type="dxa"/>
            </w:tcMar>
          </w:tcPr>
          <w:p w14:paraId="6A9000E5" w14:textId="77777777" w:rsidR="004468E5" w:rsidRPr="00B47869" w:rsidRDefault="004468E5" w:rsidP="004468E5">
            <w:pPr>
              <w:tabs>
                <w:tab w:val="num" w:pos="720"/>
                <w:tab w:val="center" w:pos="3152"/>
              </w:tabs>
              <w:rPr>
                <w:rFonts w:cs="Arial"/>
                <w:szCs w:val="19"/>
              </w:rPr>
            </w:pPr>
            <w:r w:rsidRPr="00B47869">
              <w:rPr>
                <w:rFonts w:cs="Arial"/>
                <w:szCs w:val="19"/>
              </w:rPr>
              <w:t xml:space="preserve">Use as part of a comprehensive treatment programme for attention deficit/ hyperactivity disorder in children and adolescents aged 6 to 17 years when remedial measures alone prove insufficient </w:t>
            </w:r>
          </w:p>
          <w:p w14:paraId="0C34C9BA" w14:textId="2BC92CFA" w:rsidR="004468E5" w:rsidRPr="00B47869" w:rsidRDefault="004468E5" w:rsidP="004468E5">
            <w:pPr>
              <w:tabs>
                <w:tab w:val="center" w:pos="3152"/>
              </w:tabs>
              <w:rPr>
                <w:rFonts w:cs="Arial"/>
                <w:szCs w:val="19"/>
              </w:rPr>
            </w:pPr>
            <w:r w:rsidRPr="00B47869">
              <w:rPr>
                <w:rFonts w:cs="Arial"/>
                <w:sz w:val="16"/>
                <w:szCs w:val="16"/>
              </w:rPr>
              <w:t>[new chewable modified-release tablet formulations</w:t>
            </w:r>
            <w:r w:rsidR="007436D9">
              <w:rPr>
                <w:rFonts w:cs="Arial"/>
                <w:sz w:val="16"/>
                <w:szCs w:val="16"/>
              </w:rPr>
              <w:t xml:space="preserve"> of methylphenidate</w:t>
            </w:r>
            <w:r w:rsidRPr="00B47869">
              <w:rPr>
                <w:rFonts w:cs="Arial"/>
                <w:sz w:val="16"/>
                <w:szCs w:val="16"/>
              </w:rPr>
              <w:t>]</w:t>
            </w:r>
          </w:p>
        </w:tc>
      </w:tr>
      <w:tr w:rsidR="004468E5" w:rsidRPr="00B47869" w14:paraId="3EC43A99" w14:textId="77777777" w:rsidTr="00FC13D0">
        <w:tc>
          <w:tcPr>
            <w:tcW w:w="1427" w:type="pct"/>
            <w:tcMar>
              <w:top w:w="57" w:type="dxa"/>
              <w:left w:w="170" w:type="dxa"/>
              <w:bottom w:w="57" w:type="dxa"/>
              <w:right w:w="170" w:type="dxa"/>
            </w:tcMar>
          </w:tcPr>
          <w:p w14:paraId="79F29D6C" w14:textId="77777777" w:rsidR="004468E5" w:rsidRPr="00B47869" w:rsidRDefault="004468E5" w:rsidP="004468E5">
            <w:pPr>
              <w:rPr>
                <w:rFonts w:cs="Arial"/>
                <w:szCs w:val="19"/>
              </w:rPr>
            </w:pPr>
            <w:r w:rsidRPr="00B47869">
              <w:rPr>
                <w:rFonts w:cs="Arial"/>
                <w:szCs w:val="19"/>
              </w:rPr>
              <w:t>Octreotide (</w:t>
            </w:r>
            <w:proofErr w:type="spellStart"/>
            <w:r w:rsidRPr="00B47869">
              <w:rPr>
                <w:rFonts w:cs="Arial"/>
                <w:i/>
                <w:iCs/>
                <w:szCs w:val="19"/>
              </w:rPr>
              <w:t>Oczyesa</w:t>
            </w:r>
            <w:proofErr w:type="spellEnd"/>
            <w:r w:rsidRPr="00B47869">
              <w:rPr>
                <w:rFonts w:cs="Arial"/>
                <w:szCs w:val="19"/>
              </w:rPr>
              <w:t>)</w:t>
            </w:r>
          </w:p>
          <w:p w14:paraId="20C26D3B" w14:textId="6B8E43E6" w:rsidR="004468E5" w:rsidRPr="00B47869" w:rsidRDefault="004468E5" w:rsidP="004468E5">
            <w:pPr>
              <w:rPr>
                <w:rFonts w:cs="Arial"/>
                <w:szCs w:val="19"/>
              </w:rPr>
            </w:pPr>
            <w:r w:rsidRPr="00B47869">
              <w:rPr>
                <w:rFonts w:cs="Arial"/>
                <w:sz w:val="16"/>
                <w:szCs w:val="16"/>
              </w:rPr>
              <w:t>20mg in 1mL prefilled pen</w:t>
            </w:r>
          </w:p>
        </w:tc>
        <w:tc>
          <w:tcPr>
            <w:tcW w:w="3573" w:type="pct"/>
            <w:tcMar>
              <w:top w:w="57" w:type="dxa"/>
              <w:left w:w="170" w:type="dxa"/>
              <w:bottom w:w="57" w:type="dxa"/>
              <w:right w:w="170" w:type="dxa"/>
            </w:tcMar>
          </w:tcPr>
          <w:p w14:paraId="5DE53F8F" w14:textId="7BCED628" w:rsidR="004468E5" w:rsidRPr="00B47869" w:rsidRDefault="004468E5" w:rsidP="004468E5">
            <w:pPr>
              <w:tabs>
                <w:tab w:val="center" w:pos="3152"/>
              </w:tabs>
              <w:rPr>
                <w:rFonts w:cs="Arial"/>
                <w:bCs/>
                <w:szCs w:val="19"/>
              </w:rPr>
            </w:pPr>
            <w:r w:rsidRPr="00B47869">
              <w:rPr>
                <w:rFonts w:cs="Arial"/>
                <w:color w:val="000000"/>
                <w:szCs w:val="19"/>
              </w:rPr>
              <w:t xml:space="preserve">Maintenance treatment in adults with acromegaly who have responded to and tolerated treatment with somatostatin analogues </w:t>
            </w:r>
            <w:r w:rsidRPr="00B47869">
              <w:rPr>
                <w:rFonts w:cs="Arial"/>
                <w:color w:val="000000"/>
                <w:sz w:val="16"/>
                <w:szCs w:val="16"/>
              </w:rPr>
              <w:t>[new monthly subcutaneous formulation]</w:t>
            </w:r>
          </w:p>
        </w:tc>
      </w:tr>
      <w:tr w:rsidR="004F4305" w:rsidRPr="00B47869" w14:paraId="61A636B3" w14:textId="77777777" w:rsidTr="00FC13D0">
        <w:tc>
          <w:tcPr>
            <w:tcW w:w="1427" w:type="pct"/>
            <w:tcMar>
              <w:top w:w="57" w:type="dxa"/>
              <w:left w:w="170" w:type="dxa"/>
              <w:bottom w:w="57" w:type="dxa"/>
              <w:right w:w="170" w:type="dxa"/>
            </w:tcMar>
          </w:tcPr>
          <w:p w14:paraId="31F62731" w14:textId="77777777" w:rsidR="004F4305" w:rsidRPr="00B47869" w:rsidRDefault="004F4305" w:rsidP="004F4305">
            <w:pPr>
              <w:rPr>
                <w:rFonts w:cs="Arial"/>
                <w:szCs w:val="19"/>
              </w:rPr>
            </w:pPr>
            <w:r w:rsidRPr="00B47869">
              <w:rPr>
                <w:rFonts w:cs="Arial"/>
                <w:szCs w:val="19"/>
              </w:rPr>
              <w:t>Potassium citrate (</w:t>
            </w:r>
            <w:proofErr w:type="spellStart"/>
            <w:r w:rsidRPr="00B47869">
              <w:rPr>
                <w:rFonts w:cs="Arial"/>
                <w:i/>
                <w:iCs/>
                <w:szCs w:val="19"/>
              </w:rPr>
              <w:t>Renodyra</w:t>
            </w:r>
            <w:proofErr w:type="spellEnd"/>
            <w:r w:rsidRPr="00B47869">
              <w:rPr>
                <w:rFonts w:cs="Arial"/>
                <w:szCs w:val="19"/>
              </w:rPr>
              <w:t>)</w:t>
            </w:r>
          </w:p>
          <w:p w14:paraId="794E8FCC" w14:textId="4B4A5765" w:rsidR="004F4305" w:rsidRPr="00B47869" w:rsidRDefault="004F4305" w:rsidP="004F4305">
            <w:pPr>
              <w:rPr>
                <w:rFonts w:cs="Arial"/>
                <w:szCs w:val="19"/>
              </w:rPr>
            </w:pPr>
            <w:r w:rsidRPr="00B47869">
              <w:rPr>
                <w:rFonts w:cs="Arial"/>
                <w:sz w:val="16"/>
                <w:szCs w:val="16"/>
              </w:rPr>
              <w:t>1,080mg tablet</w:t>
            </w:r>
          </w:p>
        </w:tc>
        <w:tc>
          <w:tcPr>
            <w:tcW w:w="3573" w:type="pct"/>
            <w:tcMar>
              <w:top w:w="57" w:type="dxa"/>
              <w:left w:w="170" w:type="dxa"/>
              <w:bottom w:w="57" w:type="dxa"/>
              <w:right w:w="170" w:type="dxa"/>
            </w:tcMar>
          </w:tcPr>
          <w:p w14:paraId="6B4907D4" w14:textId="77777777" w:rsidR="004F4305" w:rsidRPr="00B47869" w:rsidRDefault="004F4305" w:rsidP="004F4305">
            <w:pPr>
              <w:tabs>
                <w:tab w:val="num" w:pos="720"/>
                <w:tab w:val="center" w:pos="3152"/>
              </w:tabs>
              <w:rPr>
                <w:rFonts w:cs="Arial"/>
                <w:szCs w:val="19"/>
              </w:rPr>
            </w:pPr>
            <w:r w:rsidRPr="00B47869">
              <w:rPr>
                <w:rFonts w:cs="Arial"/>
                <w:szCs w:val="19"/>
              </w:rPr>
              <w:t xml:space="preserve">Use in adults for the treatment of patients with kidney stones and hypocitraturia, or chronic calcium oxalate stones; the treatment and prevention of recurrent uric acid lithiasis with or without calcium lithiasis and cystine lithiasis; the treatment of renal tubular acidosis with calcium nephrolithiasis </w:t>
            </w:r>
          </w:p>
          <w:p w14:paraId="55EF8AA1" w14:textId="638B1F9F" w:rsidR="004F4305" w:rsidRPr="00B47869" w:rsidRDefault="004F4305" w:rsidP="004F4305">
            <w:pPr>
              <w:tabs>
                <w:tab w:val="num" w:pos="720"/>
                <w:tab w:val="center" w:pos="3152"/>
              </w:tabs>
              <w:rPr>
                <w:rFonts w:cs="Arial"/>
                <w:szCs w:val="19"/>
              </w:rPr>
            </w:pPr>
            <w:r w:rsidRPr="00B47869">
              <w:rPr>
                <w:rFonts w:cs="Arial"/>
                <w:sz w:val="16"/>
                <w:szCs w:val="16"/>
              </w:rPr>
              <w:t>[new modified-release tablet formulation with new indication]</w:t>
            </w:r>
          </w:p>
        </w:tc>
      </w:tr>
      <w:tr w:rsidR="004F4305" w:rsidRPr="00B47869" w14:paraId="22AE3085" w14:textId="77777777" w:rsidTr="00FC13D0">
        <w:tc>
          <w:tcPr>
            <w:tcW w:w="1427" w:type="pct"/>
            <w:tcMar>
              <w:top w:w="57" w:type="dxa"/>
              <w:left w:w="170" w:type="dxa"/>
              <w:bottom w:w="57" w:type="dxa"/>
              <w:right w:w="170" w:type="dxa"/>
            </w:tcMar>
          </w:tcPr>
          <w:p w14:paraId="4BA61C22" w14:textId="77777777" w:rsidR="004F4305" w:rsidRPr="00B47869" w:rsidRDefault="004F4305" w:rsidP="004F4305">
            <w:pPr>
              <w:rPr>
                <w:rFonts w:cs="Arial"/>
                <w:szCs w:val="19"/>
              </w:rPr>
            </w:pPr>
            <w:r w:rsidRPr="00B47869">
              <w:rPr>
                <w:rFonts w:cs="Arial"/>
                <w:szCs w:val="19"/>
              </w:rPr>
              <w:t>Semaglutide (</w:t>
            </w:r>
            <w:proofErr w:type="spellStart"/>
            <w:r w:rsidRPr="00B47869">
              <w:rPr>
                <w:rFonts w:cs="Arial"/>
                <w:i/>
                <w:iCs/>
                <w:szCs w:val="19"/>
              </w:rPr>
              <w:t>Wegovy</w:t>
            </w:r>
            <w:proofErr w:type="spellEnd"/>
            <w:r w:rsidRPr="00B47869">
              <w:rPr>
                <w:rFonts w:cs="Arial"/>
                <w:szCs w:val="19"/>
              </w:rPr>
              <w:t>)</w:t>
            </w:r>
          </w:p>
          <w:p w14:paraId="46F301D3" w14:textId="506101B3" w:rsidR="004F4305" w:rsidRPr="00B47869" w:rsidRDefault="004F4305" w:rsidP="004F4305">
            <w:pPr>
              <w:rPr>
                <w:rFonts w:cs="Arial"/>
                <w:sz w:val="16"/>
                <w:szCs w:val="16"/>
              </w:rPr>
            </w:pPr>
            <w:r w:rsidRPr="00B47869">
              <w:rPr>
                <w:rFonts w:cs="Arial"/>
                <w:sz w:val="16"/>
                <w:szCs w:val="16"/>
              </w:rPr>
              <w:t>0.25mg in 0.37mL, 0.5mg in 0.37mL, 1mg in 0.75mL, 1.7mg in 0.75mL and 2.4mg in 0.75mL prefilled pens</w:t>
            </w:r>
          </w:p>
        </w:tc>
        <w:tc>
          <w:tcPr>
            <w:tcW w:w="3573" w:type="pct"/>
            <w:tcMar>
              <w:top w:w="57" w:type="dxa"/>
              <w:left w:w="170" w:type="dxa"/>
              <w:bottom w:w="57" w:type="dxa"/>
              <w:right w:w="170" w:type="dxa"/>
            </w:tcMar>
          </w:tcPr>
          <w:p w14:paraId="6DCE6965" w14:textId="2AE93626" w:rsidR="004F4305" w:rsidRPr="00B47869" w:rsidRDefault="004F4305" w:rsidP="004F4305">
            <w:pPr>
              <w:tabs>
                <w:tab w:val="num" w:pos="720"/>
                <w:tab w:val="center" w:pos="3152"/>
              </w:tabs>
              <w:rPr>
                <w:rFonts w:cs="Arial"/>
                <w:szCs w:val="19"/>
              </w:rPr>
            </w:pPr>
            <w:r w:rsidRPr="00B47869">
              <w:rPr>
                <w:rFonts w:cs="Arial"/>
                <w:szCs w:val="19"/>
              </w:rPr>
              <w:t>Use as an adjunct to a reduced-calorie diet and increased physical activity for weight management, including weight loss and weight maintenance, in adults with an initial body mass index of 30kg/m</w:t>
            </w:r>
            <w:r w:rsidRPr="00B47869">
              <w:rPr>
                <w:rFonts w:cs="Arial"/>
                <w:szCs w:val="19"/>
                <w:vertAlign w:val="superscript"/>
              </w:rPr>
              <w:t>2</w:t>
            </w:r>
            <w:r w:rsidRPr="00B47869">
              <w:rPr>
                <w:rFonts w:cs="Arial"/>
                <w:szCs w:val="19"/>
              </w:rPr>
              <w:t xml:space="preserve"> or higher (obesity), or 27kg/m</w:t>
            </w:r>
            <w:r w:rsidRPr="00B47869">
              <w:rPr>
                <w:rFonts w:cs="Arial"/>
                <w:szCs w:val="19"/>
                <w:vertAlign w:val="superscript"/>
              </w:rPr>
              <w:t>2</w:t>
            </w:r>
            <w:r w:rsidRPr="00B47869">
              <w:rPr>
                <w:rFonts w:cs="Arial"/>
                <w:szCs w:val="19"/>
              </w:rPr>
              <w:t xml:space="preserve"> to less than 30kg/m</w:t>
            </w:r>
            <w:r w:rsidRPr="00B47869">
              <w:rPr>
                <w:rFonts w:cs="Arial"/>
                <w:szCs w:val="19"/>
                <w:vertAlign w:val="superscript"/>
              </w:rPr>
              <w:t>2</w:t>
            </w:r>
            <w:r w:rsidRPr="00B47869">
              <w:rPr>
                <w:rFonts w:cs="Arial"/>
                <w:szCs w:val="19"/>
              </w:rPr>
              <w:t xml:space="preserve"> (overweight) in the presence of at least one weight related comorbidity </w:t>
            </w:r>
            <w:r w:rsidRPr="00B47869">
              <w:rPr>
                <w:rFonts w:cs="Arial"/>
                <w:sz w:val="16"/>
                <w:szCs w:val="16"/>
              </w:rPr>
              <w:t>[new dose regimen for use in adults with obesity, of 7.2 mg once weekly administered as 3 injections of 2.4mg after a minimum of 4 weeks on the 2.4mg dose – note: licensed indication is unchanged]</w:t>
            </w:r>
          </w:p>
        </w:tc>
      </w:tr>
      <w:tr w:rsidR="004F4305" w:rsidRPr="00B47869" w14:paraId="44605BDE" w14:textId="77777777" w:rsidTr="00396D16">
        <w:tc>
          <w:tcPr>
            <w:tcW w:w="5000" w:type="pct"/>
            <w:gridSpan w:val="2"/>
            <w:tcMar>
              <w:top w:w="0" w:type="dxa"/>
              <w:bottom w:w="0" w:type="dxa"/>
            </w:tcMar>
          </w:tcPr>
          <w:p w14:paraId="2464A6D1" w14:textId="77777777" w:rsidR="004F4305" w:rsidRPr="00B47869" w:rsidRDefault="004F4305" w:rsidP="004F4305">
            <w:pPr>
              <w:rPr>
                <w:rFonts w:cs="Arial"/>
                <w:b/>
                <w:sz w:val="8"/>
                <w:szCs w:val="8"/>
              </w:rPr>
            </w:pPr>
          </w:p>
        </w:tc>
      </w:tr>
      <w:tr w:rsidR="004F4305" w:rsidRPr="00B47869" w14:paraId="0CF6D165" w14:textId="77777777" w:rsidTr="00396D16">
        <w:tc>
          <w:tcPr>
            <w:tcW w:w="5000" w:type="pct"/>
            <w:gridSpan w:val="2"/>
            <w:shd w:val="clear" w:color="auto" w:fill="DAEEF3"/>
            <w:tcMar>
              <w:top w:w="0" w:type="dxa"/>
              <w:bottom w:w="0" w:type="dxa"/>
            </w:tcMar>
          </w:tcPr>
          <w:p w14:paraId="3FB1397A" w14:textId="77777777" w:rsidR="004F4305" w:rsidRPr="00B47869" w:rsidRDefault="004F4305" w:rsidP="004F4305">
            <w:pPr>
              <w:rPr>
                <w:rFonts w:cs="Arial"/>
                <w:b/>
                <w:i/>
                <w:sz w:val="8"/>
                <w:szCs w:val="8"/>
              </w:rPr>
            </w:pPr>
          </w:p>
        </w:tc>
      </w:tr>
    </w:tbl>
    <w:p w14:paraId="38105E20" w14:textId="567667B0" w:rsidR="00870487" w:rsidRPr="00B47869" w:rsidRDefault="00870487" w:rsidP="00EB3E6F">
      <w:pPr>
        <w:tabs>
          <w:tab w:val="left" w:pos="2087"/>
        </w:tabs>
      </w:pPr>
    </w:p>
    <w:p w14:paraId="3BA77F2E" w14:textId="77777777" w:rsidR="004F4305" w:rsidRPr="00B47869" w:rsidRDefault="004F4305"/>
    <w:p w14:paraId="5E68D0A8" w14:textId="77777777" w:rsidR="004F4305" w:rsidRPr="00B47869" w:rsidRDefault="004F4305"/>
    <w:p w14:paraId="4FCECE66" w14:textId="77777777" w:rsidR="004F4305" w:rsidRPr="00B47869" w:rsidRDefault="004F4305"/>
    <w:p w14:paraId="29AD0917" w14:textId="77777777" w:rsidR="004F4305" w:rsidRPr="00B47869" w:rsidRDefault="004F4305"/>
    <w:tbl>
      <w:tblPr>
        <w:tblW w:w="5170" w:type="pct"/>
        <w:tblInd w:w="-176" w:type="dxa"/>
        <w:tblLayout w:type="fixed"/>
        <w:tblLook w:val="01E0" w:firstRow="1" w:lastRow="1" w:firstColumn="1" w:lastColumn="1" w:noHBand="0" w:noVBand="0"/>
      </w:tblPr>
      <w:tblGrid>
        <w:gridCol w:w="3294"/>
        <w:gridCol w:w="7257"/>
      </w:tblGrid>
      <w:tr w:rsidR="004F4305" w:rsidRPr="00B47869" w14:paraId="214BBE70" w14:textId="77777777" w:rsidTr="003F1D34">
        <w:tc>
          <w:tcPr>
            <w:tcW w:w="5000" w:type="pct"/>
            <w:gridSpan w:val="2"/>
            <w:shd w:val="clear" w:color="auto" w:fill="0070C0"/>
            <w:tcMar>
              <w:top w:w="85" w:type="dxa"/>
              <w:bottom w:w="85" w:type="dxa"/>
            </w:tcMar>
            <w:vAlign w:val="bottom"/>
          </w:tcPr>
          <w:p w14:paraId="23C6EBAB" w14:textId="77777777" w:rsidR="004F4305" w:rsidRPr="00B47869" w:rsidRDefault="004F4305" w:rsidP="003F1D34">
            <w:pPr>
              <w:rPr>
                <w:rFonts w:cs="Arial"/>
                <w:color w:val="FFFFFF"/>
                <w:sz w:val="15"/>
                <w:szCs w:val="15"/>
              </w:rPr>
            </w:pPr>
            <w:r w:rsidRPr="00B47869">
              <w:rPr>
                <w:rFonts w:cs="Arial"/>
                <w:b/>
                <w:bCs/>
                <w:iCs/>
                <w:color w:val="FFFFFF"/>
                <w:sz w:val="28"/>
                <w:szCs w:val="28"/>
              </w:rPr>
              <w:t>New product information</w:t>
            </w:r>
            <w:r w:rsidRPr="00B47869">
              <w:rPr>
                <w:rFonts w:cs="Arial"/>
                <w:b/>
                <w:bCs/>
                <w:iCs/>
                <w:color w:val="FFFFFF"/>
                <w:sz w:val="28"/>
                <w:szCs w:val="28"/>
              </w:rPr>
              <w:tab/>
            </w:r>
          </w:p>
        </w:tc>
      </w:tr>
      <w:tr w:rsidR="004F4305" w:rsidRPr="00B47869" w14:paraId="29BB16BB" w14:textId="77777777" w:rsidTr="003F1D34">
        <w:tc>
          <w:tcPr>
            <w:tcW w:w="5000" w:type="pct"/>
            <w:gridSpan w:val="2"/>
            <w:shd w:val="clear" w:color="auto" w:fill="DAEEF3"/>
            <w:tcMar>
              <w:top w:w="0" w:type="dxa"/>
              <w:bottom w:w="0" w:type="dxa"/>
            </w:tcMar>
          </w:tcPr>
          <w:p w14:paraId="71D594D1" w14:textId="77777777" w:rsidR="004F4305" w:rsidRPr="00B47869" w:rsidRDefault="004F4305" w:rsidP="003F1D34">
            <w:pPr>
              <w:rPr>
                <w:rFonts w:cs="Arial"/>
                <w:b/>
                <w:bCs/>
                <w:i/>
                <w:iCs/>
                <w:color w:val="000000"/>
                <w:sz w:val="8"/>
                <w:szCs w:val="8"/>
              </w:rPr>
            </w:pPr>
          </w:p>
        </w:tc>
      </w:tr>
      <w:tr w:rsidR="004F4305" w:rsidRPr="00B47869" w14:paraId="52E478C7" w14:textId="77777777" w:rsidTr="003F1D34">
        <w:tc>
          <w:tcPr>
            <w:tcW w:w="5000" w:type="pct"/>
            <w:gridSpan w:val="2"/>
            <w:shd w:val="clear" w:color="auto" w:fill="008232"/>
            <w:tcMar>
              <w:top w:w="57" w:type="dxa"/>
              <w:bottom w:w="57" w:type="dxa"/>
            </w:tcMar>
          </w:tcPr>
          <w:p w14:paraId="0963C0B4" w14:textId="77777777" w:rsidR="004F4305" w:rsidRPr="00B47869" w:rsidRDefault="004F4305" w:rsidP="003F1D34">
            <w:pPr>
              <w:rPr>
                <w:rFonts w:cs="Arial"/>
                <w:color w:val="FFFFFF"/>
                <w:sz w:val="20"/>
                <w:szCs w:val="20"/>
              </w:rPr>
            </w:pPr>
            <w:r w:rsidRPr="00B47869">
              <w:rPr>
                <w:rFonts w:cs="Arial"/>
                <w:b/>
                <w:bCs/>
                <w:i/>
                <w:iCs/>
                <w:color w:val="FFFFFF"/>
                <w:sz w:val="22"/>
                <w:szCs w:val="20"/>
              </w:rPr>
              <w:t xml:space="preserve">Launched in the UK (or licence change for existing products) </w:t>
            </w:r>
            <w:r w:rsidRPr="00B47869">
              <w:rPr>
                <w:rFonts w:cs="Arial"/>
                <w:b/>
                <w:bCs/>
                <w:color w:val="FFFFFF"/>
                <w:sz w:val="16"/>
                <w:szCs w:val="16"/>
              </w:rPr>
              <w:t>(continued)</w:t>
            </w:r>
          </w:p>
        </w:tc>
      </w:tr>
      <w:tr w:rsidR="004F4305" w:rsidRPr="00B47869" w14:paraId="395C7BD3" w14:textId="77777777" w:rsidTr="006277FF">
        <w:tc>
          <w:tcPr>
            <w:tcW w:w="1561" w:type="pct"/>
            <w:tcMar>
              <w:top w:w="57" w:type="dxa"/>
              <w:left w:w="170" w:type="dxa"/>
              <w:bottom w:w="57" w:type="dxa"/>
              <w:right w:w="170" w:type="dxa"/>
            </w:tcMar>
          </w:tcPr>
          <w:p w14:paraId="293685BC" w14:textId="77777777" w:rsidR="004F4305" w:rsidRPr="00B47869" w:rsidRDefault="004F4305" w:rsidP="003F1D34">
            <w:pPr>
              <w:rPr>
                <w:rFonts w:cs="Arial"/>
                <w:szCs w:val="19"/>
              </w:rPr>
            </w:pPr>
            <w:r w:rsidRPr="00B47869">
              <w:rPr>
                <w:rFonts w:cs="Arial"/>
                <w:szCs w:val="19"/>
              </w:rPr>
              <w:t>Ustekinumab biosimilar (</w:t>
            </w:r>
            <w:proofErr w:type="spellStart"/>
            <w:r w:rsidRPr="00B47869">
              <w:rPr>
                <w:rFonts w:cs="Arial"/>
                <w:i/>
                <w:iCs/>
                <w:szCs w:val="19"/>
              </w:rPr>
              <w:t>Pyzchiva</w:t>
            </w:r>
            <w:proofErr w:type="spellEnd"/>
            <w:r w:rsidRPr="00B47869">
              <w:rPr>
                <w:rFonts w:cs="Arial"/>
                <w:szCs w:val="19"/>
              </w:rPr>
              <w:t>)</w:t>
            </w:r>
          </w:p>
          <w:p w14:paraId="2BB53C17" w14:textId="77777777" w:rsidR="004F4305" w:rsidRPr="00B47869" w:rsidRDefault="004F4305" w:rsidP="003F1D34">
            <w:pPr>
              <w:rPr>
                <w:rFonts w:cs="Arial"/>
                <w:sz w:val="16"/>
                <w:szCs w:val="16"/>
              </w:rPr>
            </w:pPr>
            <w:r w:rsidRPr="00B47869">
              <w:rPr>
                <w:rFonts w:cs="Arial"/>
                <w:sz w:val="16"/>
                <w:szCs w:val="16"/>
              </w:rPr>
              <w:t>45mg in 0.5mL and 90mg in 1mL prefilled syringes and 130mg in 26mL vial</w:t>
            </w:r>
          </w:p>
        </w:tc>
        <w:tc>
          <w:tcPr>
            <w:tcW w:w="3439" w:type="pct"/>
            <w:tcMar>
              <w:top w:w="57" w:type="dxa"/>
              <w:left w:w="170" w:type="dxa"/>
              <w:bottom w:w="57" w:type="dxa"/>
              <w:right w:w="170" w:type="dxa"/>
            </w:tcMar>
          </w:tcPr>
          <w:p w14:paraId="62CEFA12" w14:textId="77777777" w:rsidR="004F4305" w:rsidRPr="00B47869" w:rsidRDefault="004F4305" w:rsidP="003F1D34">
            <w:pPr>
              <w:tabs>
                <w:tab w:val="center" w:pos="3152"/>
              </w:tabs>
              <w:rPr>
                <w:rFonts w:cs="Arial"/>
                <w:color w:val="000000"/>
                <w:szCs w:val="19"/>
              </w:rPr>
            </w:pPr>
            <w:r w:rsidRPr="00B47869">
              <w:rPr>
                <w:rFonts w:cs="Arial"/>
                <w:color w:val="000000"/>
                <w:szCs w:val="19"/>
              </w:rPr>
              <w:t xml:space="preserve">Treatment of moderately to severely active Crohn’s disease in paediatric patients weighing at least 40 kg, who have had an inadequate response to, or were intolerant to either conventional or biologic therapy </w:t>
            </w:r>
            <w:r w:rsidRPr="00B47869">
              <w:rPr>
                <w:rFonts w:cs="Arial"/>
                <w:sz w:val="16"/>
                <w:szCs w:val="16"/>
              </w:rPr>
              <w:t>[new indication]</w:t>
            </w:r>
          </w:p>
        </w:tc>
      </w:tr>
      <w:tr w:rsidR="004F4305" w:rsidRPr="00B47869" w14:paraId="2A7FD311" w14:textId="77777777" w:rsidTr="003F1D34">
        <w:tc>
          <w:tcPr>
            <w:tcW w:w="5000" w:type="pct"/>
            <w:gridSpan w:val="2"/>
            <w:tcMar>
              <w:top w:w="0" w:type="dxa"/>
              <w:bottom w:w="0" w:type="dxa"/>
            </w:tcMar>
          </w:tcPr>
          <w:p w14:paraId="2C072E16" w14:textId="77777777" w:rsidR="004F4305" w:rsidRPr="00B47869" w:rsidRDefault="004F4305" w:rsidP="003F1D34">
            <w:pPr>
              <w:rPr>
                <w:rFonts w:cs="Arial"/>
                <w:b/>
                <w:sz w:val="8"/>
                <w:szCs w:val="8"/>
              </w:rPr>
            </w:pPr>
          </w:p>
        </w:tc>
      </w:tr>
      <w:tr w:rsidR="004F4305" w:rsidRPr="00B47869" w14:paraId="604102E7" w14:textId="77777777" w:rsidTr="003F1D34">
        <w:tc>
          <w:tcPr>
            <w:tcW w:w="5000" w:type="pct"/>
            <w:gridSpan w:val="2"/>
            <w:shd w:val="clear" w:color="auto" w:fill="DAEEF3"/>
            <w:tcMar>
              <w:top w:w="0" w:type="dxa"/>
              <w:bottom w:w="0" w:type="dxa"/>
            </w:tcMar>
          </w:tcPr>
          <w:p w14:paraId="04D0FB30" w14:textId="77777777" w:rsidR="004F4305" w:rsidRPr="00B47869" w:rsidRDefault="004F4305" w:rsidP="003F1D34">
            <w:pPr>
              <w:rPr>
                <w:rFonts w:cs="Arial"/>
                <w:b/>
                <w:i/>
                <w:sz w:val="8"/>
                <w:szCs w:val="8"/>
              </w:rPr>
            </w:pPr>
          </w:p>
        </w:tc>
      </w:tr>
    </w:tbl>
    <w:p w14:paraId="0EFB1A8E" w14:textId="77777777" w:rsidR="004F4305" w:rsidRPr="00B47869" w:rsidRDefault="004F4305"/>
    <w:p w14:paraId="6F09CE7A" w14:textId="77777777" w:rsidR="006277FF" w:rsidRPr="00B47869" w:rsidRDefault="006277FF"/>
    <w:p w14:paraId="17749F9C" w14:textId="52367035" w:rsidR="00870487" w:rsidRPr="00B47869" w:rsidRDefault="00870487"/>
    <w:p w14:paraId="7F98C636" w14:textId="77777777" w:rsidR="004F4305" w:rsidRPr="00B47869" w:rsidRDefault="004F4305"/>
    <w:p w14:paraId="475E0FA8" w14:textId="77777777" w:rsidR="004F4305" w:rsidRPr="00B47869" w:rsidRDefault="004F4305"/>
    <w:tbl>
      <w:tblPr>
        <w:tblW w:w="5170" w:type="pct"/>
        <w:tblInd w:w="-176" w:type="dxa"/>
        <w:tblLayout w:type="fixed"/>
        <w:tblLook w:val="01E0" w:firstRow="1" w:lastRow="1" w:firstColumn="1" w:lastColumn="1" w:noHBand="0" w:noVBand="0"/>
      </w:tblPr>
      <w:tblGrid>
        <w:gridCol w:w="2430"/>
        <w:gridCol w:w="623"/>
        <w:gridCol w:w="7498"/>
      </w:tblGrid>
      <w:tr w:rsidR="005A7E09" w:rsidRPr="00B47869" w14:paraId="591DFCD7" w14:textId="77777777" w:rsidTr="005A7E09">
        <w:tc>
          <w:tcPr>
            <w:tcW w:w="5000" w:type="pct"/>
            <w:gridSpan w:val="3"/>
            <w:shd w:val="clear" w:color="auto" w:fill="0070C0"/>
            <w:tcMar>
              <w:top w:w="85" w:type="dxa"/>
              <w:bottom w:w="85" w:type="dxa"/>
            </w:tcMar>
            <w:vAlign w:val="bottom"/>
          </w:tcPr>
          <w:p w14:paraId="3A93F4AA" w14:textId="77777777" w:rsidR="005A7E09" w:rsidRPr="00B47869" w:rsidRDefault="005A7E09" w:rsidP="005A7E09">
            <w:pPr>
              <w:rPr>
                <w:rFonts w:cs="Arial"/>
                <w:color w:val="FFFFFF"/>
                <w:sz w:val="15"/>
                <w:szCs w:val="15"/>
              </w:rPr>
            </w:pPr>
            <w:r w:rsidRPr="00B47869">
              <w:rPr>
                <w:rFonts w:cs="Arial"/>
                <w:b/>
                <w:bCs/>
                <w:iCs/>
                <w:color w:val="FFFFFF"/>
                <w:sz w:val="28"/>
                <w:szCs w:val="28"/>
              </w:rPr>
              <w:t xml:space="preserve">Regulatory changes in the </w:t>
            </w:r>
            <w:r w:rsidR="00AA1F49" w:rsidRPr="00B47869">
              <w:rPr>
                <w:rFonts w:cs="Arial"/>
                <w:b/>
                <w:bCs/>
                <w:iCs/>
                <w:color w:val="FFFFFF"/>
                <w:sz w:val="28"/>
                <w:szCs w:val="28"/>
              </w:rPr>
              <w:t xml:space="preserve">UK or </w:t>
            </w:r>
            <w:r w:rsidRPr="00B47869">
              <w:rPr>
                <w:rFonts w:cs="Arial"/>
                <w:b/>
                <w:bCs/>
                <w:iCs/>
                <w:color w:val="FFFFFF"/>
                <w:sz w:val="28"/>
                <w:szCs w:val="28"/>
              </w:rPr>
              <w:t>EU</w:t>
            </w:r>
            <w:r w:rsidRPr="00B47869">
              <w:rPr>
                <w:rFonts w:cs="Arial"/>
                <w:b/>
                <w:bCs/>
                <w:iCs/>
                <w:color w:val="FFFFFF"/>
                <w:sz w:val="28"/>
                <w:szCs w:val="28"/>
              </w:rPr>
              <w:tab/>
            </w:r>
          </w:p>
        </w:tc>
      </w:tr>
      <w:tr w:rsidR="005A7E09" w:rsidRPr="00B47869" w14:paraId="4D8FDD59" w14:textId="77777777" w:rsidTr="005A7E09">
        <w:tc>
          <w:tcPr>
            <w:tcW w:w="5000" w:type="pct"/>
            <w:gridSpan w:val="3"/>
            <w:shd w:val="clear" w:color="auto" w:fill="DAEEF3"/>
            <w:tcMar>
              <w:top w:w="0" w:type="dxa"/>
              <w:bottom w:w="0" w:type="dxa"/>
            </w:tcMar>
          </w:tcPr>
          <w:p w14:paraId="6E79B133" w14:textId="77777777" w:rsidR="005A7E09" w:rsidRPr="00B47869" w:rsidRDefault="005A7E09" w:rsidP="005A7E09">
            <w:pPr>
              <w:rPr>
                <w:rFonts w:cs="Arial"/>
                <w:b/>
                <w:bCs/>
                <w:i/>
                <w:iCs/>
                <w:color w:val="000000"/>
                <w:sz w:val="8"/>
                <w:szCs w:val="8"/>
              </w:rPr>
            </w:pPr>
          </w:p>
        </w:tc>
      </w:tr>
      <w:tr w:rsidR="005A7E09" w:rsidRPr="00B47869" w14:paraId="5807C54F" w14:textId="77777777" w:rsidTr="00562CE4">
        <w:tc>
          <w:tcPr>
            <w:tcW w:w="5000" w:type="pct"/>
            <w:gridSpan w:val="3"/>
            <w:shd w:val="clear" w:color="auto" w:fill="008232"/>
            <w:tcMar>
              <w:top w:w="57" w:type="dxa"/>
              <w:bottom w:w="57" w:type="dxa"/>
            </w:tcMar>
          </w:tcPr>
          <w:p w14:paraId="232B87DC" w14:textId="77777777" w:rsidR="005A7E09" w:rsidRPr="00B47869" w:rsidRDefault="005A7E09" w:rsidP="00EB3E6F">
            <w:pPr>
              <w:rPr>
                <w:rFonts w:cs="Arial"/>
                <w:color w:val="FFFFFF"/>
                <w:sz w:val="20"/>
                <w:szCs w:val="20"/>
              </w:rPr>
            </w:pPr>
            <w:r w:rsidRPr="00B47869">
              <w:rPr>
                <w:rFonts w:cs="Arial"/>
                <w:b/>
                <w:bCs/>
                <w:i/>
                <w:iCs/>
                <w:color w:val="FFFFFF"/>
                <w:sz w:val="22"/>
                <w:szCs w:val="20"/>
              </w:rPr>
              <w:t xml:space="preserve">Approved in the </w:t>
            </w:r>
            <w:r w:rsidR="0048777D" w:rsidRPr="00B47869">
              <w:rPr>
                <w:rFonts w:cs="Arial"/>
                <w:b/>
                <w:bCs/>
                <w:i/>
                <w:iCs/>
                <w:color w:val="FFFFFF"/>
                <w:sz w:val="22"/>
                <w:szCs w:val="20"/>
              </w:rPr>
              <w:t>UK</w:t>
            </w:r>
          </w:p>
        </w:tc>
      </w:tr>
      <w:tr w:rsidR="005307F9" w:rsidRPr="00B47869" w14:paraId="2F2C80D6" w14:textId="77777777" w:rsidTr="00355B51">
        <w:tc>
          <w:tcPr>
            <w:tcW w:w="1447" w:type="pct"/>
            <w:gridSpan w:val="2"/>
            <w:tcMar>
              <w:top w:w="57" w:type="dxa"/>
              <w:bottom w:w="57" w:type="dxa"/>
            </w:tcMar>
          </w:tcPr>
          <w:p w14:paraId="08D75A81" w14:textId="77777777" w:rsidR="005307F9" w:rsidRPr="00B47869" w:rsidRDefault="005307F9" w:rsidP="005307F9">
            <w:pPr>
              <w:rPr>
                <w:rFonts w:cs="Arial"/>
                <w:szCs w:val="19"/>
              </w:rPr>
            </w:pPr>
            <w:proofErr w:type="spellStart"/>
            <w:r w:rsidRPr="00B47869">
              <w:rPr>
                <w:rFonts w:cs="Arial"/>
                <w:szCs w:val="19"/>
              </w:rPr>
              <w:t>Nirogacestat</w:t>
            </w:r>
            <w:proofErr w:type="spellEnd"/>
            <w:r w:rsidRPr="00B47869">
              <w:rPr>
                <w:rFonts w:cs="Arial"/>
                <w:szCs w:val="19"/>
              </w:rPr>
              <w:t xml:space="preserve"> (</w:t>
            </w:r>
            <w:proofErr w:type="spellStart"/>
            <w:r w:rsidRPr="00B47869">
              <w:rPr>
                <w:rFonts w:cs="Arial"/>
                <w:i/>
                <w:iCs/>
                <w:szCs w:val="19"/>
              </w:rPr>
              <w:t>Ogsiveo</w:t>
            </w:r>
            <w:proofErr w:type="spellEnd"/>
            <w:r w:rsidRPr="00B47869">
              <w:rPr>
                <w:rFonts w:cs="Arial"/>
                <w:szCs w:val="19"/>
              </w:rPr>
              <w:t>)</w:t>
            </w:r>
          </w:p>
          <w:p w14:paraId="4FCAAC7A" w14:textId="48B7C2BB" w:rsidR="005307F9" w:rsidRPr="00B47869" w:rsidRDefault="005307F9" w:rsidP="005307F9">
            <w:pPr>
              <w:rPr>
                <w:rFonts w:cs="Arial"/>
                <w:szCs w:val="19"/>
              </w:rPr>
            </w:pPr>
            <w:r w:rsidRPr="00B47869">
              <w:rPr>
                <w:rFonts w:cs="Arial"/>
                <w:sz w:val="16"/>
                <w:szCs w:val="16"/>
              </w:rPr>
              <w:t>100mg and 150mg tablets</w:t>
            </w:r>
          </w:p>
        </w:tc>
        <w:tc>
          <w:tcPr>
            <w:tcW w:w="3553" w:type="pct"/>
            <w:tcMar>
              <w:top w:w="57" w:type="dxa"/>
              <w:bottom w:w="57" w:type="dxa"/>
            </w:tcMar>
          </w:tcPr>
          <w:p w14:paraId="2D479BB0" w14:textId="0B5F69F1" w:rsidR="005307F9" w:rsidRPr="00B47869" w:rsidRDefault="005307F9" w:rsidP="005307F9">
            <w:pPr>
              <w:tabs>
                <w:tab w:val="center" w:pos="3152"/>
              </w:tabs>
              <w:rPr>
                <w:rFonts w:cs="Arial"/>
                <w:sz w:val="18"/>
                <w:szCs w:val="18"/>
              </w:rPr>
            </w:pPr>
            <w:r w:rsidRPr="00B47869">
              <w:rPr>
                <w:rFonts w:cs="Arial"/>
                <w:szCs w:val="19"/>
              </w:rPr>
              <w:t>Use as monotherapy for the treatment of adults with progressing desmoid tumours who require systemic treatment</w:t>
            </w:r>
          </w:p>
        </w:tc>
      </w:tr>
      <w:tr w:rsidR="005307F9" w:rsidRPr="00B47869" w14:paraId="3F5329FE" w14:textId="77777777" w:rsidTr="00355B51">
        <w:tc>
          <w:tcPr>
            <w:tcW w:w="1447" w:type="pct"/>
            <w:gridSpan w:val="2"/>
            <w:tcMar>
              <w:top w:w="57" w:type="dxa"/>
              <w:bottom w:w="57" w:type="dxa"/>
            </w:tcMar>
          </w:tcPr>
          <w:p w14:paraId="666FEE02" w14:textId="77777777" w:rsidR="005307F9" w:rsidRPr="00B47869" w:rsidRDefault="005307F9" w:rsidP="005307F9">
            <w:pPr>
              <w:rPr>
                <w:rFonts w:cs="Arial"/>
                <w:szCs w:val="19"/>
              </w:rPr>
            </w:pPr>
            <w:proofErr w:type="spellStart"/>
            <w:r w:rsidRPr="00B47869">
              <w:rPr>
                <w:rFonts w:cs="Arial"/>
                <w:szCs w:val="19"/>
              </w:rPr>
              <w:t>Pegcetacoplan</w:t>
            </w:r>
            <w:proofErr w:type="spellEnd"/>
            <w:r w:rsidRPr="00B47869">
              <w:rPr>
                <w:rFonts w:cs="Arial"/>
                <w:szCs w:val="19"/>
              </w:rPr>
              <w:t xml:space="preserve"> (</w:t>
            </w:r>
            <w:proofErr w:type="spellStart"/>
            <w:r w:rsidRPr="00B47869">
              <w:rPr>
                <w:rFonts w:cs="Arial"/>
                <w:i/>
                <w:iCs/>
                <w:szCs w:val="19"/>
              </w:rPr>
              <w:t>Aspaveli</w:t>
            </w:r>
            <w:proofErr w:type="spellEnd"/>
            <w:r w:rsidRPr="00B47869">
              <w:rPr>
                <w:rFonts w:cs="Arial"/>
                <w:szCs w:val="19"/>
              </w:rPr>
              <w:t>)</w:t>
            </w:r>
          </w:p>
          <w:p w14:paraId="595759AC" w14:textId="6F0AAA0D" w:rsidR="005307F9" w:rsidRPr="00B47869" w:rsidRDefault="005307F9" w:rsidP="005307F9">
            <w:pPr>
              <w:rPr>
                <w:rFonts w:cs="Arial"/>
                <w:szCs w:val="19"/>
              </w:rPr>
            </w:pPr>
            <w:r w:rsidRPr="00B47869">
              <w:rPr>
                <w:rFonts w:cs="Arial"/>
                <w:sz w:val="16"/>
                <w:szCs w:val="16"/>
              </w:rPr>
              <w:t>1,080mg in 20mL vial</w:t>
            </w:r>
          </w:p>
        </w:tc>
        <w:tc>
          <w:tcPr>
            <w:tcW w:w="3553" w:type="pct"/>
            <w:tcMar>
              <w:top w:w="57" w:type="dxa"/>
              <w:bottom w:w="57" w:type="dxa"/>
            </w:tcMar>
          </w:tcPr>
          <w:p w14:paraId="0971FC32" w14:textId="77777777" w:rsidR="005307F9" w:rsidRPr="00B47869" w:rsidRDefault="005307F9" w:rsidP="005307F9">
            <w:pPr>
              <w:tabs>
                <w:tab w:val="num" w:pos="720"/>
                <w:tab w:val="center" w:pos="3152"/>
              </w:tabs>
              <w:rPr>
                <w:rFonts w:cs="Arial"/>
                <w:szCs w:val="19"/>
              </w:rPr>
            </w:pPr>
            <w:r w:rsidRPr="00B47869">
              <w:rPr>
                <w:rFonts w:cs="Arial"/>
                <w:szCs w:val="19"/>
              </w:rPr>
              <w:t xml:space="preserve">Use as monotherapy in the treatment of adults with paroxysmal nocturnal haemoglobinuria who have haemolytic anaemia </w:t>
            </w:r>
          </w:p>
          <w:p w14:paraId="071803B7" w14:textId="74E4B6AB" w:rsidR="005307F9" w:rsidRPr="00B47869" w:rsidRDefault="005307F9" w:rsidP="005307F9">
            <w:pPr>
              <w:tabs>
                <w:tab w:val="center" w:pos="3152"/>
              </w:tabs>
              <w:rPr>
                <w:rFonts w:cs="Arial"/>
                <w:szCs w:val="19"/>
              </w:rPr>
            </w:pPr>
            <w:r w:rsidRPr="00B47869">
              <w:rPr>
                <w:rFonts w:cs="Arial"/>
                <w:sz w:val="16"/>
                <w:szCs w:val="16"/>
              </w:rPr>
              <w:t>[administration using a new on-body delivery system]</w:t>
            </w:r>
          </w:p>
        </w:tc>
      </w:tr>
      <w:tr w:rsidR="005307F9" w:rsidRPr="00B47869" w14:paraId="13DD9B74" w14:textId="77777777" w:rsidTr="00355B51">
        <w:tc>
          <w:tcPr>
            <w:tcW w:w="1447" w:type="pct"/>
            <w:gridSpan w:val="2"/>
            <w:tcMar>
              <w:top w:w="57" w:type="dxa"/>
              <w:bottom w:w="57" w:type="dxa"/>
            </w:tcMar>
          </w:tcPr>
          <w:p w14:paraId="1999C8AE" w14:textId="77777777" w:rsidR="005307F9" w:rsidRPr="00B47869" w:rsidRDefault="005307F9" w:rsidP="005307F9">
            <w:pPr>
              <w:rPr>
                <w:rFonts w:cs="Arial"/>
                <w:szCs w:val="19"/>
              </w:rPr>
            </w:pPr>
            <w:r w:rsidRPr="00B47869">
              <w:rPr>
                <w:rFonts w:cs="Arial"/>
                <w:szCs w:val="19"/>
              </w:rPr>
              <w:t>Respiratory syncytial virus vaccine (</w:t>
            </w:r>
            <w:proofErr w:type="spellStart"/>
            <w:r w:rsidRPr="00B47869">
              <w:rPr>
                <w:rFonts w:cs="Arial"/>
                <w:i/>
                <w:iCs/>
                <w:szCs w:val="19"/>
              </w:rPr>
              <w:t>mRESVIA</w:t>
            </w:r>
            <w:proofErr w:type="spellEnd"/>
            <w:r w:rsidRPr="00B47869">
              <w:rPr>
                <w:rFonts w:cs="Arial"/>
                <w:szCs w:val="19"/>
              </w:rPr>
              <w:t>)</w:t>
            </w:r>
          </w:p>
          <w:p w14:paraId="24CF34E2" w14:textId="02AB756D" w:rsidR="005307F9" w:rsidRPr="00B47869" w:rsidRDefault="005307F9" w:rsidP="005307F9">
            <w:pPr>
              <w:rPr>
                <w:rFonts w:cs="Arial"/>
                <w:sz w:val="16"/>
                <w:szCs w:val="16"/>
              </w:rPr>
            </w:pPr>
            <w:r w:rsidRPr="00B47869">
              <w:rPr>
                <w:rFonts w:cs="Arial"/>
                <w:sz w:val="16"/>
                <w:szCs w:val="16"/>
              </w:rPr>
              <w:t>Single-dose prefilled syringe</w:t>
            </w:r>
          </w:p>
        </w:tc>
        <w:tc>
          <w:tcPr>
            <w:tcW w:w="3553" w:type="pct"/>
            <w:tcMar>
              <w:top w:w="57" w:type="dxa"/>
              <w:bottom w:w="57" w:type="dxa"/>
            </w:tcMar>
          </w:tcPr>
          <w:p w14:paraId="53C5EECC" w14:textId="36BEDEB2" w:rsidR="005307F9" w:rsidRPr="00B47869" w:rsidRDefault="005307F9" w:rsidP="005307F9">
            <w:pPr>
              <w:tabs>
                <w:tab w:val="center" w:pos="3152"/>
              </w:tabs>
              <w:rPr>
                <w:rFonts w:cs="Arial"/>
                <w:color w:val="000000"/>
                <w:szCs w:val="19"/>
              </w:rPr>
            </w:pPr>
            <w:r w:rsidRPr="00B47869">
              <w:rPr>
                <w:rFonts w:cs="Arial"/>
                <w:color w:val="000000"/>
                <w:szCs w:val="19"/>
              </w:rPr>
              <w:t xml:space="preserve">Active immunisation for the prevention of lower respiratory tract disease (LRTD) caused by respiratory syncytial virus (RSV) in </w:t>
            </w:r>
            <w:r w:rsidR="002936FA" w:rsidRPr="002936FA">
              <w:rPr>
                <w:rFonts w:cs="Arial"/>
                <w:color w:val="000000"/>
                <w:szCs w:val="19"/>
              </w:rPr>
              <w:t xml:space="preserve">adults </w:t>
            </w:r>
            <w:r w:rsidR="00116E5D">
              <w:rPr>
                <w:rFonts w:cs="Arial"/>
                <w:color w:val="000000"/>
                <w:szCs w:val="19"/>
              </w:rPr>
              <w:t xml:space="preserve">aged </w:t>
            </w:r>
            <w:r w:rsidR="002936FA" w:rsidRPr="002936FA">
              <w:rPr>
                <w:rFonts w:cs="Arial"/>
                <w:color w:val="000000"/>
                <w:szCs w:val="19"/>
              </w:rPr>
              <w:t>60 years and older</w:t>
            </w:r>
            <w:r w:rsidR="002936FA">
              <w:rPr>
                <w:rFonts w:cs="Arial"/>
                <w:color w:val="000000"/>
                <w:szCs w:val="19"/>
              </w:rPr>
              <w:t xml:space="preserve"> and </w:t>
            </w:r>
            <w:r w:rsidRPr="00B47869">
              <w:rPr>
                <w:rFonts w:cs="Arial"/>
                <w:color w:val="000000"/>
                <w:szCs w:val="19"/>
              </w:rPr>
              <w:t xml:space="preserve">adults aged 18 through 59 years who are at increased risk for LRTD caused by RSV </w:t>
            </w:r>
          </w:p>
          <w:p w14:paraId="3C2C8B02" w14:textId="4E41F7A2" w:rsidR="005307F9" w:rsidRPr="00B47869" w:rsidRDefault="005307F9" w:rsidP="005307F9">
            <w:pPr>
              <w:tabs>
                <w:tab w:val="center" w:pos="3152"/>
              </w:tabs>
              <w:rPr>
                <w:rFonts w:cs="Arial"/>
                <w:color w:val="000000"/>
                <w:szCs w:val="19"/>
              </w:rPr>
            </w:pPr>
            <w:r w:rsidRPr="00B47869">
              <w:rPr>
                <w:rFonts w:cs="Arial"/>
                <w:color w:val="000000"/>
                <w:sz w:val="16"/>
                <w:szCs w:val="16"/>
              </w:rPr>
              <w:t>[licence change from use only from age 60 years]</w:t>
            </w:r>
          </w:p>
        </w:tc>
      </w:tr>
      <w:tr w:rsidR="005307F9" w:rsidRPr="00B47869" w14:paraId="681F740E" w14:textId="77777777" w:rsidTr="00355B51">
        <w:tc>
          <w:tcPr>
            <w:tcW w:w="1447" w:type="pct"/>
            <w:gridSpan w:val="2"/>
            <w:tcMar>
              <w:top w:w="57" w:type="dxa"/>
              <w:bottom w:w="57" w:type="dxa"/>
            </w:tcMar>
          </w:tcPr>
          <w:p w14:paraId="407F0775" w14:textId="77777777" w:rsidR="005307F9" w:rsidRPr="00B47869" w:rsidRDefault="005307F9" w:rsidP="005307F9">
            <w:pPr>
              <w:rPr>
                <w:rFonts w:cs="Arial"/>
                <w:szCs w:val="19"/>
              </w:rPr>
            </w:pPr>
            <w:r w:rsidRPr="00B47869">
              <w:rPr>
                <w:rFonts w:cs="Arial"/>
                <w:szCs w:val="19"/>
              </w:rPr>
              <w:t>Tislelizumab (</w:t>
            </w:r>
            <w:proofErr w:type="spellStart"/>
            <w:r w:rsidRPr="00B47869">
              <w:rPr>
                <w:rFonts w:cs="Arial"/>
                <w:i/>
                <w:iCs/>
                <w:szCs w:val="19"/>
              </w:rPr>
              <w:t>Tevimbra</w:t>
            </w:r>
            <w:proofErr w:type="spellEnd"/>
            <w:r w:rsidRPr="00B47869">
              <w:rPr>
                <w:rFonts w:cs="Arial"/>
                <w:szCs w:val="19"/>
              </w:rPr>
              <w:t>)</w:t>
            </w:r>
          </w:p>
          <w:p w14:paraId="37A16ECF" w14:textId="505CBBAB" w:rsidR="005307F9" w:rsidRPr="00B47869" w:rsidRDefault="005307F9" w:rsidP="005307F9">
            <w:pPr>
              <w:rPr>
                <w:rFonts w:cs="Arial"/>
                <w:sz w:val="16"/>
                <w:szCs w:val="16"/>
              </w:rPr>
            </w:pPr>
            <w:r w:rsidRPr="00B47869">
              <w:rPr>
                <w:rFonts w:cs="Arial"/>
                <w:sz w:val="16"/>
                <w:szCs w:val="16"/>
              </w:rPr>
              <w:t>100mg in 10mL vial</w:t>
            </w:r>
          </w:p>
        </w:tc>
        <w:tc>
          <w:tcPr>
            <w:tcW w:w="3553" w:type="pct"/>
            <w:tcMar>
              <w:top w:w="57" w:type="dxa"/>
              <w:bottom w:w="57" w:type="dxa"/>
            </w:tcMar>
          </w:tcPr>
          <w:p w14:paraId="4724C17B" w14:textId="38BB96B6" w:rsidR="005307F9" w:rsidRPr="00B47869" w:rsidRDefault="005307F9" w:rsidP="005307F9">
            <w:pPr>
              <w:tabs>
                <w:tab w:val="center" w:pos="3152"/>
              </w:tabs>
              <w:rPr>
                <w:rFonts w:cs="Arial"/>
                <w:szCs w:val="19"/>
              </w:rPr>
            </w:pPr>
            <w:r w:rsidRPr="00B47869">
              <w:rPr>
                <w:rFonts w:cs="Arial"/>
                <w:szCs w:val="19"/>
              </w:rPr>
              <w:t xml:space="preserve">Use in combination with platinum-based chemotherapy, for the first-line treatment of adults with unresectable, locally advanced or metastatic oesophageal squamous cell carcinoma whose tumours express PD L1 with a TAP score ≥5% </w:t>
            </w:r>
            <w:r w:rsidRPr="00B47869">
              <w:rPr>
                <w:rFonts w:cs="Arial"/>
                <w:sz w:val="16"/>
                <w:szCs w:val="16"/>
              </w:rPr>
              <w:t>[new indication]</w:t>
            </w:r>
          </w:p>
        </w:tc>
      </w:tr>
      <w:tr w:rsidR="005307F9" w:rsidRPr="00B47869" w14:paraId="5B61AE8D" w14:textId="77777777" w:rsidTr="00355B51">
        <w:tc>
          <w:tcPr>
            <w:tcW w:w="1447" w:type="pct"/>
            <w:gridSpan w:val="2"/>
            <w:tcMar>
              <w:top w:w="57" w:type="dxa"/>
              <w:bottom w:w="57" w:type="dxa"/>
            </w:tcMar>
          </w:tcPr>
          <w:p w14:paraId="19B43E44" w14:textId="138F09FB" w:rsidR="005307F9" w:rsidRPr="00B47869" w:rsidRDefault="005307F9" w:rsidP="005307F9">
            <w:pPr>
              <w:rPr>
                <w:rFonts w:cs="Arial"/>
                <w:szCs w:val="19"/>
              </w:rPr>
            </w:pPr>
            <w:proofErr w:type="spellStart"/>
            <w:r w:rsidRPr="00B47869">
              <w:rPr>
                <w:rFonts w:cs="Arial"/>
                <w:szCs w:val="19"/>
              </w:rPr>
              <w:t>Zapomeran</w:t>
            </w:r>
            <w:proofErr w:type="spellEnd"/>
            <w:r w:rsidRPr="00B47869">
              <w:rPr>
                <w:rFonts w:cs="Arial"/>
                <w:szCs w:val="19"/>
              </w:rPr>
              <w:t xml:space="preserve"> (</w:t>
            </w:r>
            <w:proofErr w:type="spellStart"/>
            <w:r w:rsidRPr="00B47869">
              <w:rPr>
                <w:rFonts w:cs="Arial"/>
                <w:i/>
                <w:iCs/>
                <w:szCs w:val="19"/>
              </w:rPr>
              <w:t>Kostaive</w:t>
            </w:r>
            <w:proofErr w:type="spellEnd"/>
            <w:r w:rsidRPr="00B47869">
              <w:rPr>
                <w:rFonts w:cs="Arial"/>
                <w:szCs w:val="19"/>
              </w:rPr>
              <w:t>)</w:t>
            </w:r>
            <w:r w:rsidRPr="00B47869">
              <w:rPr>
                <w:rFonts w:cs="Arial"/>
                <w:szCs w:val="19"/>
              </w:rPr>
              <w:br/>
            </w:r>
            <w:proofErr w:type="gramStart"/>
            <w:r w:rsidRPr="00B47869">
              <w:rPr>
                <w:rFonts w:cs="Arial"/>
                <w:sz w:val="16"/>
                <w:szCs w:val="16"/>
              </w:rPr>
              <w:t>Multi-dose</w:t>
            </w:r>
            <w:proofErr w:type="gramEnd"/>
            <w:r w:rsidRPr="00B47869">
              <w:rPr>
                <w:rFonts w:cs="Arial"/>
                <w:sz w:val="16"/>
                <w:szCs w:val="16"/>
              </w:rPr>
              <w:t xml:space="preserve"> vial</w:t>
            </w:r>
          </w:p>
        </w:tc>
        <w:tc>
          <w:tcPr>
            <w:tcW w:w="3553" w:type="pct"/>
            <w:tcMar>
              <w:top w:w="57" w:type="dxa"/>
              <w:bottom w:w="57" w:type="dxa"/>
            </w:tcMar>
          </w:tcPr>
          <w:p w14:paraId="32C56FE0" w14:textId="6E54DFCB" w:rsidR="005307F9" w:rsidRPr="00B47869" w:rsidRDefault="005307F9" w:rsidP="005307F9">
            <w:pPr>
              <w:tabs>
                <w:tab w:val="center" w:pos="3152"/>
              </w:tabs>
              <w:rPr>
                <w:rFonts w:cs="Arial"/>
                <w:szCs w:val="19"/>
              </w:rPr>
            </w:pPr>
            <w:r w:rsidRPr="00B47869">
              <w:rPr>
                <w:rFonts w:cs="Arial"/>
                <w:szCs w:val="19"/>
              </w:rPr>
              <w:t>Active immunisation to prevent COVID-19 caused by SARS-CoV-2 in individuals 18 years of age and older</w:t>
            </w:r>
          </w:p>
        </w:tc>
      </w:tr>
      <w:tr w:rsidR="005307F9" w:rsidRPr="00B47869" w14:paraId="358E0DE9" w14:textId="77777777" w:rsidTr="005A7E09">
        <w:tc>
          <w:tcPr>
            <w:tcW w:w="5000" w:type="pct"/>
            <w:gridSpan w:val="3"/>
            <w:tcMar>
              <w:top w:w="0" w:type="dxa"/>
              <w:bottom w:w="0" w:type="dxa"/>
            </w:tcMar>
          </w:tcPr>
          <w:p w14:paraId="4D7250AE" w14:textId="77777777" w:rsidR="005307F9" w:rsidRPr="00B47869" w:rsidRDefault="005307F9" w:rsidP="005307F9">
            <w:pPr>
              <w:jc w:val="center"/>
              <w:rPr>
                <w:rFonts w:cs="Arial"/>
                <w:sz w:val="8"/>
                <w:szCs w:val="8"/>
              </w:rPr>
            </w:pPr>
          </w:p>
        </w:tc>
      </w:tr>
      <w:tr w:rsidR="005307F9" w:rsidRPr="00B47869" w14:paraId="636ED27A" w14:textId="77777777" w:rsidTr="00155BD9">
        <w:tc>
          <w:tcPr>
            <w:tcW w:w="1152" w:type="pct"/>
            <w:shd w:val="clear" w:color="auto" w:fill="DAEEF3"/>
            <w:tcMar>
              <w:top w:w="0" w:type="dxa"/>
              <w:bottom w:w="0" w:type="dxa"/>
            </w:tcMar>
          </w:tcPr>
          <w:p w14:paraId="25B8704C" w14:textId="77777777" w:rsidR="005307F9" w:rsidRPr="00B47869" w:rsidRDefault="005307F9" w:rsidP="005307F9">
            <w:pPr>
              <w:rPr>
                <w:rFonts w:cs="Arial"/>
                <w:bCs/>
                <w:sz w:val="8"/>
                <w:szCs w:val="8"/>
              </w:rPr>
            </w:pPr>
          </w:p>
        </w:tc>
        <w:tc>
          <w:tcPr>
            <w:tcW w:w="3848" w:type="pct"/>
            <w:gridSpan w:val="2"/>
            <w:shd w:val="clear" w:color="auto" w:fill="DAEEF3"/>
            <w:tcMar>
              <w:top w:w="0" w:type="dxa"/>
              <w:bottom w:w="0" w:type="dxa"/>
            </w:tcMar>
          </w:tcPr>
          <w:p w14:paraId="2FB8E67B" w14:textId="77777777" w:rsidR="005307F9" w:rsidRPr="00B47869" w:rsidRDefault="005307F9" w:rsidP="005307F9">
            <w:pPr>
              <w:tabs>
                <w:tab w:val="center" w:pos="3152"/>
              </w:tabs>
              <w:rPr>
                <w:rFonts w:cs="Arial"/>
                <w:sz w:val="8"/>
                <w:szCs w:val="8"/>
              </w:rPr>
            </w:pPr>
          </w:p>
        </w:tc>
      </w:tr>
      <w:tr w:rsidR="005307F9" w:rsidRPr="00B47869" w14:paraId="255B93FE" w14:textId="77777777" w:rsidTr="00562CE4">
        <w:tc>
          <w:tcPr>
            <w:tcW w:w="5000" w:type="pct"/>
            <w:gridSpan w:val="3"/>
            <w:shd w:val="clear" w:color="auto" w:fill="008232"/>
            <w:tcMar>
              <w:top w:w="57" w:type="dxa"/>
              <w:bottom w:w="57" w:type="dxa"/>
            </w:tcMar>
          </w:tcPr>
          <w:p w14:paraId="2D8D6B56" w14:textId="77777777" w:rsidR="005307F9" w:rsidRPr="00B47869" w:rsidRDefault="005307F9" w:rsidP="005307F9">
            <w:pPr>
              <w:rPr>
                <w:rFonts w:cs="Arial"/>
                <w:color w:val="FFFFFF"/>
                <w:sz w:val="16"/>
                <w:szCs w:val="16"/>
              </w:rPr>
            </w:pPr>
            <w:r w:rsidRPr="00B47869">
              <w:rPr>
                <w:rFonts w:cs="Arial"/>
                <w:b/>
                <w:bCs/>
                <w:i/>
                <w:iCs/>
                <w:color w:val="FFFFFF"/>
                <w:sz w:val="22"/>
                <w:szCs w:val="20"/>
              </w:rPr>
              <w:t>Recommended for approval in the UK or EU</w:t>
            </w:r>
          </w:p>
        </w:tc>
      </w:tr>
      <w:tr w:rsidR="005307F9" w:rsidRPr="00B47869" w14:paraId="6004DA1C" w14:textId="77777777" w:rsidTr="00D6452A">
        <w:tc>
          <w:tcPr>
            <w:tcW w:w="1447" w:type="pct"/>
            <w:gridSpan w:val="2"/>
            <w:tcMar>
              <w:top w:w="57" w:type="dxa"/>
              <w:bottom w:w="57" w:type="dxa"/>
            </w:tcMar>
          </w:tcPr>
          <w:p w14:paraId="45493145" w14:textId="0EE44680" w:rsidR="005307F9" w:rsidRPr="00B47869" w:rsidRDefault="00D300B7" w:rsidP="005307F9">
            <w:pPr>
              <w:rPr>
                <w:rFonts w:cs="Arial"/>
                <w:szCs w:val="19"/>
              </w:rPr>
            </w:pPr>
            <w:r w:rsidRPr="00B47869">
              <w:rPr>
                <w:rFonts w:cs="Arial"/>
                <w:szCs w:val="19"/>
              </w:rPr>
              <w:t>Adrenaline (</w:t>
            </w:r>
            <w:proofErr w:type="spellStart"/>
            <w:r w:rsidRPr="00B47869">
              <w:rPr>
                <w:rFonts w:cs="Arial"/>
                <w:i/>
                <w:iCs/>
                <w:szCs w:val="19"/>
              </w:rPr>
              <w:t>EURneffy</w:t>
            </w:r>
            <w:proofErr w:type="spellEnd"/>
            <w:r w:rsidRPr="00B47869">
              <w:rPr>
                <w:rFonts w:cs="Arial"/>
                <w:szCs w:val="19"/>
              </w:rPr>
              <w:t>)</w:t>
            </w:r>
          </w:p>
        </w:tc>
        <w:tc>
          <w:tcPr>
            <w:tcW w:w="3553" w:type="pct"/>
            <w:tcMar>
              <w:top w:w="57" w:type="dxa"/>
              <w:bottom w:w="57" w:type="dxa"/>
            </w:tcMar>
          </w:tcPr>
          <w:p w14:paraId="23F3EE2C" w14:textId="5341021E" w:rsidR="005307F9" w:rsidRPr="00B47869" w:rsidRDefault="00A74735" w:rsidP="005307F9">
            <w:pPr>
              <w:tabs>
                <w:tab w:val="center" w:pos="3152"/>
              </w:tabs>
              <w:rPr>
                <w:rFonts w:cs="Arial"/>
                <w:szCs w:val="19"/>
              </w:rPr>
            </w:pPr>
            <w:r w:rsidRPr="00B47869">
              <w:rPr>
                <w:rFonts w:cs="Arial"/>
                <w:szCs w:val="19"/>
              </w:rPr>
              <w:t>Emergency treatment of allergic reactions (anaphylaxis) due to insect stings or bites, foods, medicinal products and other allergens as well as idiopathic or exercise induced anaphylaxis</w:t>
            </w:r>
            <w:r w:rsidR="00DA4C15" w:rsidRPr="00B47869">
              <w:rPr>
                <w:rFonts w:cs="Arial"/>
                <w:szCs w:val="19"/>
              </w:rPr>
              <w:t>, fo</w:t>
            </w:r>
            <w:r w:rsidRPr="00B47869">
              <w:rPr>
                <w:rFonts w:cs="Arial"/>
                <w:szCs w:val="19"/>
              </w:rPr>
              <w:t xml:space="preserve">r adults and children aged 4 years and over with a body weight of 15kg or more </w:t>
            </w:r>
            <w:r w:rsidR="00B377F1" w:rsidRPr="00B47869">
              <w:rPr>
                <w:rFonts w:cs="Arial"/>
                <w:sz w:val="16"/>
                <w:szCs w:val="16"/>
              </w:rPr>
              <w:t>[EU] [licence change from use only</w:t>
            </w:r>
            <w:r w:rsidR="00A2713C" w:rsidRPr="00B47869">
              <w:rPr>
                <w:rFonts w:cs="Arial"/>
                <w:sz w:val="16"/>
                <w:szCs w:val="16"/>
              </w:rPr>
              <w:t xml:space="preserve"> in adults and children weighing 30kg and over</w:t>
            </w:r>
            <w:r w:rsidR="00C04CBA" w:rsidRPr="00B47869">
              <w:rPr>
                <w:rFonts w:cs="Arial"/>
                <w:sz w:val="16"/>
                <w:szCs w:val="16"/>
              </w:rPr>
              <w:t xml:space="preserve"> and </w:t>
            </w:r>
            <w:r w:rsidR="00A2713C" w:rsidRPr="00B47869">
              <w:rPr>
                <w:rFonts w:cs="Arial"/>
                <w:sz w:val="16"/>
                <w:szCs w:val="16"/>
              </w:rPr>
              <w:t xml:space="preserve">new 1mg strength nasal spray </w:t>
            </w:r>
            <w:r w:rsidR="00C04CBA" w:rsidRPr="00B47869">
              <w:rPr>
                <w:rFonts w:cs="Arial"/>
                <w:sz w:val="16"/>
                <w:szCs w:val="16"/>
              </w:rPr>
              <w:t>formulation]</w:t>
            </w:r>
          </w:p>
        </w:tc>
      </w:tr>
      <w:tr w:rsidR="005307F9" w:rsidRPr="00B47869" w14:paraId="26BE459E" w14:textId="77777777" w:rsidTr="00D6452A">
        <w:tc>
          <w:tcPr>
            <w:tcW w:w="1447" w:type="pct"/>
            <w:gridSpan w:val="2"/>
            <w:tcMar>
              <w:top w:w="57" w:type="dxa"/>
              <w:bottom w:w="57" w:type="dxa"/>
            </w:tcMar>
          </w:tcPr>
          <w:p w14:paraId="353052FE" w14:textId="674EE9C4" w:rsidR="005307F9" w:rsidRPr="00B47869" w:rsidRDefault="00061C33" w:rsidP="005307F9">
            <w:pPr>
              <w:rPr>
                <w:rFonts w:cs="Arial"/>
                <w:szCs w:val="19"/>
              </w:rPr>
            </w:pPr>
            <w:proofErr w:type="spellStart"/>
            <w:r w:rsidRPr="00B47869">
              <w:rPr>
                <w:rFonts w:cs="Arial"/>
                <w:szCs w:val="19"/>
              </w:rPr>
              <w:t>Belumosudil</w:t>
            </w:r>
            <w:proofErr w:type="spellEnd"/>
            <w:r w:rsidRPr="00B47869">
              <w:rPr>
                <w:rFonts w:cs="Arial"/>
                <w:szCs w:val="19"/>
              </w:rPr>
              <w:t xml:space="preserve"> (</w:t>
            </w:r>
            <w:proofErr w:type="spellStart"/>
            <w:r w:rsidRPr="00B47869">
              <w:rPr>
                <w:rFonts w:cs="Arial"/>
                <w:i/>
                <w:iCs/>
                <w:szCs w:val="19"/>
              </w:rPr>
              <w:t>Rezurock</w:t>
            </w:r>
            <w:proofErr w:type="spellEnd"/>
            <w:r w:rsidRPr="00B47869">
              <w:rPr>
                <w:rFonts w:cs="Arial"/>
                <w:szCs w:val="19"/>
              </w:rPr>
              <w:t>)</w:t>
            </w:r>
          </w:p>
        </w:tc>
        <w:tc>
          <w:tcPr>
            <w:tcW w:w="3553" w:type="pct"/>
            <w:tcMar>
              <w:top w:w="57" w:type="dxa"/>
              <w:bottom w:w="57" w:type="dxa"/>
            </w:tcMar>
          </w:tcPr>
          <w:p w14:paraId="19ECA68E" w14:textId="0649834A" w:rsidR="005307F9" w:rsidRPr="00B47869" w:rsidRDefault="00A83EDD" w:rsidP="005307F9">
            <w:pPr>
              <w:tabs>
                <w:tab w:val="center" w:pos="3152"/>
              </w:tabs>
              <w:rPr>
                <w:rFonts w:cs="Arial"/>
                <w:i/>
                <w:iCs/>
                <w:szCs w:val="19"/>
              </w:rPr>
            </w:pPr>
            <w:r w:rsidRPr="00B47869">
              <w:rPr>
                <w:rFonts w:cs="Arial"/>
                <w:szCs w:val="19"/>
              </w:rPr>
              <w:t>Treatment of adults and paediatric patients aged 12 years and older with a body weight of at least 40kg with chronic graft-versus-host disease when other treatment options provide limited clinical benefit, are not suitable, or have been exhausted</w:t>
            </w:r>
            <w:r w:rsidR="00020FAA" w:rsidRPr="00B47869">
              <w:rPr>
                <w:rFonts w:cs="Arial"/>
                <w:szCs w:val="19"/>
              </w:rPr>
              <w:t xml:space="preserve"> </w:t>
            </w:r>
            <w:r w:rsidR="00020FAA" w:rsidRPr="00B47869">
              <w:rPr>
                <w:rFonts w:cs="Arial"/>
                <w:sz w:val="16"/>
                <w:szCs w:val="16"/>
              </w:rPr>
              <w:t>[EU] [new indication]</w:t>
            </w:r>
            <w:r w:rsidR="002629FE" w:rsidRPr="00B47869">
              <w:rPr>
                <w:rFonts w:cs="Arial"/>
                <w:sz w:val="16"/>
                <w:szCs w:val="16"/>
              </w:rPr>
              <w:t xml:space="preserve"> </w:t>
            </w:r>
            <w:r w:rsidR="002629FE" w:rsidRPr="00B47869">
              <w:rPr>
                <w:rFonts w:cs="Arial"/>
                <w:i/>
                <w:iCs/>
                <w:sz w:val="16"/>
                <w:szCs w:val="16"/>
              </w:rPr>
              <w:t xml:space="preserve">Note: This product is </w:t>
            </w:r>
            <w:r w:rsidR="00D9133F" w:rsidRPr="00B47869">
              <w:rPr>
                <w:rFonts w:cs="Arial"/>
                <w:i/>
                <w:iCs/>
                <w:sz w:val="16"/>
                <w:szCs w:val="16"/>
              </w:rPr>
              <w:t>available in the UK</w:t>
            </w:r>
            <w:r w:rsidR="00DE3D0B">
              <w:rPr>
                <w:rFonts w:cs="Arial"/>
                <w:i/>
                <w:iCs/>
                <w:sz w:val="16"/>
                <w:szCs w:val="16"/>
              </w:rPr>
              <w:t xml:space="preserve"> with a different</w:t>
            </w:r>
            <w:r w:rsidR="00B00AEF">
              <w:rPr>
                <w:rFonts w:cs="Arial"/>
                <w:i/>
                <w:iCs/>
                <w:sz w:val="16"/>
                <w:szCs w:val="16"/>
              </w:rPr>
              <w:t xml:space="preserve"> indication – see </w:t>
            </w:r>
            <w:hyperlink r:id="rId18" w:history="1">
              <w:r w:rsidR="00B00AEF" w:rsidRPr="00584376">
                <w:rPr>
                  <w:rStyle w:val="Hyperlink"/>
                  <w:rFonts w:ascii="Arial" w:hAnsi="Arial" w:cs="Arial"/>
                  <w:i/>
                  <w:iCs/>
                  <w:sz w:val="16"/>
                  <w:szCs w:val="16"/>
                </w:rPr>
                <w:t>SmPC</w:t>
              </w:r>
            </w:hyperlink>
          </w:p>
        </w:tc>
      </w:tr>
      <w:tr w:rsidR="00A9240B" w:rsidRPr="00B47869" w14:paraId="2172BFAA" w14:textId="77777777" w:rsidTr="00D6452A">
        <w:tc>
          <w:tcPr>
            <w:tcW w:w="1447" w:type="pct"/>
            <w:gridSpan w:val="2"/>
            <w:tcMar>
              <w:top w:w="57" w:type="dxa"/>
              <w:bottom w:w="57" w:type="dxa"/>
            </w:tcMar>
          </w:tcPr>
          <w:p w14:paraId="4D25F97E" w14:textId="77777777" w:rsidR="00A9240B" w:rsidRPr="00B47869" w:rsidRDefault="00A9240B" w:rsidP="00A9240B">
            <w:pPr>
              <w:rPr>
                <w:rFonts w:cs="Arial"/>
                <w:szCs w:val="19"/>
              </w:rPr>
            </w:pPr>
            <w:proofErr w:type="spellStart"/>
            <w:r w:rsidRPr="00B47869">
              <w:rPr>
                <w:rFonts w:cs="Arial"/>
                <w:szCs w:val="19"/>
              </w:rPr>
              <w:t>Doxecitine</w:t>
            </w:r>
            <w:proofErr w:type="spellEnd"/>
            <w:r w:rsidRPr="00B47869">
              <w:rPr>
                <w:rFonts w:cs="Arial"/>
                <w:szCs w:val="19"/>
              </w:rPr>
              <w:t xml:space="preserve"> + </w:t>
            </w:r>
            <w:proofErr w:type="spellStart"/>
            <w:r w:rsidRPr="00B47869">
              <w:rPr>
                <w:rFonts w:cs="Arial"/>
                <w:szCs w:val="19"/>
              </w:rPr>
              <w:t>doxribtimine</w:t>
            </w:r>
            <w:proofErr w:type="spellEnd"/>
            <w:r w:rsidRPr="00B47869">
              <w:rPr>
                <w:rFonts w:cs="Arial"/>
                <w:szCs w:val="19"/>
              </w:rPr>
              <w:t> </w:t>
            </w:r>
          </w:p>
          <w:p w14:paraId="6C81826E" w14:textId="44E13A81" w:rsidR="00A9240B" w:rsidRPr="00B47869" w:rsidRDefault="00A9240B" w:rsidP="00A9240B">
            <w:pPr>
              <w:rPr>
                <w:rFonts w:cs="Arial"/>
                <w:szCs w:val="19"/>
              </w:rPr>
            </w:pPr>
            <w:r w:rsidRPr="00B47869">
              <w:rPr>
                <w:rFonts w:cs="Arial"/>
                <w:szCs w:val="19"/>
              </w:rPr>
              <w:t>(</w:t>
            </w:r>
            <w:proofErr w:type="spellStart"/>
            <w:r w:rsidRPr="00B47869">
              <w:rPr>
                <w:rFonts w:cs="Arial"/>
                <w:i/>
                <w:iCs/>
                <w:szCs w:val="19"/>
              </w:rPr>
              <w:t>Kygevvi</w:t>
            </w:r>
            <w:proofErr w:type="spellEnd"/>
            <w:r w:rsidRPr="00B47869">
              <w:rPr>
                <w:rFonts w:cs="Arial"/>
                <w:szCs w:val="19"/>
              </w:rPr>
              <w:t>)</w:t>
            </w:r>
          </w:p>
        </w:tc>
        <w:tc>
          <w:tcPr>
            <w:tcW w:w="3553" w:type="pct"/>
            <w:tcMar>
              <w:top w:w="57" w:type="dxa"/>
              <w:bottom w:w="57" w:type="dxa"/>
            </w:tcMar>
          </w:tcPr>
          <w:p w14:paraId="3F75B377" w14:textId="5DF93AB6" w:rsidR="00A9240B" w:rsidRPr="00B47869" w:rsidRDefault="00A9240B" w:rsidP="00A9240B">
            <w:pPr>
              <w:tabs>
                <w:tab w:val="center" w:pos="3152"/>
              </w:tabs>
              <w:rPr>
                <w:rFonts w:cs="Arial"/>
                <w:szCs w:val="19"/>
              </w:rPr>
            </w:pPr>
            <w:r w:rsidRPr="00B47869">
              <w:rPr>
                <w:rFonts w:cs="Arial"/>
                <w:szCs w:val="19"/>
              </w:rPr>
              <w:t xml:space="preserve">Treatment of paediatric and adult patients with genetically confirmed thymidine kinase 2 deficiency with an age of symptom onset on or before 12 years </w:t>
            </w:r>
            <w:r w:rsidRPr="00B47869">
              <w:rPr>
                <w:rFonts w:cs="Arial"/>
                <w:sz w:val="16"/>
                <w:szCs w:val="16"/>
              </w:rPr>
              <w:t>[EU]</w:t>
            </w:r>
          </w:p>
        </w:tc>
      </w:tr>
      <w:tr w:rsidR="00A9240B" w:rsidRPr="00B47869" w14:paraId="2AA6F3E8" w14:textId="77777777" w:rsidTr="00D6452A">
        <w:tc>
          <w:tcPr>
            <w:tcW w:w="1447" w:type="pct"/>
            <w:gridSpan w:val="2"/>
            <w:tcMar>
              <w:top w:w="57" w:type="dxa"/>
              <w:bottom w:w="57" w:type="dxa"/>
            </w:tcMar>
          </w:tcPr>
          <w:p w14:paraId="4A2F91A8" w14:textId="429F18F2" w:rsidR="00A9240B" w:rsidRPr="00B47869" w:rsidRDefault="00A9240B" w:rsidP="00A9240B">
            <w:pPr>
              <w:rPr>
                <w:rFonts w:cs="Arial"/>
                <w:szCs w:val="19"/>
              </w:rPr>
            </w:pPr>
            <w:r w:rsidRPr="00B47869">
              <w:rPr>
                <w:rFonts w:cs="Arial"/>
                <w:szCs w:val="19"/>
              </w:rPr>
              <w:t>Durvalumab (</w:t>
            </w:r>
            <w:r w:rsidRPr="00B47869">
              <w:rPr>
                <w:rFonts w:cs="Arial"/>
                <w:i/>
                <w:iCs/>
                <w:szCs w:val="19"/>
              </w:rPr>
              <w:t>Imfinzi</w:t>
            </w:r>
            <w:r w:rsidRPr="00B47869">
              <w:rPr>
                <w:rFonts w:cs="Arial"/>
                <w:szCs w:val="19"/>
              </w:rPr>
              <w:t>)</w:t>
            </w:r>
          </w:p>
        </w:tc>
        <w:tc>
          <w:tcPr>
            <w:tcW w:w="3553" w:type="pct"/>
            <w:tcMar>
              <w:top w:w="57" w:type="dxa"/>
              <w:bottom w:w="57" w:type="dxa"/>
            </w:tcMar>
          </w:tcPr>
          <w:p w14:paraId="1DF3BD04" w14:textId="227DBDEE" w:rsidR="00A9240B" w:rsidRPr="00B47869" w:rsidRDefault="00B11C6F" w:rsidP="00A9240B">
            <w:pPr>
              <w:tabs>
                <w:tab w:val="center" w:pos="3152"/>
              </w:tabs>
              <w:rPr>
                <w:rFonts w:cs="Arial"/>
                <w:szCs w:val="19"/>
              </w:rPr>
            </w:pPr>
            <w:r w:rsidRPr="00B47869">
              <w:rPr>
                <w:rFonts w:cs="Arial"/>
                <w:szCs w:val="19"/>
              </w:rPr>
              <w:t xml:space="preserve">Use in combination with FLOT chemotherapy as neoadjuvant and adjuvant treatment, followed by adjuvant </w:t>
            </w:r>
            <w:r w:rsidRPr="00B47869">
              <w:rPr>
                <w:rFonts w:cs="Arial"/>
                <w:i/>
                <w:iCs/>
                <w:szCs w:val="19"/>
              </w:rPr>
              <w:t>Imfinzi</w:t>
            </w:r>
            <w:r w:rsidRPr="00B47869">
              <w:rPr>
                <w:rFonts w:cs="Arial"/>
                <w:szCs w:val="19"/>
              </w:rPr>
              <w:t xml:space="preserve"> monotherapy, for the treatment of adults with </w:t>
            </w:r>
            <w:proofErr w:type="spellStart"/>
            <w:r w:rsidRPr="00B47869">
              <w:rPr>
                <w:rFonts w:cs="Arial"/>
                <w:szCs w:val="19"/>
              </w:rPr>
              <w:t>resectable</w:t>
            </w:r>
            <w:proofErr w:type="spellEnd"/>
            <w:r w:rsidRPr="00B47869">
              <w:rPr>
                <w:rFonts w:cs="Arial"/>
                <w:szCs w:val="19"/>
              </w:rPr>
              <w:t xml:space="preserve"> gastric or gastro</w:t>
            </w:r>
            <w:r w:rsidRPr="00B47869">
              <w:rPr>
                <w:rFonts w:ascii="Cambria Math" w:hAnsi="Cambria Math" w:cs="Cambria Math"/>
                <w:szCs w:val="19"/>
              </w:rPr>
              <w:t>‑</w:t>
            </w:r>
            <w:r w:rsidRPr="00B47869">
              <w:rPr>
                <w:rFonts w:cs="Arial"/>
                <w:szCs w:val="19"/>
              </w:rPr>
              <w:t xml:space="preserve">oesophageal junction adenocarcinoma </w:t>
            </w:r>
            <w:r w:rsidRPr="00B47869">
              <w:rPr>
                <w:rFonts w:cs="Arial"/>
                <w:sz w:val="16"/>
                <w:szCs w:val="16"/>
              </w:rPr>
              <w:t>[EU] [new indication]</w:t>
            </w:r>
          </w:p>
        </w:tc>
      </w:tr>
      <w:tr w:rsidR="00E85D23" w:rsidRPr="00B47869" w14:paraId="2A9A8403" w14:textId="77777777" w:rsidTr="00D6452A">
        <w:tc>
          <w:tcPr>
            <w:tcW w:w="1447" w:type="pct"/>
            <w:gridSpan w:val="2"/>
            <w:tcMar>
              <w:top w:w="57" w:type="dxa"/>
              <w:bottom w:w="57" w:type="dxa"/>
            </w:tcMar>
          </w:tcPr>
          <w:p w14:paraId="05C8EFFB" w14:textId="4B2B8D71" w:rsidR="00E85D23" w:rsidRPr="00B47869" w:rsidRDefault="00E85D23" w:rsidP="00E85D23">
            <w:pPr>
              <w:rPr>
                <w:rFonts w:cs="Arial"/>
                <w:szCs w:val="19"/>
              </w:rPr>
            </w:pPr>
            <w:r w:rsidRPr="00B47869">
              <w:rPr>
                <w:rFonts w:cs="Arial"/>
                <w:szCs w:val="19"/>
              </w:rPr>
              <w:t>Estetrol (</w:t>
            </w:r>
            <w:proofErr w:type="spellStart"/>
            <w:r w:rsidRPr="00B47869">
              <w:rPr>
                <w:rFonts w:cs="Arial"/>
                <w:i/>
                <w:iCs/>
                <w:szCs w:val="19"/>
              </w:rPr>
              <w:t>Fylrevy</w:t>
            </w:r>
            <w:proofErr w:type="spellEnd"/>
            <w:r w:rsidRPr="00B47869">
              <w:rPr>
                <w:rFonts w:cs="Arial"/>
                <w:szCs w:val="19"/>
              </w:rPr>
              <w:t>)</w:t>
            </w:r>
          </w:p>
        </w:tc>
        <w:tc>
          <w:tcPr>
            <w:tcW w:w="3553" w:type="pct"/>
            <w:tcMar>
              <w:top w:w="57" w:type="dxa"/>
              <w:bottom w:w="57" w:type="dxa"/>
            </w:tcMar>
          </w:tcPr>
          <w:p w14:paraId="08AB319A" w14:textId="60DE02B6" w:rsidR="00E85D23" w:rsidRPr="00B47869" w:rsidRDefault="00E85D23" w:rsidP="00E85D23">
            <w:pPr>
              <w:tabs>
                <w:tab w:val="center" w:pos="3152"/>
              </w:tabs>
              <w:rPr>
                <w:rFonts w:cs="Arial"/>
                <w:szCs w:val="19"/>
              </w:rPr>
            </w:pPr>
            <w:r w:rsidRPr="00B47869">
              <w:rPr>
                <w:rFonts w:cs="Arial"/>
                <w:szCs w:val="19"/>
              </w:rPr>
              <w:t xml:space="preserve">Use as hormone replacement therapy (HRT) for oestrogen deficiency symptoms in hysterectomised postmenopausal women and HRT for oestrogen deficiency symptoms in non-hysterectomised postmenopausal women with at least 12 months since last menses </w:t>
            </w:r>
            <w:r w:rsidRPr="00B47869">
              <w:rPr>
                <w:rFonts w:cs="Arial"/>
                <w:sz w:val="16"/>
                <w:szCs w:val="16"/>
              </w:rPr>
              <w:t>[EU]</w:t>
            </w:r>
          </w:p>
        </w:tc>
      </w:tr>
      <w:tr w:rsidR="00E85D23" w:rsidRPr="00B47869" w14:paraId="4BA4ADB0" w14:textId="77777777" w:rsidTr="00D6452A">
        <w:tc>
          <w:tcPr>
            <w:tcW w:w="1447" w:type="pct"/>
            <w:gridSpan w:val="2"/>
            <w:tcMar>
              <w:top w:w="0" w:type="dxa"/>
              <w:bottom w:w="0" w:type="dxa"/>
            </w:tcMar>
          </w:tcPr>
          <w:p w14:paraId="3EA25B70" w14:textId="77777777" w:rsidR="00E85D23" w:rsidRPr="00B47869" w:rsidRDefault="00E85D23" w:rsidP="00E85D23">
            <w:pPr>
              <w:rPr>
                <w:rFonts w:cs="Arial"/>
                <w:bCs/>
                <w:sz w:val="8"/>
                <w:szCs w:val="8"/>
              </w:rPr>
            </w:pPr>
          </w:p>
        </w:tc>
        <w:tc>
          <w:tcPr>
            <w:tcW w:w="3553" w:type="pct"/>
            <w:tcMar>
              <w:top w:w="0" w:type="dxa"/>
              <w:bottom w:w="0" w:type="dxa"/>
            </w:tcMar>
          </w:tcPr>
          <w:p w14:paraId="759AB87E" w14:textId="77777777" w:rsidR="00E85D23" w:rsidRPr="00B47869" w:rsidRDefault="00E85D23" w:rsidP="00E85D23">
            <w:pPr>
              <w:tabs>
                <w:tab w:val="center" w:pos="3152"/>
              </w:tabs>
              <w:rPr>
                <w:rFonts w:cs="Arial"/>
                <w:sz w:val="8"/>
                <w:szCs w:val="8"/>
              </w:rPr>
            </w:pPr>
          </w:p>
        </w:tc>
      </w:tr>
      <w:tr w:rsidR="00E85D23" w:rsidRPr="00B47869" w14:paraId="5421361E" w14:textId="77777777" w:rsidTr="00D6452A">
        <w:tc>
          <w:tcPr>
            <w:tcW w:w="1152" w:type="pct"/>
            <w:shd w:val="clear" w:color="auto" w:fill="DAEEF3"/>
            <w:tcMar>
              <w:top w:w="0" w:type="dxa"/>
              <w:bottom w:w="0" w:type="dxa"/>
            </w:tcMar>
          </w:tcPr>
          <w:p w14:paraId="07A812C8" w14:textId="77777777" w:rsidR="00E85D23" w:rsidRPr="00B47869" w:rsidRDefault="00E85D23" w:rsidP="00E85D23">
            <w:pPr>
              <w:rPr>
                <w:rFonts w:cs="Arial"/>
                <w:bCs/>
                <w:sz w:val="8"/>
                <w:szCs w:val="8"/>
              </w:rPr>
            </w:pPr>
          </w:p>
        </w:tc>
        <w:tc>
          <w:tcPr>
            <w:tcW w:w="3848" w:type="pct"/>
            <w:gridSpan w:val="2"/>
            <w:shd w:val="clear" w:color="auto" w:fill="DAEEF3"/>
            <w:tcMar>
              <w:top w:w="0" w:type="dxa"/>
              <w:bottom w:w="0" w:type="dxa"/>
            </w:tcMar>
          </w:tcPr>
          <w:p w14:paraId="55E52DF7" w14:textId="77777777" w:rsidR="00E85D23" w:rsidRPr="00B47869" w:rsidRDefault="00E85D23" w:rsidP="00E85D23">
            <w:pPr>
              <w:tabs>
                <w:tab w:val="center" w:pos="3152"/>
              </w:tabs>
              <w:rPr>
                <w:rFonts w:cs="Arial"/>
                <w:sz w:val="8"/>
                <w:szCs w:val="8"/>
              </w:rPr>
            </w:pPr>
          </w:p>
        </w:tc>
      </w:tr>
    </w:tbl>
    <w:p w14:paraId="1926117D" w14:textId="77777777" w:rsidR="0048777D" w:rsidRPr="00B47869" w:rsidRDefault="0048777D"/>
    <w:p w14:paraId="6479B429" w14:textId="77777777" w:rsidR="0048777D" w:rsidRPr="00B47869" w:rsidRDefault="0048777D">
      <w:r w:rsidRPr="00B47869">
        <w:br w:type="page"/>
      </w:r>
    </w:p>
    <w:p w14:paraId="2C017B3D" w14:textId="77777777" w:rsidR="0048777D" w:rsidRPr="00B47869" w:rsidRDefault="0048777D"/>
    <w:p w14:paraId="4FE18DAE" w14:textId="77777777" w:rsidR="00CB5BC1" w:rsidRPr="00B47869" w:rsidRDefault="00CB5BC1"/>
    <w:tbl>
      <w:tblPr>
        <w:tblW w:w="5170" w:type="pct"/>
        <w:tblInd w:w="-176" w:type="dxa"/>
        <w:tblLayout w:type="fixed"/>
        <w:tblLook w:val="01E0" w:firstRow="1" w:lastRow="1" w:firstColumn="1" w:lastColumn="1" w:noHBand="0" w:noVBand="0"/>
      </w:tblPr>
      <w:tblGrid>
        <w:gridCol w:w="2431"/>
        <w:gridCol w:w="13"/>
        <w:gridCol w:w="8107"/>
      </w:tblGrid>
      <w:tr w:rsidR="0021490D" w:rsidRPr="00B47869" w14:paraId="2EC57B94" w14:textId="77777777" w:rsidTr="00D6452A">
        <w:tc>
          <w:tcPr>
            <w:tcW w:w="5000" w:type="pct"/>
            <w:gridSpan w:val="3"/>
            <w:shd w:val="clear" w:color="auto" w:fill="0070C0"/>
            <w:tcMar>
              <w:top w:w="85" w:type="dxa"/>
              <w:bottom w:w="85" w:type="dxa"/>
            </w:tcMar>
            <w:vAlign w:val="bottom"/>
          </w:tcPr>
          <w:p w14:paraId="1B0520BC" w14:textId="77777777" w:rsidR="0021490D" w:rsidRPr="00B47869" w:rsidRDefault="0021490D" w:rsidP="00D6452A">
            <w:pPr>
              <w:rPr>
                <w:rFonts w:cs="Arial"/>
                <w:color w:val="FFFFFF"/>
                <w:sz w:val="15"/>
                <w:szCs w:val="15"/>
              </w:rPr>
            </w:pPr>
            <w:r w:rsidRPr="00B47869">
              <w:rPr>
                <w:rFonts w:cs="Arial"/>
                <w:b/>
                <w:bCs/>
                <w:iCs/>
                <w:color w:val="FFFFFF"/>
                <w:sz w:val="28"/>
                <w:szCs w:val="28"/>
              </w:rPr>
              <w:t>Regulatory changes in the UK or EU</w:t>
            </w:r>
            <w:r w:rsidRPr="00B47869">
              <w:rPr>
                <w:rFonts w:cs="Arial"/>
                <w:b/>
                <w:bCs/>
                <w:iCs/>
                <w:color w:val="FFFFFF"/>
                <w:sz w:val="28"/>
                <w:szCs w:val="28"/>
              </w:rPr>
              <w:tab/>
            </w:r>
          </w:p>
        </w:tc>
      </w:tr>
      <w:tr w:rsidR="001C3A55" w:rsidRPr="00B47869" w14:paraId="6B5BDF1C" w14:textId="77777777" w:rsidTr="00155BD9">
        <w:tc>
          <w:tcPr>
            <w:tcW w:w="1152" w:type="pct"/>
            <w:shd w:val="clear" w:color="auto" w:fill="DAEEF3"/>
            <w:tcMar>
              <w:top w:w="0" w:type="dxa"/>
              <w:bottom w:w="0" w:type="dxa"/>
            </w:tcMar>
          </w:tcPr>
          <w:p w14:paraId="6922A7D7" w14:textId="77777777" w:rsidR="001C3A55" w:rsidRPr="00B47869" w:rsidRDefault="001C3A55" w:rsidP="00510003">
            <w:pPr>
              <w:rPr>
                <w:rFonts w:cs="Arial"/>
                <w:bCs/>
                <w:sz w:val="8"/>
                <w:szCs w:val="8"/>
              </w:rPr>
            </w:pPr>
          </w:p>
        </w:tc>
        <w:tc>
          <w:tcPr>
            <w:tcW w:w="3848" w:type="pct"/>
            <w:gridSpan w:val="2"/>
            <w:shd w:val="clear" w:color="auto" w:fill="DAEEF3"/>
            <w:tcMar>
              <w:top w:w="0" w:type="dxa"/>
              <w:bottom w:w="0" w:type="dxa"/>
            </w:tcMar>
          </w:tcPr>
          <w:p w14:paraId="718DE374" w14:textId="77777777" w:rsidR="001C3A55" w:rsidRPr="00B47869" w:rsidRDefault="001C3A55" w:rsidP="00510003">
            <w:pPr>
              <w:tabs>
                <w:tab w:val="center" w:pos="3152"/>
              </w:tabs>
              <w:rPr>
                <w:rFonts w:cs="Arial"/>
                <w:sz w:val="8"/>
                <w:szCs w:val="8"/>
              </w:rPr>
            </w:pPr>
          </w:p>
        </w:tc>
      </w:tr>
      <w:tr w:rsidR="001C3A55" w:rsidRPr="00B47869" w14:paraId="7C3E049F" w14:textId="77777777" w:rsidTr="00562CE4">
        <w:tc>
          <w:tcPr>
            <w:tcW w:w="5000" w:type="pct"/>
            <w:gridSpan w:val="3"/>
            <w:shd w:val="clear" w:color="auto" w:fill="008232"/>
            <w:tcMar>
              <w:top w:w="57" w:type="dxa"/>
              <w:bottom w:w="57" w:type="dxa"/>
            </w:tcMar>
          </w:tcPr>
          <w:p w14:paraId="3E8B2CAF" w14:textId="77777777" w:rsidR="001C3A55" w:rsidRPr="00B47869" w:rsidRDefault="001C3A55" w:rsidP="00B94311">
            <w:pPr>
              <w:rPr>
                <w:rFonts w:cs="Arial"/>
                <w:color w:val="FFFFFF"/>
                <w:sz w:val="16"/>
                <w:szCs w:val="16"/>
              </w:rPr>
            </w:pPr>
            <w:r w:rsidRPr="00B47869">
              <w:rPr>
                <w:rFonts w:cs="Arial"/>
                <w:b/>
                <w:bCs/>
                <w:i/>
                <w:iCs/>
                <w:color w:val="FFFFFF"/>
                <w:sz w:val="22"/>
                <w:szCs w:val="20"/>
              </w:rPr>
              <w:t xml:space="preserve">Recommended for approval in the </w:t>
            </w:r>
            <w:r w:rsidR="0048777D" w:rsidRPr="00B47869">
              <w:rPr>
                <w:rFonts w:cs="Arial"/>
                <w:b/>
                <w:bCs/>
                <w:i/>
                <w:iCs/>
                <w:color w:val="FFFFFF"/>
                <w:sz w:val="22"/>
                <w:szCs w:val="20"/>
              </w:rPr>
              <w:t>UK</w:t>
            </w:r>
            <w:r w:rsidR="00B94311" w:rsidRPr="00B47869">
              <w:rPr>
                <w:rFonts w:cs="Arial"/>
                <w:b/>
                <w:bCs/>
                <w:i/>
                <w:iCs/>
                <w:color w:val="FFFFFF"/>
                <w:sz w:val="22"/>
                <w:szCs w:val="20"/>
              </w:rPr>
              <w:t xml:space="preserve"> or </w:t>
            </w:r>
            <w:r w:rsidRPr="00B47869">
              <w:rPr>
                <w:rFonts w:cs="Arial"/>
                <w:b/>
                <w:bCs/>
                <w:i/>
                <w:iCs/>
                <w:color w:val="FFFFFF"/>
                <w:sz w:val="22"/>
                <w:szCs w:val="20"/>
              </w:rPr>
              <w:t>EU</w:t>
            </w:r>
            <w:r w:rsidR="0021490D" w:rsidRPr="00B47869">
              <w:rPr>
                <w:rFonts w:cs="Arial"/>
                <w:b/>
                <w:bCs/>
                <w:i/>
                <w:iCs/>
                <w:color w:val="FFFFFF"/>
                <w:sz w:val="22"/>
                <w:szCs w:val="20"/>
              </w:rPr>
              <w:t xml:space="preserve"> </w:t>
            </w:r>
            <w:r w:rsidR="0021490D" w:rsidRPr="00B47869">
              <w:rPr>
                <w:rFonts w:cs="Arial"/>
                <w:b/>
                <w:bCs/>
                <w:color w:val="FFFFFF"/>
                <w:sz w:val="16"/>
                <w:szCs w:val="14"/>
              </w:rPr>
              <w:t>(continued)</w:t>
            </w:r>
          </w:p>
        </w:tc>
      </w:tr>
      <w:tr w:rsidR="00B30C64" w:rsidRPr="00B47869" w14:paraId="68A0EE33" w14:textId="77777777" w:rsidTr="00B30C64">
        <w:tc>
          <w:tcPr>
            <w:tcW w:w="1158" w:type="pct"/>
            <w:gridSpan w:val="2"/>
            <w:tcMar>
              <w:top w:w="57" w:type="dxa"/>
              <w:bottom w:w="57" w:type="dxa"/>
            </w:tcMar>
          </w:tcPr>
          <w:p w14:paraId="35EA5F52" w14:textId="46CD7F7E" w:rsidR="00B30C64" w:rsidRPr="00B47869" w:rsidRDefault="00B30C64" w:rsidP="00B30C64">
            <w:pPr>
              <w:rPr>
                <w:rFonts w:cs="Arial"/>
                <w:szCs w:val="19"/>
              </w:rPr>
            </w:pPr>
            <w:proofErr w:type="spellStart"/>
            <w:r w:rsidRPr="00B47869">
              <w:rPr>
                <w:rFonts w:cs="Arial"/>
                <w:szCs w:val="19"/>
              </w:rPr>
              <w:t>Finerenone</w:t>
            </w:r>
            <w:proofErr w:type="spellEnd"/>
            <w:r w:rsidRPr="00B47869">
              <w:rPr>
                <w:rFonts w:cs="Arial"/>
                <w:szCs w:val="19"/>
              </w:rPr>
              <w:t xml:space="preserve"> (</w:t>
            </w:r>
            <w:proofErr w:type="spellStart"/>
            <w:r w:rsidRPr="00B47869">
              <w:rPr>
                <w:rFonts w:cs="Arial"/>
                <w:i/>
                <w:iCs/>
                <w:szCs w:val="19"/>
              </w:rPr>
              <w:t>Kerendia</w:t>
            </w:r>
            <w:proofErr w:type="spellEnd"/>
            <w:r w:rsidRPr="00B47869">
              <w:rPr>
                <w:rFonts w:cs="Arial"/>
                <w:szCs w:val="19"/>
              </w:rPr>
              <w:t>)</w:t>
            </w:r>
          </w:p>
        </w:tc>
        <w:tc>
          <w:tcPr>
            <w:tcW w:w="3842" w:type="pct"/>
            <w:tcMar>
              <w:top w:w="57" w:type="dxa"/>
              <w:bottom w:w="57" w:type="dxa"/>
            </w:tcMar>
          </w:tcPr>
          <w:p w14:paraId="7B578BF3" w14:textId="6E932E27" w:rsidR="00B30C64" w:rsidRPr="00B47869" w:rsidRDefault="00B30C64" w:rsidP="00B30C64">
            <w:pPr>
              <w:tabs>
                <w:tab w:val="center" w:pos="3152"/>
              </w:tabs>
              <w:rPr>
                <w:rFonts w:cs="Arial"/>
                <w:szCs w:val="19"/>
              </w:rPr>
            </w:pPr>
            <w:r w:rsidRPr="00B47869">
              <w:rPr>
                <w:rFonts w:cs="Arial"/>
                <w:szCs w:val="19"/>
              </w:rPr>
              <w:t xml:space="preserve">Treatment of symptomatic chronic heart failure with left ventricular ejection fraction 40% or higher in adults </w:t>
            </w:r>
            <w:r w:rsidRPr="00B47869">
              <w:rPr>
                <w:rFonts w:cs="Arial"/>
                <w:sz w:val="16"/>
                <w:szCs w:val="16"/>
              </w:rPr>
              <w:t>[EU] [new indication</w:t>
            </w:r>
            <w:r w:rsidR="00A57964">
              <w:rPr>
                <w:rFonts w:cs="Arial"/>
                <w:sz w:val="16"/>
                <w:szCs w:val="16"/>
              </w:rPr>
              <w:t xml:space="preserve"> and new 40mg strength tablet formulation</w:t>
            </w:r>
            <w:r w:rsidRPr="00B47869">
              <w:rPr>
                <w:rFonts w:cs="Arial"/>
                <w:sz w:val="16"/>
                <w:szCs w:val="16"/>
              </w:rPr>
              <w:t>]</w:t>
            </w:r>
          </w:p>
        </w:tc>
      </w:tr>
      <w:tr w:rsidR="00B30C64" w:rsidRPr="00B47869" w14:paraId="786F738E" w14:textId="77777777" w:rsidTr="00B30C64">
        <w:tc>
          <w:tcPr>
            <w:tcW w:w="1158" w:type="pct"/>
            <w:gridSpan w:val="2"/>
            <w:tcMar>
              <w:top w:w="57" w:type="dxa"/>
              <w:bottom w:w="57" w:type="dxa"/>
            </w:tcMar>
          </w:tcPr>
          <w:p w14:paraId="00DEFD5D" w14:textId="0B7866BD" w:rsidR="00B30C64" w:rsidRPr="00B47869" w:rsidRDefault="00B30C64" w:rsidP="00B30C64">
            <w:pPr>
              <w:rPr>
                <w:rFonts w:cs="Arial"/>
                <w:szCs w:val="19"/>
              </w:rPr>
            </w:pPr>
            <w:r w:rsidRPr="00B47869">
              <w:rPr>
                <w:rFonts w:cs="Arial"/>
                <w:szCs w:val="19"/>
              </w:rPr>
              <w:t>Hydrocortisone (</w:t>
            </w:r>
            <w:proofErr w:type="spellStart"/>
            <w:r w:rsidRPr="00B47869">
              <w:rPr>
                <w:rFonts w:cs="Arial"/>
                <w:i/>
                <w:iCs/>
                <w:szCs w:val="19"/>
              </w:rPr>
              <w:t>Efmody</w:t>
            </w:r>
            <w:proofErr w:type="spellEnd"/>
            <w:r w:rsidRPr="00B47869">
              <w:rPr>
                <w:rFonts w:cs="Arial"/>
                <w:szCs w:val="19"/>
              </w:rPr>
              <w:t>)</w:t>
            </w:r>
          </w:p>
        </w:tc>
        <w:tc>
          <w:tcPr>
            <w:tcW w:w="3842" w:type="pct"/>
            <w:tcMar>
              <w:top w:w="57" w:type="dxa"/>
              <w:bottom w:w="57" w:type="dxa"/>
            </w:tcMar>
          </w:tcPr>
          <w:p w14:paraId="43938E98" w14:textId="77777777" w:rsidR="00B30C64" w:rsidRPr="00B47869" w:rsidRDefault="00B30C64" w:rsidP="00B30C64">
            <w:pPr>
              <w:tabs>
                <w:tab w:val="center" w:pos="3152"/>
              </w:tabs>
              <w:rPr>
                <w:rFonts w:cs="Arial"/>
                <w:sz w:val="16"/>
                <w:szCs w:val="16"/>
              </w:rPr>
            </w:pPr>
            <w:r w:rsidRPr="00B47869">
              <w:rPr>
                <w:rFonts w:cs="Arial"/>
                <w:szCs w:val="19"/>
              </w:rPr>
              <w:t xml:space="preserve">Treatment of adrenal insufficiency in adolescents aged 12 years and over and adults </w:t>
            </w:r>
            <w:r w:rsidRPr="00B47869">
              <w:rPr>
                <w:rFonts w:cs="Arial"/>
                <w:sz w:val="16"/>
                <w:szCs w:val="16"/>
              </w:rPr>
              <w:t xml:space="preserve">[EU] </w:t>
            </w:r>
          </w:p>
          <w:p w14:paraId="05AA7C4E" w14:textId="2C152E07" w:rsidR="00B30C64" w:rsidRPr="00B47869" w:rsidRDefault="00B30C64" w:rsidP="00B30C64">
            <w:pPr>
              <w:tabs>
                <w:tab w:val="center" w:pos="3152"/>
              </w:tabs>
              <w:rPr>
                <w:rFonts w:cs="Arial"/>
                <w:szCs w:val="19"/>
              </w:rPr>
            </w:pPr>
            <w:r w:rsidRPr="00B47869">
              <w:rPr>
                <w:rFonts w:cs="Arial"/>
                <w:sz w:val="16"/>
                <w:szCs w:val="16"/>
              </w:rPr>
              <w:t>[new indication]</w:t>
            </w:r>
          </w:p>
        </w:tc>
      </w:tr>
      <w:tr w:rsidR="00B30C64" w:rsidRPr="00B47869" w14:paraId="6561925B" w14:textId="77777777" w:rsidTr="00B30C64">
        <w:tc>
          <w:tcPr>
            <w:tcW w:w="1158" w:type="pct"/>
            <w:gridSpan w:val="2"/>
            <w:tcMar>
              <w:top w:w="57" w:type="dxa"/>
              <w:bottom w:w="57" w:type="dxa"/>
            </w:tcMar>
          </w:tcPr>
          <w:p w14:paraId="66B11543" w14:textId="0B23A446" w:rsidR="00B30C64" w:rsidRPr="00B47869" w:rsidRDefault="00B30C64" w:rsidP="00B30C64">
            <w:pPr>
              <w:rPr>
                <w:rFonts w:cs="Arial"/>
                <w:szCs w:val="19"/>
              </w:rPr>
            </w:pPr>
            <w:r w:rsidRPr="00B47869">
              <w:rPr>
                <w:rFonts w:cs="Arial"/>
                <w:szCs w:val="19"/>
              </w:rPr>
              <w:t>Niraparib + abiraterone (</w:t>
            </w:r>
            <w:proofErr w:type="spellStart"/>
            <w:r w:rsidRPr="00B47869">
              <w:rPr>
                <w:rFonts w:cs="Arial"/>
                <w:i/>
                <w:iCs/>
                <w:szCs w:val="19"/>
              </w:rPr>
              <w:t>Akeega</w:t>
            </w:r>
            <w:proofErr w:type="spellEnd"/>
            <w:r w:rsidRPr="00B47869">
              <w:rPr>
                <w:rFonts w:cs="Arial"/>
                <w:szCs w:val="19"/>
              </w:rPr>
              <w:t>)</w:t>
            </w:r>
          </w:p>
        </w:tc>
        <w:tc>
          <w:tcPr>
            <w:tcW w:w="3842" w:type="pct"/>
            <w:tcMar>
              <w:top w:w="57" w:type="dxa"/>
              <w:bottom w:w="57" w:type="dxa"/>
            </w:tcMar>
          </w:tcPr>
          <w:p w14:paraId="3289A3E7" w14:textId="4ED7496F" w:rsidR="00B30C64" w:rsidRPr="00B47869" w:rsidRDefault="00B30C64" w:rsidP="00B30C64">
            <w:pPr>
              <w:tabs>
                <w:tab w:val="center" w:pos="3152"/>
              </w:tabs>
              <w:rPr>
                <w:rFonts w:cs="Arial"/>
                <w:szCs w:val="19"/>
              </w:rPr>
            </w:pPr>
            <w:r w:rsidRPr="00B47869">
              <w:rPr>
                <w:rFonts w:cs="Arial"/>
                <w:szCs w:val="19"/>
              </w:rPr>
              <w:t xml:space="preserve">Use with prednisone or prednisolone, in combination with androgen deprivation therapy, for the treatment of adults with metastatic hormone-sensitive prostate cancer and BRCA 1/2 mutations (germline and/or somatic) </w:t>
            </w:r>
            <w:r w:rsidRPr="00B47869">
              <w:rPr>
                <w:rFonts w:cs="Arial"/>
                <w:sz w:val="16"/>
                <w:szCs w:val="16"/>
              </w:rPr>
              <w:t>[EU] [new indication]</w:t>
            </w:r>
          </w:p>
        </w:tc>
      </w:tr>
      <w:tr w:rsidR="00B30C64" w:rsidRPr="00B47869" w14:paraId="095C924D" w14:textId="77777777" w:rsidTr="00B30C64">
        <w:tc>
          <w:tcPr>
            <w:tcW w:w="1158" w:type="pct"/>
            <w:gridSpan w:val="2"/>
            <w:tcMar>
              <w:top w:w="57" w:type="dxa"/>
              <w:bottom w:w="57" w:type="dxa"/>
            </w:tcMar>
          </w:tcPr>
          <w:p w14:paraId="3B8918C1" w14:textId="1BDB01BB" w:rsidR="00B30C64" w:rsidRPr="00B47869" w:rsidRDefault="00B30C64" w:rsidP="00B30C64">
            <w:pPr>
              <w:rPr>
                <w:rFonts w:cs="Arial"/>
                <w:szCs w:val="19"/>
              </w:rPr>
            </w:pPr>
            <w:r w:rsidRPr="00B47869">
              <w:rPr>
                <w:rFonts w:cs="Arial"/>
                <w:szCs w:val="19"/>
              </w:rPr>
              <w:t>Nivolumab (</w:t>
            </w:r>
            <w:r w:rsidRPr="00B47869">
              <w:rPr>
                <w:rFonts w:cs="Arial"/>
                <w:i/>
                <w:iCs/>
                <w:szCs w:val="19"/>
              </w:rPr>
              <w:t>Opdivo</w:t>
            </w:r>
            <w:r w:rsidRPr="00B47869">
              <w:rPr>
                <w:rFonts w:cs="Arial"/>
                <w:szCs w:val="19"/>
              </w:rPr>
              <w:t>)</w:t>
            </w:r>
          </w:p>
        </w:tc>
        <w:tc>
          <w:tcPr>
            <w:tcW w:w="3842" w:type="pct"/>
            <w:tcMar>
              <w:top w:w="57" w:type="dxa"/>
              <w:bottom w:w="57" w:type="dxa"/>
            </w:tcMar>
          </w:tcPr>
          <w:p w14:paraId="158779E9" w14:textId="7EDED948" w:rsidR="00B30C64" w:rsidRPr="00B47869" w:rsidRDefault="00B30C64" w:rsidP="00B30C64">
            <w:pPr>
              <w:tabs>
                <w:tab w:val="center" w:pos="3152"/>
              </w:tabs>
              <w:rPr>
                <w:rFonts w:cs="Arial"/>
                <w:szCs w:val="19"/>
              </w:rPr>
            </w:pPr>
            <w:r w:rsidRPr="00B47869">
              <w:rPr>
                <w:rFonts w:cs="Arial"/>
                <w:szCs w:val="19"/>
              </w:rPr>
              <w:t xml:space="preserve">Use in combination with brentuximab vedotin for the treatment of children aged 5 years of age and older, adolescents and adults up to 30 years of age with relapsed or refractory classical Hodgkin lymphoma after one prior line of therapy </w:t>
            </w:r>
            <w:r w:rsidRPr="00B47869">
              <w:rPr>
                <w:rFonts w:cs="Arial"/>
                <w:sz w:val="16"/>
                <w:szCs w:val="16"/>
              </w:rPr>
              <w:t>[EU] [new indication]</w:t>
            </w:r>
          </w:p>
        </w:tc>
      </w:tr>
      <w:tr w:rsidR="00B30C64" w:rsidRPr="00B47869" w14:paraId="269D5493" w14:textId="77777777" w:rsidTr="00B30C64">
        <w:tc>
          <w:tcPr>
            <w:tcW w:w="1158" w:type="pct"/>
            <w:gridSpan w:val="2"/>
            <w:tcMar>
              <w:top w:w="57" w:type="dxa"/>
              <w:bottom w:w="57" w:type="dxa"/>
            </w:tcMar>
          </w:tcPr>
          <w:p w14:paraId="1690A2F3" w14:textId="286B9EEE" w:rsidR="00B30C64" w:rsidRPr="00B47869" w:rsidRDefault="00B30C64" w:rsidP="00B30C64">
            <w:pPr>
              <w:rPr>
                <w:rFonts w:cs="Arial"/>
                <w:szCs w:val="19"/>
              </w:rPr>
            </w:pPr>
            <w:r w:rsidRPr="00B47869">
              <w:rPr>
                <w:rFonts w:cs="Arial"/>
                <w:szCs w:val="19"/>
              </w:rPr>
              <w:t>Ponatinib (</w:t>
            </w:r>
            <w:proofErr w:type="spellStart"/>
            <w:r w:rsidRPr="00B47869">
              <w:rPr>
                <w:rFonts w:cs="Arial"/>
                <w:i/>
                <w:iCs/>
                <w:szCs w:val="19"/>
              </w:rPr>
              <w:t>Iclusig</w:t>
            </w:r>
            <w:proofErr w:type="spellEnd"/>
            <w:r w:rsidRPr="00B47869">
              <w:rPr>
                <w:rFonts w:cs="Arial"/>
                <w:szCs w:val="19"/>
              </w:rPr>
              <w:t>)</w:t>
            </w:r>
          </w:p>
        </w:tc>
        <w:tc>
          <w:tcPr>
            <w:tcW w:w="3842" w:type="pct"/>
            <w:tcMar>
              <w:top w:w="57" w:type="dxa"/>
              <w:bottom w:w="57" w:type="dxa"/>
            </w:tcMar>
          </w:tcPr>
          <w:p w14:paraId="45C80CBC" w14:textId="43D99EF6" w:rsidR="00B30C64" w:rsidRPr="00B47869" w:rsidRDefault="00B30C64" w:rsidP="00B30C64">
            <w:pPr>
              <w:tabs>
                <w:tab w:val="center" w:pos="3152"/>
              </w:tabs>
              <w:rPr>
                <w:rFonts w:cs="Arial"/>
                <w:szCs w:val="19"/>
              </w:rPr>
            </w:pPr>
            <w:r w:rsidRPr="00B47869">
              <w:rPr>
                <w:rFonts w:cs="Arial"/>
                <w:szCs w:val="19"/>
              </w:rPr>
              <w:t xml:space="preserve">Use in combination with reduced-intensity chemotherapy in adults with newly diagnosed Philadelphia chromosome positive acute lymphoblastic leukaemia </w:t>
            </w:r>
            <w:r w:rsidRPr="00B47869">
              <w:rPr>
                <w:rFonts w:cs="Arial"/>
                <w:sz w:val="16"/>
                <w:szCs w:val="16"/>
              </w:rPr>
              <w:t>[EU] [new indication]</w:t>
            </w:r>
          </w:p>
        </w:tc>
      </w:tr>
      <w:tr w:rsidR="00B30C64" w:rsidRPr="00B47869" w14:paraId="3DCFC995" w14:textId="77777777" w:rsidTr="00B30C64">
        <w:tc>
          <w:tcPr>
            <w:tcW w:w="1158" w:type="pct"/>
            <w:gridSpan w:val="2"/>
            <w:tcMar>
              <w:top w:w="57" w:type="dxa"/>
              <w:bottom w:w="57" w:type="dxa"/>
            </w:tcMar>
          </w:tcPr>
          <w:p w14:paraId="7CC261CB" w14:textId="69CF4569" w:rsidR="00B30C64" w:rsidRPr="00B47869" w:rsidRDefault="00B30C64" w:rsidP="00B30C64">
            <w:pPr>
              <w:rPr>
                <w:rFonts w:cs="Arial"/>
                <w:szCs w:val="19"/>
              </w:rPr>
            </w:pPr>
            <w:proofErr w:type="spellStart"/>
            <w:r w:rsidRPr="00B47869">
              <w:rPr>
                <w:rFonts w:cs="Arial"/>
                <w:szCs w:val="19"/>
              </w:rPr>
              <w:t>Retifanlimab</w:t>
            </w:r>
            <w:proofErr w:type="spellEnd"/>
            <w:r w:rsidRPr="00B47869">
              <w:rPr>
                <w:rFonts w:cs="Arial"/>
                <w:szCs w:val="19"/>
              </w:rPr>
              <w:t xml:space="preserve"> (</w:t>
            </w:r>
            <w:proofErr w:type="spellStart"/>
            <w:r w:rsidRPr="00B47869">
              <w:rPr>
                <w:rFonts w:cs="Arial"/>
                <w:i/>
                <w:iCs/>
                <w:szCs w:val="19"/>
              </w:rPr>
              <w:t>Zynyz</w:t>
            </w:r>
            <w:proofErr w:type="spellEnd"/>
            <w:r w:rsidRPr="00B47869">
              <w:rPr>
                <w:rFonts w:cs="Arial"/>
                <w:szCs w:val="19"/>
              </w:rPr>
              <w:t>)</w:t>
            </w:r>
          </w:p>
        </w:tc>
        <w:tc>
          <w:tcPr>
            <w:tcW w:w="3842" w:type="pct"/>
            <w:tcMar>
              <w:top w:w="57" w:type="dxa"/>
              <w:bottom w:w="57" w:type="dxa"/>
            </w:tcMar>
          </w:tcPr>
          <w:p w14:paraId="482E9325" w14:textId="1DD7C8E4" w:rsidR="00B30C64" w:rsidRPr="00B47869" w:rsidRDefault="00B30C64" w:rsidP="00B30C64">
            <w:pPr>
              <w:tabs>
                <w:tab w:val="num" w:pos="720"/>
                <w:tab w:val="center" w:pos="3152"/>
              </w:tabs>
              <w:rPr>
                <w:rFonts w:cs="Arial"/>
                <w:szCs w:val="19"/>
              </w:rPr>
            </w:pPr>
            <w:r w:rsidRPr="00B47869">
              <w:rPr>
                <w:rFonts w:cs="Arial"/>
                <w:szCs w:val="19"/>
              </w:rPr>
              <w:t xml:space="preserve">Use in combination with carboplatin and paclitaxel for the first-line treatment of adults with metastatic or with inoperable locally recurrent squamous cell carcinoma of the anal canal </w:t>
            </w:r>
            <w:r w:rsidRPr="00B47869">
              <w:rPr>
                <w:rFonts w:cs="Arial"/>
                <w:sz w:val="16"/>
                <w:szCs w:val="16"/>
              </w:rPr>
              <w:t>[EU] [new indication]</w:t>
            </w:r>
          </w:p>
        </w:tc>
      </w:tr>
      <w:tr w:rsidR="00B30C64" w:rsidRPr="00B47869" w14:paraId="2B7131B5" w14:textId="77777777" w:rsidTr="00B30C64">
        <w:tc>
          <w:tcPr>
            <w:tcW w:w="1158" w:type="pct"/>
            <w:gridSpan w:val="2"/>
            <w:tcMar>
              <w:top w:w="57" w:type="dxa"/>
              <w:bottom w:w="57" w:type="dxa"/>
            </w:tcMar>
          </w:tcPr>
          <w:p w14:paraId="67753C7B" w14:textId="3B10160C" w:rsidR="00B30C64" w:rsidRPr="00B47869" w:rsidRDefault="00B30C64" w:rsidP="00B30C64">
            <w:pPr>
              <w:rPr>
                <w:rFonts w:cs="Arial"/>
                <w:szCs w:val="19"/>
              </w:rPr>
            </w:pPr>
            <w:r w:rsidRPr="00B47869">
              <w:rPr>
                <w:rFonts w:cs="Arial"/>
                <w:szCs w:val="19"/>
              </w:rPr>
              <w:t>Semaglutide (</w:t>
            </w:r>
            <w:proofErr w:type="spellStart"/>
            <w:r w:rsidRPr="00B47869">
              <w:rPr>
                <w:rFonts w:cs="Arial"/>
                <w:i/>
                <w:iCs/>
                <w:szCs w:val="19"/>
              </w:rPr>
              <w:t>Kayshild</w:t>
            </w:r>
            <w:proofErr w:type="spellEnd"/>
            <w:r w:rsidRPr="00B47869">
              <w:rPr>
                <w:rFonts w:cs="Arial"/>
                <w:szCs w:val="19"/>
              </w:rPr>
              <w:t>)</w:t>
            </w:r>
          </w:p>
        </w:tc>
        <w:tc>
          <w:tcPr>
            <w:tcW w:w="3842" w:type="pct"/>
            <w:tcMar>
              <w:top w:w="57" w:type="dxa"/>
              <w:bottom w:w="57" w:type="dxa"/>
            </w:tcMar>
          </w:tcPr>
          <w:p w14:paraId="179E3558" w14:textId="116553F1" w:rsidR="00B30C64" w:rsidRPr="00B47869" w:rsidRDefault="00B30C64" w:rsidP="00B30C64">
            <w:pPr>
              <w:tabs>
                <w:tab w:val="num" w:pos="720"/>
                <w:tab w:val="center" w:pos="3152"/>
              </w:tabs>
              <w:rPr>
                <w:rFonts w:cs="Arial"/>
                <w:szCs w:val="19"/>
              </w:rPr>
            </w:pPr>
            <w:r w:rsidRPr="00B47869">
              <w:rPr>
                <w:rFonts w:cs="Arial"/>
                <w:szCs w:val="19"/>
              </w:rPr>
              <w:t xml:space="preserve">Use in conjunction with diet and exercise for the treatment of adults with non-cirrhotic metabolic dysfunction-associated steatohepatitis with moderate to advanced liver fibrosis (fibrosis stages F2 to F3) </w:t>
            </w:r>
            <w:r w:rsidRPr="00B47869">
              <w:rPr>
                <w:rFonts w:cs="Arial"/>
                <w:sz w:val="16"/>
                <w:szCs w:val="16"/>
              </w:rPr>
              <w:t>[EU]</w:t>
            </w:r>
          </w:p>
        </w:tc>
      </w:tr>
      <w:tr w:rsidR="00B30C64" w:rsidRPr="00B47869" w14:paraId="380F12B8" w14:textId="77777777" w:rsidTr="00B30C64">
        <w:tc>
          <w:tcPr>
            <w:tcW w:w="1158" w:type="pct"/>
            <w:gridSpan w:val="2"/>
            <w:tcMar>
              <w:top w:w="0" w:type="dxa"/>
              <w:bottom w:w="0" w:type="dxa"/>
            </w:tcMar>
          </w:tcPr>
          <w:p w14:paraId="29D1D615" w14:textId="77777777" w:rsidR="00B30C64" w:rsidRPr="00B47869" w:rsidRDefault="00B30C64" w:rsidP="00B30C64">
            <w:pPr>
              <w:rPr>
                <w:rFonts w:cs="Arial"/>
                <w:bCs/>
                <w:sz w:val="8"/>
                <w:szCs w:val="8"/>
              </w:rPr>
            </w:pPr>
          </w:p>
        </w:tc>
        <w:tc>
          <w:tcPr>
            <w:tcW w:w="3842" w:type="pct"/>
            <w:tcMar>
              <w:top w:w="0" w:type="dxa"/>
              <w:bottom w:w="0" w:type="dxa"/>
            </w:tcMar>
          </w:tcPr>
          <w:p w14:paraId="720EACFB" w14:textId="77777777" w:rsidR="00B30C64" w:rsidRPr="00B47869" w:rsidRDefault="00B30C64" w:rsidP="00B30C64">
            <w:pPr>
              <w:tabs>
                <w:tab w:val="center" w:pos="3152"/>
              </w:tabs>
              <w:rPr>
                <w:rFonts w:cs="Arial"/>
                <w:sz w:val="8"/>
                <w:szCs w:val="8"/>
              </w:rPr>
            </w:pPr>
          </w:p>
        </w:tc>
      </w:tr>
      <w:tr w:rsidR="00B30C64" w:rsidRPr="00B47869" w14:paraId="01EC0446" w14:textId="77777777" w:rsidTr="00155BD9">
        <w:tc>
          <w:tcPr>
            <w:tcW w:w="1152" w:type="pct"/>
            <w:shd w:val="clear" w:color="auto" w:fill="DAEEF3"/>
            <w:tcMar>
              <w:top w:w="0" w:type="dxa"/>
              <w:bottom w:w="0" w:type="dxa"/>
            </w:tcMar>
          </w:tcPr>
          <w:p w14:paraId="354DE84C" w14:textId="77777777" w:rsidR="00B30C64" w:rsidRPr="00B47869" w:rsidRDefault="00B30C64" w:rsidP="00B30C64">
            <w:pPr>
              <w:rPr>
                <w:rFonts w:cs="Arial"/>
                <w:bCs/>
                <w:sz w:val="8"/>
                <w:szCs w:val="8"/>
              </w:rPr>
            </w:pPr>
          </w:p>
        </w:tc>
        <w:tc>
          <w:tcPr>
            <w:tcW w:w="3848" w:type="pct"/>
            <w:gridSpan w:val="2"/>
            <w:shd w:val="clear" w:color="auto" w:fill="DAEEF3"/>
            <w:tcMar>
              <w:top w:w="0" w:type="dxa"/>
              <w:bottom w:w="0" w:type="dxa"/>
            </w:tcMar>
          </w:tcPr>
          <w:p w14:paraId="08D58215" w14:textId="77777777" w:rsidR="00B30C64" w:rsidRPr="00B47869" w:rsidRDefault="00B30C64" w:rsidP="00B30C64">
            <w:pPr>
              <w:tabs>
                <w:tab w:val="center" w:pos="3152"/>
              </w:tabs>
              <w:rPr>
                <w:rFonts w:cs="Arial"/>
                <w:sz w:val="8"/>
                <w:szCs w:val="8"/>
              </w:rPr>
            </w:pPr>
          </w:p>
        </w:tc>
      </w:tr>
      <w:tr w:rsidR="00B30C64" w:rsidRPr="00B47869" w14:paraId="1FF995BA" w14:textId="77777777" w:rsidTr="00562CE4">
        <w:tc>
          <w:tcPr>
            <w:tcW w:w="5000" w:type="pct"/>
            <w:gridSpan w:val="3"/>
            <w:shd w:val="clear" w:color="auto" w:fill="008232"/>
            <w:tcMar>
              <w:top w:w="57" w:type="dxa"/>
              <w:bottom w:w="57" w:type="dxa"/>
            </w:tcMar>
          </w:tcPr>
          <w:p w14:paraId="566C9E16" w14:textId="77777777" w:rsidR="00B30C64" w:rsidRPr="00B47869" w:rsidRDefault="00B30C64" w:rsidP="00B30C64">
            <w:pPr>
              <w:rPr>
                <w:rFonts w:cs="Arial"/>
                <w:color w:val="FFFFFF"/>
                <w:sz w:val="16"/>
                <w:szCs w:val="16"/>
              </w:rPr>
            </w:pPr>
            <w:r w:rsidRPr="00B47869">
              <w:rPr>
                <w:rFonts w:cs="Arial"/>
                <w:b/>
                <w:bCs/>
                <w:i/>
                <w:iCs/>
                <w:color w:val="FFFFFF"/>
                <w:sz w:val="22"/>
                <w:szCs w:val="20"/>
              </w:rPr>
              <w:t>Filed for approval in the UK or EU</w:t>
            </w:r>
          </w:p>
        </w:tc>
      </w:tr>
      <w:tr w:rsidR="00B30C64" w:rsidRPr="00B47869" w14:paraId="19A4B5F6" w14:textId="77777777" w:rsidTr="00B30C64">
        <w:tc>
          <w:tcPr>
            <w:tcW w:w="1158" w:type="pct"/>
            <w:gridSpan w:val="2"/>
            <w:tcMar>
              <w:top w:w="57" w:type="dxa"/>
              <w:bottom w:w="57" w:type="dxa"/>
            </w:tcMar>
          </w:tcPr>
          <w:p w14:paraId="44F1C1FC" w14:textId="197D0EFA" w:rsidR="00B30C64" w:rsidRPr="00B47869" w:rsidRDefault="00B30C64" w:rsidP="00B30C64">
            <w:pPr>
              <w:rPr>
                <w:rFonts w:cs="Arial"/>
                <w:szCs w:val="19"/>
              </w:rPr>
            </w:pPr>
            <w:proofErr w:type="spellStart"/>
            <w:r w:rsidRPr="00B47869">
              <w:rPr>
                <w:rFonts w:cs="Arial"/>
                <w:szCs w:val="19"/>
              </w:rPr>
              <w:t>Anselamimab</w:t>
            </w:r>
            <w:proofErr w:type="spellEnd"/>
            <w:r w:rsidRPr="00B47869">
              <w:rPr>
                <w:rFonts w:cs="Arial"/>
                <w:szCs w:val="19"/>
              </w:rPr>
              <w:t xml:space="preserve"> </w:t>
            </w:r>
          </w:p>
        </w:tc>
        <w:tc>
          <w:tcPr>
            <w:tcW w:w="3842" w:type="pct"/>
            <w:tcMar>
              <w:top w:w="57" w:type="dxa"/>
              <w:bottom w:w="57" w:type="dxa"/>
            </w:tcMar>
          </w:tcPr>
          <w:p w14:paraId="09ABA9FB" w14:textId="79733A75" w:rsidR="00B30C64" w:rsidRPr="00B47869" w:rsidRDefault="00B30C64" w:rsidP="00B30C64">
            <w:pPr>
              <w:tabs>
                <w:tab w:val="center" w:pos="3152"/>
              </w:tabs>
              <w:rPr>
                <w:rFonts w:cs="Arial"/>
                <w:szCs w:val="19"/>
              </w:rPr>
            </w:pPr>
            <w:r w:rsidRPr="00B47869">
              <w:rPr>
                <w:rFonts w:cs="Arial"/>
                <w:szCs w:val="19"/>
              </w:rPr>
              <w:t xml:space="preserve">Treatment of adults with kappa light chain amyloidosis </w:t>
            </w:r>
            <w:r w:rsidRPr="00B47869">
              <w:rPr>
                <w:rFonts w:cs="Arial"/>
                <w:sz w:val="16"/>
                <w:szCs w:val="16"/>
              </w:rPr>
              <w:t>[EU]</w:t>
            </w:r>
          </w:p>
        </w:tc>
      </w:tr>
      <w:tr w:rsidR="00B30C64" w:rsidRPr="00B47869" w14:paraId="3CD99219" w14:textId="77777777" w:rsidTr="00B30C64">
        <w:tc>
          <w:tcPr>
            <w:tcW w:w="1158" w:type="pct"/>
            <w:gridSpan w:val="2"/>
            <w:tcMar>
              <w:top w:w="57" w:type="dxa"/>
              <w:bottom w:w="57" w:type="dxa"/>
            </w:tcMar>
          </w:tcPr>
          <w:p w14:paraId="5A40EEF6" w14:textId="1F5E0771" w:rsidR="00B30C64" w:rsidRPr="00B47869" w:rsidRDefault="00B30C64" w:rsidP="00B30C64">
            <w:pPr>
              <w:rPr>
                <w:rFonts w:cs="Arial"/>
                <w:szCs w:val="19"/>
              </w:rPr>
            </w:pPr>
            <w:proofErr w:type="spellStart"/>
            <w:r w:rsidRPr="00B47869">
              <w:rPr>
                <w:rFonts w:cs="Arial"/>
                <w:szCs w:val="19"/>
              </w:rPr>
              <w:t>Gefurulimab</w:t>
            </w:r>
            <w:proofErr w:type="spellEnd"/>
            <w:r w:rsidRPr="00B47869">
              <w:rPr>
                <w:rFonts w:cs="Arial"/>
                <w:szCs w:val="19"/>
              </w:rPr>
              <w:t xml:space="preserve"> </w:t>
            </w:r>
          </w:p>
        </w:tc>
        <w:tc>
          <w:tcPr>
            <w:tcW w:w="3842" w:type="pct"/>
            <w:tcMar>
              <w:top w:w="57" w:type="dxa"/>
              <w:bottom w:w="57" w:type="dxa"/>
            </w:tcMar>
          </w:tcPr>
          <w:p w14:paraId="081C32E8" w14:textId="6061D071" w:rsidR="00B30C64" w:rsidRPr="00B47869" w:rsidRDefault="00B30C64" w:rsidP="00B30C64">
            <w:pPr>
              <w:tabs>
                <w:tab w:val="center" w:pos="3152"/>
              </w:tabs>
              <w:rPr>
                <w:rFonts w:cs="Arial"/>
                <w:szCs w:val="19"/>
              </w:rPr>
            </w:pPr>
            <w:r w:rsidRPr="00B47869">
              <w:rPr>
                <w:rFonts w:cs="Arial"/>
                <w:szCs w:val="19"/>
              </w:rPr>
              <w:t xml:space="preserve">Treatment of adults with </w:t>
            </w:r>
            <w:r w:rsidRPr="00E937E5">
              <w:rPr>
                <w:rFonts w:cs="Arial"/>
                <w:szCs w:val="19"/>
              </w:rPr>
              <w:t xml:space="preserve">generalised </w:t>
            </w:r>
            <w:r w:rsidR="006C548C" w:rsidRPr="00E937E5">
              <w:rPr>
                <w:rFonts w:cs="Arial"/>
                <w:szCs w:val="19"/>
              </w:rPr>
              <w:t>myasthenia</w:t>
            </w:r>
            <w:r w:rsidRPr="00E937E5">
              <w:rPr>
                <w:rFonts w:cs="Arial"/>
                <w:szCs w:val="19"/>
              </w:rPr>
              <w:t xml:space="preserve"> gravis</w:t>
            </w:r>
            <w:r w:rsidRPr="00B47869">
              <w:rPr>
                <w:rFonts w:cs="Arial"/>
                <w:szCs w:val="19"/>
              </w:rPr>
              <w:t xml:space="preserve"> </w:t>
            </w:r>
            <w:r w:rsidRPr="00B47869">
              <w:rPr>
                <w:rFonts w:cs="Arial"/>
                <w:sz w:val="16"/>
                <w:szCs w:val="16"/>
              </w:rPr>
              <w:t>[EU]</w:t>
            </w:r>
          </w:p>
        </w:tc>
      </w:tr>
      <w:tr w:rsidR="00B30C64" w:rsidRPr="00B47869" w14:paraId="54CB9058" w14:textId="77777777" w:rsidTr="00B30C64">
        <w:tc>
          <w:tcPr>
            <w:tcW w:w="1158" w:type="pct"/>
            <w:gridSpan w:val="2"/>
            <w:tcMar>
              <w:top w:w="57" w:type="dxa"/>
              <w:bottom w:w="57" w:type="dxa"/>
            </w:tcMar>
          </w:tcPr>
          <w:p w14:paraId="3E06AEF7" w14:textId="08C4625C" w:rsidR="00B30C64" w:rsidRPr="00B47869" w:rsidRDefault="00B30C64" w:rsidP="00B30C64">
            <w:pPr>
              <w:rPr>
                <w:rFonts w:cs="Arial"/>
                <w:szCs w:val="19"/>
              </w:rPr>
            </w:pPr>
            <w:proofErr w:type="spellStart"/>
            <w:r w:rsidRPr="00B47869">
              <w:rPr>
                <w:rFonts w:cs="Arial"/>
                <w:szCs w:val="19"/>
              </w:rPr>
              <w:t>Selpercatinib</w:t>
            </w:r>
            <w:proofErr w:type="spellEnd"/>
            <w:r w:rsidRPr="00B47869">
              <w:rPr>
                <w:rFonts w:cs="Arial"/>
                <w:szCs w:val="19"/>
              </w:rPr>
              <w:t xml:space="preserve"> (</w:t>
            </w:r>
            <w:proofErr w:type="spellStart"/>
            <w:r w:rsidRPr="00B47869">
              <w:rPr>
                <w:rFonts w:cs="Arial"/>
                <w:i/>
                <w:iCs/>
                <w:szCs w:val="19"/>
              </w:rPr>
              <w:t>Retsevmo</w:t>
            </w:r>
            <w:proofErr w:type="spellEnd"/>
            <w:r w:rsidRPr="00B47869">
              <w:rPr>
                <w:rFonts w:cs="Arial"/>
                <w:szCs w:val="19"/>
              </w:rPr>
              <w:t>)</w:t>
            </w:r>
          </w:p>
        </w:tc>
        <w:tc>
          <w:tcPr>
            <w:tcW w:w="3842" w:type="pct"/>
            <w:tcMar>
              <w:top w:w="57" w:type="dxa"/>
              <w:bottom w:w="57" w:type="dxa"/>
            </w:tcMar>
          </w:tcPr>
          <w:p w14:paraId="21730676" w14:textId="5ECFA694" w:rsidR="00B30C64" w:rsidRPr="00B47869" w:rsidRDefault="00B30C64" w:rsidP="00B30C64">
            <w:pPr>
              <w:tabs>
                <w:tab w:val="center" w:pos="3152"/>
              </w:tabs>
              <w:rPr>
                <w:rFonts w:cs="Arial"/>
                <w:szCs w:val="19"/>
              </w:rPr>
            </w:pPr>
            <w:r w:rsidRPr="00B47869">
              <w:rPr>
                <w:rFonts w:cs="Arial"/>
                <w:szCs w:val="19"/>
              </w:rPr>
              <w:t xml:space="preserve">Treatment of paediatric patients aged 2 years and older with advanced RET-mutant medullary thyroid cancer </w:t>
            </w:r>
            <w:r w:rsidRPr="00B47869">
              <w:rPr>
                <w:rFonts w:cs="Arial"/>
                <w:sz w:val="16"/>
                <w:szCs w:val="16"/>
              </w:rPr>
              <w:t>[EU] [licence change from use only in adults]</w:t>
            </w:r>
          </w:p>
        </w:tc>
      </w:tr>
      <w:tr w:rsidR="00B30C64" w:rsidRPr="00B47869" w14:paraId="1F73CD52" w14:textId="77777777" w:rsidTr="00B30C64">
        <w:tc>
          <w:tcPr>
            <w:tcW w:w="1158" w:type="pct"/>
            <w:gridSpan w:val="2"/>
            <w:tcMar>
              <w:top w:w="57" w:type="dxa"/>
              <w:bottom w:w="57" w:type="dxa"/>
            </w:tcMar>
          </w:tcPr>
          <w:p w14:paraId="206D51A5" w14:textId="5F3666FD" w:rsidR="00B30C64" w:rsidRPr="00B47869" w:rsidRDefault="00B30C64" w:rsidP="00B30C64">
            <w:pPr>
              <w:rPr>
                <w:rFonts w:cs="Arial"/>
                <w:szCs w:val="19"/>
              </w:rPr>
            </w:pPr>
            <w:proofErr w:type="spellStart"/>
            <w:r w:rsidRPr="00B47869">
              <w:rPr>
                <w:rFonts w:cs="Arial"/>
                <w:szCs w:val="19"/>
              </w:rPr>
              <w:t>Sevabertinib</w:t>
            </w:r>
            <w:proofErr w:type="spellEnd"/>
            <w:r w:rsidRPr="00B47869">
              <w:rPr>
                <w:rFonts w:cs="Arial"/>
                <w:szCs w:val="19"/>
              </w:rPr>
              <w:t xml:space="preserve"> (</w:t>
            </w:r>
            <w:proofErr w:type="spellStart"/>
            <w:r w:rsidRPr="00B47869">
              <w:rPr>
                <w:rFonts w:cs="Arial"/>
                <w:i/>
                <w:iCs/>
                <w:szCs w:val="19"/>
              </w:rPr>
              <w:t>Hyrnuo</w:t>
            </w:r>
            <w:proofErr w:type="spellEnd"/>
            <w:r w:rsidRPr="00B47869">
              <w:rPr>
                <w:rFonts w:cs="Arial"/>
                <w:szCs w:val="19"/>
              </w:rPr>
              <w:t>)</w:t>
            </w:r>
          </w:p>
        </w:tc>
        <w:tc>
          <w:tcPr>
            <w:tcW w:w="3842" w:type="pct"/>
            <w:tcMar>
              <w:top w:w="57" w:type="dxa"/>
              <w:bottom w:w="57" w:type="dxa"/>
            </w:tcMar>
          </w:tcPr>
          <w:p w14:paraId="1CE1D9F8" w14:textId="0A262936" w:rsidR="00B30C64" w:rsidRPr="00B47869" w:rsidRDefault="00B30C64" w:rsidP="00B30C64">
            <w:pPr>
              <w:tabs>
                <w:tab w:val="center" w:pos="3152"/>
              </w:tabs>
              <w:rPr>
                <w:rFonts w:cs="Arial"/>
                <w:szCs w:val="19"/>
              </w:rPr>
            </w:pPr>
            <w:r w:rsidRPr="00B47869">
              <w:rPr>
                <w:rFonts w:cs="Arial"/>
                <w:szCs w:val="19"/>
              </w:rPr>
              <w:t xml:space="preserve">Treatment of advanced non-small cell lung cancer with activating HER2 (ERBB2) mutations in adults who have received a prior systemic therapy </w:t>
            </w:r>
            <w:r w:rsidRPr="00B47869">
              <w:rPr>
                <w:rFonts w:cs="Arial"/>
                <w:sz w:val="16"/>
                <w:szCs w:val="16"/>
              </w:rPr>
              <w:t>[UK]</w:t>
            </w:r>
          </w:p>
        </w:tc>
      </w:tr>
      <w:tr w:rsidR="00B30C64" w:rsidRPr="00B47869" w14:paraId="078FC52D" w14:textId="77777777" w:rsidTr="00B30C64">
        <w:tc>
          <w:tcPr>
            <w:tcW w:w="1158" w:type="pct"/>
            <w:gridSpan w:val="2"/>
            <w:tcMar>
              <w:top w:w="57" w:type="dxa"/>
              <w:bottom w:w="57" w:type="dxa"/>
            </w:tcMar>
          </w:tcPr>
          <w:p w14:paraId="42C5802A" w14:textId="0FE61B7E" w:rsidR="00B30C64" w:rsidRPr="00B47869" w:rsidRDefault="00B30C64" w:rsidP="00B30C64">
            <w:pPr>
              <w:rPr>
                <w:rFonts w:cs="Arial"/>
                <w:szCs w:val="19"/>
              </w:rPr>
            </w:pPr>
            <w:proofErr w:type="spellStart"/>
            <w:r w:rsidRPr="00B47869">
              <w:rPr>
                <w:rFonts w:cs="Arial"/>
                <w:szCs w:val="19"/>
              </w:rPr>
              <w:t>Sintilimab</w:t>
            </w:r>
            <w:proofErr w:type="spellEnd"/>
            <w:r w:rsidRPr="00B47869">
              <w:rPr>
                <w:rFonts w:cs="Arial"/>
                <w:szCs w:val="19"/>
              </w:rPr>
              <w:t xml:space="preserve"> (</w:t>
            </w:r>
            <w:proofErr w:type="spellStart"/>
            <w:r w:rsidRPr="00B47869">
              <w:rPr>
                <w:rFonts w:cs="Arial"/>
                <w:i/>
                <w:iCs/>
                <w:szCs w:val="19"/>
              </w:rPr>
              <w:t>Tyvyt</w:t>
            </w:r>
            <w:proofErr w:type="spellEnd"/>
            <w:r w:rsidRPr="00B47869">
              <w:rPr>
                <w:rFonts w:cs="Arial"/>
                <w:szCs w:val="19"/>
              </w:rPr>
              <w:t>)</w:t>
            </w:r>
          </w:p>
        </w:tc>
        <w:tc>
          <w:tcPr>
            <w:tcW w:w="3842" w:type="pct"/>
            <w:tcMar>
              <w:top w:w="57" w:type="dxa"/>
              <w:bottom w:w="57" w:type="dxa"/>
            </w:tcMar>
          </w:tcPr>
          <w:p w14:paraId="2DD2B5A8" w14:textId="2F964AA6" w:rsidR="00B30C64" w:rsidRPr="00B47869" w:rsidRDefault="00B30C64" w:rsidP="00B30C64">
            <w:pPr>
              <w:tabs>
                <w:tab w:val="center" w:pos="3152"/>
              </w:tabs>
              <w:rPr>
                <w:rFonts w:cs="Arial"/>
                <w:szCs w:val="19"/>
              </w:rPr>
            </w:pPr>
            <w:r w:rsidRPr="00B47869">
              <w:rPr>
                <w:rFonts w:cs="Arial"/>
                <w:szCs w:val="19"/>
              </w:rPr>
              <w:t xml:space="preserve">Treatment of non-squamous non-small cell lung cancer in adults </w:t>
            </w:r>
            <w:r w:rsidRPr="00B47869">
              <w:rPr>
                <w:rFonts w:cs="Arial"/>
                <w:sz w:val="16"/>
                <w:szCs w:val="16"/>
              </w:rPr>
              <w:t>[EU]</w:t>
            </w:r>
          </w:p>
        </w:tc>
      </w:tr>
      <w:tr w:rsidR="00B30C64" w:rsidRPr="00B47869" w14:paraId="76B3A0D6" w14:textId="77777777" w:rsidTr="00B30C64">
        <w:tc>
          <w:tcPr>
            <w:tcW w:w="1158" w:type="pct"/>
            <w:gridSpan w:val="2"/>
            <w:tcMar>
              <w:top w:w="57" w:type="dxa"/>
              <w:bottom w:w="57" w:type="dxa"/>
            </w:tcMar>
          </w:tcPr>
          <w:p w14:paraId="58C23263" w14:textId="77777777" w:rsidR="00B30C64" w:rsidRPr="00B47869" w:rsidRDefault="00B30C64" w:rsidP="00B30C64">
            <w:pPr>
              <w:rPr>
                <w:rFonts w:cs="Arial"/>
                <w:szCs w:val="19"/>
              </w:rPr>
            </w:pPr>
            <w:r w:rsidRPr="00B47869">
              <w:rPr>
                <w:rFonts w:cs="Arial"/>
                <w:szCs w:val="19"/>
              </w:rPr>
              <w:t>Trastuzumab deruxtecan </w:t>
            </w:r>
          </w:p>
          <w:p w14:paraId="38988E8B" w14:textId="6BFCB53F" w:rsidR="00B30C64" w:rsidRPr="00B47869" w:rsidRDefault="00B30C64" w:rsidP="00B30C64">
            <w:pPr>
              <w:rPr>
                <w:rFonts w:cs="Arial"/>
                <w:szCs w:val="19"/>
              </w:rPr>
            </w:pPr>
            <w:r w:rsidRPr="00B47869">
              <w:rPr>
                <w:rFonts w:cs="Arial"/>
                <w:szCs w:val="19"/>
              </w:rPr>
              <w:t>(</w:t>
            </w:r>
            <w:proofErr w:type="spellStart"/>
            <w:r w:rsidRPr="00B47869">
              <w:rPr>
                <w:rFonts w:cs="Arial"/>
                <w:i/>
                <w:iCs/>
                <w:szCs w:val="19"/>
              </w:rPr>
              <w:t>Enhertu</w:t>
            </w:r>
            <w:proofErr w:type="spellEnd"/>
            <w:r w:rsidRPr="00B47869">
              <w:rPr>
                <w:rFonts w:cs="Arial"/>
                <w:szCs w:val="19"/>
              </w:rPr>
              <w:t>)</w:t>
            </w:r>
          </w:p>
        </w:tc>
        <w:tc>
          <w:tcPr>
            <w:tcW w:w="3842" w:type="pct"/>
            <w:tcMar>
              <w:top w:w="57" w:type="dxa"/>
              <w:bottom w:w="57" w:type="dxa"/>
            </w:tcMar>
          </w:tcPr>
          <w:p w14:paraId="4FA13679" w14:textId="18AB0526" w:rsidR="00B30C64" w:rsidRPr="00B47869" w:rsidRDefault="00B30C64" w:rsidP="00B30C64">
            <w:pPr>
              <w:tabs>
                <w:tab w:val="center" w:pos="3152"/>
              </w:tabs>
              <w:rPr>
                <w:rFonts w:cs="Arial"/>
                <w:szCs w:val="19"/>
              </w:rPr>
            </w:pPr>
            <w:r w:rsidRPr="00B47869">
              <w:rPr>
                <w:rFonts w:cs="Arial"/>
                <w:szCs w:val="19"/>
              </w:rPr>
              <w:t xml:space="preserve">Use in combination with pertuzumab for the first-line treatment of adults with unresectable or metastatic HER2-positive breast cancer </w:t>
            </w:r>
            <w:r w:rsidRPr="00B47869">
              <w:rPr>
                <w:rFonts w:cs="Arial"/>
                <w:sz w:val="16"/>
                <w:szCs w:val="16"/>
              </w:rPr>
              <w:t>[EU] [new indication]</w:t>
            </w:r>
          </w:p>
        </w:tc>
      </w:tr>
      <w:tr w:rsidR="00B30C64" w:rsidRPr="00B47869" w14:paraId="01000FA6" w14:textId="77777777" w:rsidTr="00B30C64">
        <w:tc>
          <w:tcPr>
            <w:tcW w:w="1158" w:type="pct"/>
            <w:gridSpan w:val="2"/>
            <w:tcMar>
              <w:top w:w="0" w:type="dxa"/>
              <w:bottom w:w="0" w:type="dxa"/>
            </w:tcMar>
          </w:tcPr>
          <w:p w14:paraId="642E2C9F" w14:textId="77777777" w:rsidR="00B30C64" w:rsidRPr="00B47869" w:rsidRDefault="00B30C64" w:rsidP="00B30C64">
            <w:pPr>
              <w:rPr>
                <w:rFonts w:cs="Arial"/>
                <w:bCs/>
                <w:sz w:val="8"/>
                <w:szCs w:val="8"/>
              </w:rPr>
            </w:pPr>
          </w:p>
        </w:tc>
        <w:tc>
          <w:tcPr>
            <w:tcW w:w="3842" w:type="pct"/>
            <w:tcMar>
              <w:top w:w="0" w:type="dxa"/>
              <w:bottom w:w="0" w:type="dxa"/>
            </w:tcMar>
          </w:tcPr>
          <w:p w14:paraId="5A72CBC4" w14:textId="77777777" w:rsidR="00B30C64" w:rsidRPr="00B47869" w:rsidRDefault="00B30C64" w:rsidP="00B30C64">
            <w:pPr>
              <w:tabs>
                <w:tab w:val="center" w:pos="3152"/>
              </w:tabs>
              <w:rPr>
                <w:rFonts w:cs="Arial"/>
                <w:sz w:val="8"/>
                <w:szCs w:val="8"/>
              </w:rPr>
            </w:pPr>
          </w:p>
        </w:tc>
      </w:tr>
      <w:tr w:rsidR="00B30C64" w:rsidRPr="00B47869" w14:paraId="58ED6739" w14:textId="77777777" w:rsidTr="00155BD9">
        <w:tc>
          <w:tcPr>
            <w:tcW w:w="1152" w:type="pct"/>
            <w:shd w:val="clear" w:color="auto" w:fill="DAEEF3"/>
            <w:tcMar>
              <w:top w:w="0" w:type="dxa"/>
              <w:bottom w:w="0" w:type="dxa"/>
            </w:tcMar>
          </w:tcPr>
          <w:p w14:paraId="7A6506ED" w14:textId="77777777" w:rsidR="00B30C64" w:rsidRPr="00B47869" w:rsidRDefault="00B30C64" w:rsidP="00B30C64">
            <w:pPr>
              <w:rPr>
                <w:rFonts w:cs="Arial"/>
                <w:bCs/>
                <w:sz w:val="8"/>
                <w:szCs w:val="8"/>
              </w:rPr>
            </w:pPr>
          </w:p>
        </w:tc>
        <w:tc>
          <w:tcPr>
            <w:tcW w:w="3848" w:type="pct"/>
            <w:gridSpan w:val="2"/>
            <w:shd w:val="clear" w:color="auto" w:fill="DAEEF3"/>
            <w:tcMar>
              <w:top w:w="0" w:type="dxa"/>
              <w:bottom w:w="0" w:type="dxa"/>
            </w:tcMar>
          </w:tcPr>
          <w:p w14:paraId="10C7B813" w14:textId="77777777" w:rsidR="00B30C64" w:rsidRPr="00B47869" w:rsidRDefault="00B30C64" w:rsidP="00B30C64">
            <w:pPr>
              <w:tabs>
                <w:tab w:val="center" w:pos="3152"/>
              </w:tabs>
              <w:rPr>
                <w:rFonts w:cs="Arial"/>
                <w:sz w:val="8"/>
                <w:szCs w:val="8"/>
              </w:rPr>
            </w:pPr>
          </w:p>
        </w:tc>
      </w:tr>
      <w:tr w:rsidR="00B30C64" w:rsidRPr="00B47869" w14:paraId="1326B1E2" w14:textId="77777777" w:rsidTr="00562CE4">
        <w:tc>
          <w:tcPr>
            <w:tcW w:w="5000" w:type="pct"/>
            <w:gridSpan w:val="3"/>
            <w:shd w:val="clear" w:color="auto" w:fill="008232"/>
            <w:tcMar>
              <w:top w:w="57" w:type="dxa"/>
              <w:bottom w:w="57" w:type="dxa"/>
            </w:tcMar>
          </w:tcPr>
          <w:p w14:paraId="269DE9FF" w14:textId="77777777" w:rsidR="00B30C64" w:rsidRPr="00B47869" w:rsidRDefault="00B30C64" w:rsidP="00B30C64">
            <w:pPr>
              <w:rPr>
                <w:rFonts w:cs="Arial"/>
                <w:color w:val="FFFFFF"/>
                <w:sz w:val="16"/>
                <w:szCs w:val="16"/>
              </w:rPr>
            </w:pPr>
            <w:r w:rsidRPr="00B47869">
              <w:rPr>
                <w:rFonts w:cs="Arial"/>
                <w:b/>
                <w:bCs/>
                <w:i/>
                <w:iCs/>
                <w:color w:val="FFFFFF"/>
                <w:sz w:val="22"/>
                <w:szCs w:val="20"/>
              </w:rPr>
              <w:t>Other UK/EU developments</w:t>
            </w:r>
          </w:p>
        </w:tc>
      </w:tr>
      <w:tr w:rsidR="00B30C64" w:rsidRPr="00B47869" w14:paraId="20F50D41" w14:textId="77777777" w:rsidTr="00B30C64">
        <w:tc>
          <w:tcPr>
            <w:tcW w:w="1158" w:type="pct"/>
            <w:gridSpan w:val="2"/>
            <w:tcMar>
              <w:top w:w="57" w:type="dxa"/>
              <w:bottom w:w="57" w:type="dxa"/>
            </w:tcMar>
          </w:tcPr>
          <w:p w14:paraId="4E82E133" w14:textId="2FD4428F" w:rsidR="00B30C64" w:rsidRPr="00B47869" w:rsidRDefault="00B30C64" w:rsidP="00B30C64">
            <w:pPr>
              <w:rPr>
                <w:rFonts w:cs="Arial"/>
                <w:szCs w:val="19"/>
              </w:rPr>
            </w:pPr>
            <w:proofErr w:type="spellStart"/>
            <w:r w:rsidRPr="00B47869">
              <w:rPr>
                <w:rFonts w:cs="Arial"/>
                <w:szCs w:val="19"/>
              </w:rPr>
              <w:t>Astegolimab</w:t>
            </w:r>
            <w:proofErr w:type="spellEnd"/>
            <w:r w:rsidRPr="00B47869">
              <w:rPr>
                <w:rFonts w:cs="Arial"/>
                <w:szCs w:val="19"/>
              </w:rPr>
              <w:t xml:space="preserve"> </w:t>
            </w:r>
          </w:p>
        </w:tc>
        <w:tc>
          <w:tcPr>
            <w:tcW w:w="3842" w:type="pct"/>
            <w:tcMar>
              <w:top w:w="57" w:type="dxa"/>
              <w:bottom w:w="57" w:type="dxa"/>
            </w:tcMar>
          </w:tcPr>
          <w:p w14:paraId="0E0640EA" w14:textId="4BFCAD3E" w:rsidR="00B30C64" w:rsidRPr="00B47869" w:rsidRDefault="00B30C64" w:rsidP="00B30C64">
            <w:pPr>
              <w:tabs>
                <w:tab w:val="center" w:pos="3152"/>
              </w:tabs>
              <w:rPr>
                <w:rFonts w:cs="Arial"/>
                <w:szCs w:val="19"/>
              </w:rPr>
            </w:pPr>
            <w:r w:rsidRPr="00B47869">
              <w:rPr>
                <w:rFonts w:cs="Arial"/>
                <w:szCs w:val="19"/>
              </w:rPr>
              <w:t>Chronic obstructive pulmonary disease in adults who are former or current smokers with frequent exacerbations – development discontinued (lack of efficacy)</w:t>
            </w:r>
          </w:p>
        </w:tc>
      </w:tr>
      <w:tr w:rsidR="00B30C64" w:rsidRPr="00B47869" w14:paraId="01300967" w14:textId="77777777" w:rsidTr="00B30C64">
        <w:tc>
          <w:tcPr>
            <w:tcW w:w="1158" w:type="pct"/>
            <w:gridSpan w:val="2"/>
            <w:tcMar>
              <w:top w:w="57" w:type="dxa"/>
              <w:bottom w:w="57" w:type="dxa"/>
            </w:tcMar>
          </w:tcPr>
          <w:p w14:paraId="01A4CCCA" w14:textId="25D00D8E" w:rsidR="00B30C64" w:rsidRPr="00B47869" w:rsidRDefault="00B30C64" w:rsidP="00B30C64">
            <w:pPr>
              <w:rPr>
                <w:rFonts w:cs="Arial"/>
                <w:szCs w:val="19"/>
              </w:rPr>
            </w:pPr>
            <w:r w:rsidRPr="00B47869">
              <w:rPr>
                <w:rFonts w:cs="Arial"/>
                <w:szCs w:val="19"/>
              </w:rPr>
              <w:t>Baloxavir marboxil (</w:t>
            </w:r>
            <w:proofErr w:type="spellStart"/>
            <w:r w:rsidRPr="00B47869">
              <w:rPr>
                <w:rFonts w:cs="Arial"/>
                <w:i/>
                <w:iCs/>
                <w:szCs w:val="19"/>
              </w:rPr>
              <w:t>Xofluza</w:t>
            </w:r>
            <w:proofErr w:type="spellEnd"/>
            <w:r w:rsidRPr="00B47869">
              <w:rPr>
                <w:rFonts w:cs="Arial"/>
                <w:szCs w:val="19"/>
              </w:rPr>
              <w:t>)</w:t>
            </w:r>
          </w:p>
        </w:tc>
        <w:tc>
          <w:tcPr>
            <w:tcW w:w="3842" w:type="pct"/>
            <w:tcMar>
              <w:top w:w="57" w:type="dxa"/>
              <w:bottom w:w="57" w:type="dxa"/>
            </w:tcMar>
          </w:tcPr>
          <w:p w14:paraId="2A5104C0" w14:textId="386A8C49" w:rsidR="00B30C64" w:rsidRPr="00B47869" w:rsidRDefault="00B30C64" w:rsidP="00B30C64">
            <w:pPr>
              <w:tabs>
                <w:tab w:val="center" w:pos="3152"/>
              </w:tabs>
              <w:rPr>
                <w:rFonts w:cs="Arial"/>
                <w:szCs w:val="19"/>
              </w:rPr>
            </w:pPr>
            <w:r w:rsidRPr="00B47869">
              <w:rPr>
                <w:rFonts w:cs="Arial"/>
                <w:szCs w:val="19"/>
              </w:rPr>
              <w:t>Reduction of direct transmission of influenza from otherwise healthy adults and children aged 5 years and older to household contacts – UK development discontinued (company decision)</w:t>
            </w:r>
          </w:p>
        </w:tc>
      </w:tr>
      <w:tr w:rsidR="00B30C64" w:rsidRPr="00B47869" w14:paraId="0D0E435E" w14:textId="77777777" w:rsidTr="00B30C64">
        <w:tc>
          <w:tcPr>
            <w:tcW w:w="1158" w:type="pct"/>
            <w:gridSpan w:val="2"/>
            <w:tcMar>
              <w:top w:w="57" w:type="dxa"/>
              <w:bottom w:w="57" w:type="dxa"/>
            </w:tcMar>
          </w:tcPr>
          <w:p w14:paraId="78985480" w14:textId="4F5437A6" w:rsidR="00B30C64" w:rsidRPr="00B47869" w:rsidRDefault="00B30C64" w:rsidP="00B30C64">
            <w:pPr>
              <w:rPr>
                <w:rFonts w:cs="Arial"/>
                <w:szCs w:val="19"/>
              </w:rPr>
            </w:pPr>
            <w:r w:rsidRPr="00B47869">
              <w:rPr>
                <w:rFonts w:cs="Arial"/>
                <w:szCs w:val="19"/>
              </w:rPr>
              <w:t>Dexamethasone intra-erythrocyte (</w:t>
            </w:r>
            <w:proofErr w:type="spellStart"/>
            <w:r w:rsidRPr="00B47869">
              <w:rPr>
                <w:rFonts w:cs="Arial"/>
                <w:i/>
                <w:iCs/>
                <w:szCs w:val="19"/>
              </w:rPr>
              <w:t>EryDex</w:t>
            </w:r>
            <w:proofErr w:type="spellEnd"/>
            <w:r w:rsidRPr="00B47869">
              <w:rPr>
                <w:rFonts w:cs="Arial"/>
                <w:szCs w:val="19"/>
              </w:rPr>
              <w:t>)</w:t>
            </w:r>
          </w:p>
        </w:tc>
        <w:tc>
          <w:tcPr>
            <w:tcW w:w="3842" w:type="pct"/>
            <w:tcMar>
              <w:top w:w="57" w:type="dxa"/>
              <w:bottom w:w="57" w:type="dxa"/>
            </w:tcMar>
          </w:tcPr>
          <w:p w14:paraId="06EEAA77" w14:textId="017073C3" w:rsidR="00B30C64" w:rsidRPr="00B47869" w:rsidRDefault="00B30C64" w:rsidP="00B30C64">
            <w:pPr>
              <w:tabs>
                <w:tab w:val="center" w:pos="3152"/>
              </w:tabs>
              <w:rPr>
                <w:rFonts w:cs="Arial"/>
                <w:szCs w:val="19"/>
              </w:rPr>
            </w:pPr>
            <w:r w:rsidRPr="00B47869">
              <w:rPr>
                <w:rFonts w:cs="Arial"/>
                <w:szCs w:val="19"/>
              </w:rPr>
              <w:t xml:space="preserve">Ataxia telangiectasia </w:t>
            </w:r>
            <w:r w:rsidRPr="00B47869">
              <w:rPr>
                <w:rFonts w:cs="Arial"/>
                <w:szCs w:val="19"/>
              </w:rPr>
              <w:tab/>
              <w:t>in adults and children aged 6 years and older, first-line – development discontinued (lack of efficacy)</w:t>
            </w:r>
          </w:p>
        </w:tc>
      </w:tr>
      <w:tr w:rsidR="00B30C64" w:rsidRPr="00B47869" w14:paraId="6A8BD9E5" w14:textId="77777777" w:rsidTr="00B30C64">
        <w:tc>
          <w:tcPr>
            <w:tcW w:w="1158" w:type="pct"/>
            <w:gridSpan w:val="2"/>
            <w:tcMar>
              <w:top w:w="57" w:type="dxa"/>
              <w:bottom w:w="57" w:type="dxa"/>
            </w:tcMar>
          </w:tcPr>
          <w:p w14:paraId="740A2B96" w14:textId="66369B96" w:rsidR="00B30C64" w:rsidRPr="00B47869" w:rsidRDefault="00B30C64" w:rsidP="00B30C64">
            <w:pPr>
              <w:rPr>
                <w:rFonts w:cs="Arial"/>
                <w:szCs w:val="19"/>
              </w:rPr>
            </w:pPr>
            <w:proofErr w:type="spellStart"/>
            <w:r w:rsidRPr="00B47869">
              <w:rPr>
                <w:rFonts w:cs="Arial"/>
                <w:szCs w:val="19"/>
              </w:rPr>
              <w:t>Elebsiran</w:t>
            </w:r>
            <w:proofErr w:type="spellEnd"/>
            <w:r w:rsidRPr="00B47869">
              <w:rPr>
                <w:rFonts w:cs="Arial"/>
                <w:szCs w:val="19"/>
              </w:rPr>
              <w:t xml:space="preserve"> </w:t>
            </w:r>
          </w:p>
        </w:tc>
        <w:tc>
          <w:tcPr>
            <w:tcW w:w="3842" w:type="pct"/>
            <w:tcMar>
              <w:top w:w="57" w:type="dxa"/>
              <w:bottom w:w="57" w:type="dxa"/>
            </w:tcMar>
          </w:tcPr>
          <w:p w14:paraId="45370371" w14:textId="4283B680" w:rsidR="00B30C64" w:rsidRPr="00B47869" w:rsidRDefault="00B30C64" w:rsidP="00B30C64">
            <w:pPr>
              <w:tabs>
                <w:tab w:val="center" w:pos="3152"/>
              </w:tabs>
              <w:rPr>
                <w:rFonts w:cs="Arial"/>
                <w:szCs w:val="19"/>
              </w:rPr>
            </w:pPr>
            <w:r w:rsidRPr="00B47869">
              <w:rPr>
                <w:rFonts w:cs="Arial"/>
                <w:szCs w:val="19"/>
              </w:rPr>
              <w:t xml:space="preserve">Chronic hepatitis B infection in adults, with </w:t>
            </w:r>
            <w:proofErr w:type="spellStart"/>
            <w:r w:rsidRPr="00B47869">
              <w:rPr>
                <w:rFonts w:cs="Arial"/>
                <w:szCs w:val="19"/>
              </w:rPr>
              <w:t>tobevibart</w:t>
            </w:r>
            <w:proofErr w:type="spellEnd"/>
            <w:r w:rsidRPr="00B47869">
              <w:rPr>
                <w:rFonts w:cs="Arial"/>
                <w:szCs w:val="19"/>
              </w:rPr>
              <w:t xml:space="preserve"> and with/without pegylated interferon alpha – development discontinued (company decision)</w:t>
            </w:r>
          </w:p>
        </w:tc>
      </w:tr>
      <w:tr w:rsidR="00C36747" w:rsidRPr="00B47869" w14:paraId="0B983D98" w14:textId="77777777" w:rsidTr="00B30C64">
        <w:tc>
          <w:tcPr>
            <w:tcW w:w="1158" w:type="pct"/>
            <w:gridSpan w:val="2"/>
            <w:tcMar>
              <w:top w:w="57" w:type="dxa"/>
              <w:bottom w:w="57" w:type="dxa"/>
            </w:tcMar>
          </w:tcPr>
          <w:p w14:paraId="10C41EAD" w14:textId="395A773F" w:rsidR="00C36747" w:rsidRPr="00B47869" w:rsidRDefault="00C36747" w:rsidP="00C36747">
            <w:pPr>
              <w:rPr>
                <w:rFonts w:cs="Arial"/>
                <w:szCs w:val="19"/>
              </w:rPr>
            </w:pPr>
            <w:proofErr w:type="spellStart"/>
            <w:r w:rsidRPr="00B47869">
              <w:rPr>
                <w:rFonts w:cs="Arial"/>
                <w:szCs w:val="19"/>
              </w:rPr>
              <w:t>Hexasodium</w:t>
            </w:r>
            <w:proofErr w:type="spellEnd"/>
            <w:r w:rsidRPr="00B47869">
              <w:rPr>
                <w:rFonts w:cs="Arial"/>
                <w:szCs w:val="19"/>
              </w:rPr>
              <w:t xml:space="preserve"> </w:t>
            </w:r>
            <w:proofErr w:type="spellStart"/>
            <w:r w:rsidRPr="00B47869">
              <w:rPr>
                <w:rFonts w:cs="Arial"/>
                <w:szCs w:val="19"/>
              </w:rPr>
              <w:t>fytate</w:t>
            </w:r>
            <w:proofErr w:type="spellEnd"/>
          </w:p>
        </w:tc>
        <w:tc>
          <w:tcPr>
            <w:tcW w:w="3842" w:type="pct"/>
            <w:tcMar>
              <w:top w:w="57" w:type="dxa"/>
              <w:bottom w:w="57" w:type="dxa"/>
            </w:tcMar>
          </w:tcPr>
          <w:p w14:paraId="4ED990E3" w14:textId="593D437A" w:rsidR="00C36747" w:rsidRPr="00B47869" w:rsidRDefault="00C36747" w:rsidP="00C36747">
            <w:pPr>
              <w:tabs>
                <w:tab w:val="center" w:pos="3152"/>
              </w:tabs>
              <w:rPr>
                <w:rFonts w:cs="Arial"/>
                <w:szCs w:val="19"/>
              </w:rPr>
            </w:pPr>
            <w:r w:rsidRPr="00B47869">
              <w:rPr>
                <w:rFonts w:cs="Arial"/>
                <w:szCs w:val="19"/>
              </w:rPr>
              <w:t>Calcific uraemic arteriolopathy in end-stage renal disease – development discontinued (lack of efficacy)</w:t>
            </w:r>
          </w:p>
        </w:tc>
      </w:tr>
      <w:tr w:rsidR="00E85D23" w:rsidRPr="00B47869" w14:paraId="6E266ED7" w14:textId="77777777" w:rsidTr="00B30C64">
        <w:tc>
          <w:tcPr>
            <w:tcW w:w="1158" w:type="pct"/>
            <w:gridSpan w:val="2"/>
            <w:tcMar>
              <w:top w:w="57" w:type="dxa"/>
              <w:bottom w:w="57" w:type="dxa"/>
            </w:tcMar>
          </w:tcPr>
          <w:p w14:paraId="6D0B0626" w14:textId="6082168E" w:rsidR="00E85D23" w:rsidRPr="00B47869" w:rsidRDefault="00E85D23" w:rsidP="00E85D23">
            <w:pPr>
              <w:rPr>
                <w:rFonts w:cs="Arial"/>
                <w:szCs w:val="19"/>
              </w:rPr>
            </w:pPr>
            <w:r w:rsidRPr="00B47869">
              <w:rPr>
                <w:rFonts w:cs="Arial"/>
                <w:szCs w:val="19"/>
              </w:rPr>
              <w:t>Human normal immunoglobulin (</w:t>
            </w:r>
            <w:proofErr w:type="spellStart"/>
            <w:r w:rsidRPr="00B47869">
              <w:rPr>
                <w:rFonts w:cs="Arial"/>
                <w:i/>
                <w:iCs/>
                <w:szCs w:val="19"/>
              </w:rPr>
              <w:t>Deqsiqa</w:t>
            </w:r>
            <w:proofErr w:type="spellEnd"/>
            <w:r w:rsidRPr="00B47869">
              <w:rPr>
                <w:rFonts w:cs="Arial"/>
                <w:szCs w:val="19"/>
              </w:rPr>
              <w:t>)</w:t>
            </w:r>
          </w:p>
        </w:tc>
        <w:tc>
          <w:tcPr>
            <w:tcW w:w="3842" w:type="pct"/>
            <w:tcMar>
              <w:top w:w="57" w:type="dxa"/>
              <w:bottom w:w="57" w:type="dxa"/>
            </w:tcMar>
          </w:tcPr>
          <w:p w14:paraId="5AF7C3FC" w14:textId="79A81F0C" w:rsidR="00E85D23" w:rsidRPr="00B47869" w:rsidRDefault="00E85D23" w:rsidP="00E85D23">
            <w:pPr>
              <w:tabs>
                <w:tab w:val="center" w:pos="3152"/>
              </w:tabs>
              <w:rPr>
                <w:rFonts w:cs="Arial"/>
                <w:szCs w:val="19"/>
              </w:rPr>
            </w:pPr>
            <w:r w:rsidRPr="00B47869">
              <w:rPr>
                <w:rFonts w:cs="Arial"/>
                <w:szCs w:val="19"/>
              </w:rPr>
              <w:t>Primary and secondary immunodeficiency disorders in patients of all ages – UK development discontinued (company decision)</w:t>
            </w:r>
          </w:p>
        </w:tc>
      </w:tr>
      <w:tr w:rsidR="00E85D23" w:rsidRPr="00B47869" w14:paraId="6A66A567" w14:textId="77777777" w:rsidTr="00B30C64">
        <w:tc>
          <w:tcPr>
            <w:tcW w:w="1158" w:type="pct"/>
            <w:gridSpan w:val="2"/>
            <w:tcMar>
              <w:top w:w="0" w:type="dxa"/>
              <w:bottom w:w="0" w:type="dxa"/>
            </w:tcMar>
          </w:tcPr>
          <w:p w14:paraId="06170B04" w14:textId="77777777" w:rsidR="00E85D23" w:rsidRPr="00B47869" w:rsidRDefault="00E85D23" w:rsidP="00E85D23">
            <w:pPr>
              <w:rPr>
                <w:rFonts w:cs="Arial"/>
                <w:bCs/>
                <w:sz w:val="8"/>
                <w:szCs w:val="8"/>
              </w:rPr>
            </w:pPr>
          </w:p>
        </w:tc>
        <w:tc>
          <w:tcPr>
            <w:tcW w:w="3842" w:type="pct"/>
            <w:tcMar>
              <w:top w:w="0" w:type="dxa"/>
              <w:bottom w:w="0" w:type="dxa"/>
            </w:tcMar>
          </w:tcPr>
          <w:p w14:paraId="3D0E5884" w14:textId="77777777" w:rsidR="00E85D23" w:rsidRPr="00B47869" w:rsidRDefault="00E85D23" w:rsidP="00E85D23">
            <w:pPr>
              <w:tabs>
                <w:tab w:val="center" w:pos="3152"/>
              </w:tabs>
              <w:rPr>
                <w:rFonts w:cs="Arial"/>
                <w:sz w:val="8"/>
                <w:szCs w:val="8"/>
              </w:rPr>
            </w:pPr>
          </w:p>
        </w:tc>
      </w:tr>
      <w:tr w:rsidR="00E85D23" w:rsidRPr="00B47869" w14:paraId="57DA63FE" w14:textId="77777777" w:rsidTr="00B30C64">
        <w:tc>
          <w:tcPr>
            <w:tcW w:w="1158" w:type="pct"/>
            <w:gridSpan w:val="2"/>
            <w:shd w:val="clear" w:color="auto" w:fill="DAEEF3"/>
            <w:tcMar>
              <w:top w:w="0" w:type="dxa"/>
              <w:bottom w:w="0" w:type="dxa"/>
            </w:tcMar>
          </w:tcPr>
          <w:p w14:paraId="7EE45E5E" w14:textId="77777777" w:rsidR="00E85D23" w:rsidRPr="00B47869" w:rsidRDefault="00E85D23" w:rsidP="00E85D23">
            <w:pPr>
              <w:rPr>
                <w:rFonts w:cs="Arial"/>
                <w:bCs/>
                <w:sz w:val="8"/>
                <w:szCs w:val="8"/>
              </w:rPr>
            </w:pPr>
          </w:p>
        </w:tc>
        <w:tc>
          <w:tcPr>
            <w:tcW w:w="3842" w:type="pct"/>
            <w:shd w:val="clear" w:color="auto" w:fill="DAEEF3"/>
            <w:tcMar>
              <w:top w:w="0" w:type="dxa"/>
              <w:bottom w:w="0" w:type="dxa"/>
            </w:tcMar>
          </w:tcPr>
          <w:p w14:paraId="1A054951" w14:textId="77777777" w:rsidR="00E85D23" w:rsidRPr="00B47869" w:rsidRDefault="00E85D23" w:rsidP="00E85D23">
            <w:pPr>
              <w:tabs>
                <w:tab w:val="center" w:pos="3152"/>
              </w:tabs>
              <w:rPr>
                <w:rFonts w:cs="Arial"/>
                <w:sz w:val="8"/>
                <w:szCs w:val="8"/>
              </w:rPr>
            </w:pPr>
          </w:p>
        </w:tc>
      </w:tr>
    </w:tbl>
    <w:p w14:paraId="1CD45517" w14:textId="21AA60D4" w:rsidR="0009243E" w:rsidRPr="00B47869" w:rsidRDefault="0009243E">
      <w:r w:rsidRPr="00B47869">
        <w:br w:type="page"/>
      </w:r>
    </w:p>
    <w:p w14:paraId="2051781D" w14:textId="77777777" w:rsidR="00A75BCB" w:rsidRPr="00B47869" w:rsidRDefault="00A75BCB"/>
    <w:p w14:paraId="081C9BAB" w14:textId="77777777" w:rsidR="0009243E" w:rsidRPr="00B47869" w:rsidRDefault="0009243E"/>
    <w:tbl>
      <w:tblPr>
        <w:tblW w:w="5170" w:type="pct"/>
        <w:tblInd w:w="-176" w:type="dxa"/>
        <w:tblLayout w:type="fixed"/>
        <w:tblLook w:val="01E0" w:firstRow="1" w:lastRow="1" w:firstColumn="1" w:lastColumn="1" w:noHBand="0" w:noVBand="0"/>
      </w:tblPr>
      <w:tblGrid>
        <w:gridCol w:w="2431"/>
        <w:gridCol w:w="13"/>
        <w:gridCol w:w="8107"/>
      </w:tblGrid>
      <w:tr w:rsidR="0009243E" w:rsidRPr="00B47869" w14:paraId="2A998203" w14:textId="77777777" w:rsidTr="003F1D34">
        <w:tc>
          <w:tcPr>
            <w:tcW w:w="5000" w:type="pct"/>
            <w:gridSpan w:val="3"/>
            <w:shd w:val="clear" w:color="auto" w:fill="0070C0"/>
            <w:tcMar>
              <w:top w:w="85" w:type="dxa"/>
              <w:bottom w:w="85" w:type="dxa"/>
            </w:tcMar>
            <w:vAlign w:val="bottom"/>
          </w:tcPr>
          <w:p w14:paraId="6E0756CA" w14:textId="77777777" w:rsidR="0009243E" w:rsidRPr="00B47869" w:rsidRDefault="0009243E" w:rsidP="003F1D34">
            <w:pPr>
              <w:rPr>
                <w:rFonts w:cs="Arial"/>
                <w:color w:val="FFFFFF"/>
                <w:sz w:val="15"/>
                <w:szCs w:val="15"/>
              </w:rPr>
            </w:pPr>
            <w:r w:rsidRPr="00B47869">
              <w:rPr>
                <w:rFonts w:cs="Arial"/>
                <w:b/>
                <w:bCs/>
                <w:iCs/>
                <w:color w:val="FFFFFF"/>
                <w:sz w:val="28"/>
                <w:szCs w:val="28"/>
              </w:rPr>
              <w:t>Regulatory changes in the UK or EU</w:t>
            </w:r>
            <w:r w:rsidRPr="00B47869">
              <w:rPr>
                <w:rFonts w:cs="Arial"/>
                <w:b/>
                <w:bCs/>
                <w:iCs/>
                <w:color w:val="FFFFFF"/>
                <w:sz w:val="28"/>
                <w:szCs w:val="28"/>
              </w:rPr>
              <w:tab/>
            </w:r>
          </w:p>
        </w:tc>
      </w:tr>
      <w:tr w:rsidR="0009243E" w:rsidRPr="00B47869" w14:paraId="2DE63D0E" w14:textId="77777777" w:rsidTr="003F1D34">
        <w:tc>
          <w:tcPr>
            <w:tcW w:w="1152" w:type="pct"/>
            <w:shd w:val="clear" w:color="auto" w:fill="DAEEF3"/>
            <w:tcMar>
              <w:top w:w="0" w:type="dxa"/>
              <w:bottom w:w="0" w:type="dxa"/>
            </w:tcMar>
          </w:tcPr>
          <w:p w14:paraId="5E1D8607" w14:textId="77777777" w:rsidR="0009243E" w:rsidRPr="00B47869" w:rsidRDefault="0009243E" w:rsidP="003F1D34">
            <w:pPr>
              <w:rPr>
                <w:rFonts w:cs="Arial"/>
                <w:bCs/>
                <w:sz w:val="8"/>
                <w:szCs w:val="8"/>
              </w:rPr>
            </w:pPr>
          </w:p>
        </w:tc>
        <w:tc>
          <w:tcPr>
            <w:tcW w:w="3848" w:type="pct"/>
            <w:gridSpan w:val="2"/>
            <w:shd w:val="clear" w:color="auto" w:fill="DAEEF3"/>
            <w:tcMar>
              <w:top w:w="0" w:type="dxa"/>
              <w:bottom w:w="0" w:type="dxa"/>
            </w:tcMar>
          </w:tcPr>
          <w:p w14:paraId="2DABABB0" w14:textId="77777777" w:rsidR="0009243E" w:rsidRPr="00B47869" w:rsidRDefault="0009243E" w:rsidP="003F1D34">
            <w:pPr>
              <w:tabs>
                <w:tab w:val="center" w:pos="3152"/>
              </w:tabs>
              <w:rPr>
                <w:rFonts w:cs="Arial"/>
                <w:sz w:val="8"/>
                <w:szCs w:val="8"/>
              </w:rPr>
            </w:pPr>
          </w:p>
        </w:tc>
      </w:tr>
      <w:tr w:rsidR="0009243E" w:rsidRPr="00B47869" w14:paraId="736A4862" w14:textId="77777777" w:rsidTr="003F1D34">
        <w:tc>
          <w:tcPr>
            <w:tcW w:w="5000" w:type="pct"/>
            <w:gridSpan w:val="3"/>
            <w:shd w:val="clear" w:color="auto" w:fill="008232"/>
            <w:tcMar>
              <w:top w:w="57" w:type="dxa"/>
              <w:bottom w:w="57" w:type="dxa"/>
            </w:tcMar>
          </w:tcPr>
          <w:p w14:paraId="007A6B12" w14:textId="4BD8DBEB" w:rsidR="0009243E" w:rsidRPr="00B47869" w:rsidRDefault="0009243E" w:rsidP="003F1D34">
            <w:pPr>
              <w:rPr>
                <w:rFonts w:cs="Arial"/>
                <w:color w:val="FFFFFF"/>
                <w:sz w:val="16"/>
                <w:szCs w:val="16"/>
              </w:rPr>
            </w:pPr>
            <w:r w:rsidRPr="00B47869">
              <w:rPr>
                <w:rFonts w:cs="Arial"/>
                <w:b/>
                <w:bCs/>
                <w:i/>
                <w:iCs/>
                <w:color w:val="FFFFFF"/>
                <w:sz w:val="22"/>
                <w:szCs w:val="20"/>
              </w:rPr>
              <w:t>Other UK/EU developments</w:t>
            </w:r>
            <w:r w:rsidR="002A2521" w:rsidRPr="00B47869">
              <w:rPr>
                <w:rFonts w:cs="Arial"/>
                <w:b/>
                <w:bCs/>
                <w:i/>
                <w:iCs/>
                <w:color w:val="FFFFFF"/>
                <w:sz w:val="22"/>
                <w:szCs w:val="20"/>
              </w:rPr>
              <w:t xml:space="preserve"> </w:t>
            </w:r>
            <w:r w:rsidR="002A2521" w:rsidRPr="00B47869">
              <w:rPr>
                <w:rFonts w:cs="Arial"/>
                <w:b/>
                <w:bCs/>
                <w:color w:val="FFFFFF"/>
                <w:sz w:val="16"/>
                <w:szCs w:val="16"/>
              </w:rPr>
              <w:t>(continued)</w:t>
            </w:r>
          </w:p>
        </w:tc>
      </w:tr>
      <w:tr w:rsidR="0009243E" w:rsidRPr="00B47869" w14:paraId="159174B5" w14:textId="77777777" w:rsidTr="003F1D34">
        <w:tc>
          <w:tcPr>
            <w:tcW w:w="1158" w:type="pct"/>
            <w:gridSpan w:val="2"/>
            <w:tcMar>
              <w:top w:w="57" w:type="dxa"/>
              <w:bottom w:w="57" w:type="dxa"/>
            </w:tcMar>
          </w:tcPr>
          <w:p w14:paraId="33B23A0E" w14:textId="77777777" w:rsidR="0009243E" w:rsidRPr="00B47869" w:rsidRDefault="0009243E" w:rsidP="003F1D34">
            <w:pPr>
              <w:rPr>
                <w:rFonts w:cs="Arial"/>
                <w:szCs w:val="19"/>
              </w:rPr>
            </w:pPr>
            <w:proofErr w:type="spellStart"/>
            <w:r w:rsidRPr="00B47869">
              <w:rPr>
                <w:rFonts w:cs="Arial"/>
                <w:szCs w:val="19"/>
              </w:rPr>
              <w:t>Patidistrogene</w:t>
            </w:r>
            <w:proofErr w:type="spellEnd"/>
            <w:r w:rsidRPr="00B47869">
              <w:rPr>
                <w:rFonts w:cs="Arial"/>
                <w:szCs w:val="19"/>
              </w:rPr>
              <w:t xml:space="preserve"> </w:t>
            </w:r>
            <w:proofErr w:type="spellStart"/>
            <w:r w:rsidRPr="00B47869">
              <w:rPr>
                <w:rFonts w:cs="Arial"/>
                <w:szCs w:val="19"/>
              </w:rPr>
              <w:t>bexoparvovec</w:t>
            </w:r>
            <w:proofErr w:type="spellEnd"/>
          </w:p>
        </w:tc>
        <w:tc>
          <w:tcPr>
            <w:tcW w:w="3842" w:type="pct"/>
            <w:tcMar>
              <w:top w:w="57" w:type="dxa"/>
              <w:bottom w:w="57" w:type="dxa"/>
            </w:tcMar>
          </w:tcPr>
          <w:p w14:paraId="5769EC0C" w14:textId="77777777" w:rsidR="0009243E" w:rsidRPr="00B47869" w:rsidRDefault="0009243E" w:rsidP="003F1D34">
            <w:pPr>
              <w:tabs>
                <w:tab w:val="center" w:pos="3152"/>
              </w:tabs>
              <w:rPr>
                <w:rFonts w:cs="Arial"/>
                <w:szCs w:val="19"/>
              </w:rPr>
            </w:pPr>
            <w:r w:rsidRPr="00B47869">
              <w:rPr>
                <w:rFonts w:cs="Arial"/>
                <w:szCs w:val="19"/>
              </w:rPr>
              <w:t>Type 2D limb girdle muscular dystrophy in adults and children aged 7 years and older – development discontinued (safety concern)</w:t>
            </w:r>
          </w:p>
        </w:tc>
      </w:tr>
      <w:tr w:rsidR="0009243E" w:rsidRPr="00B47869" w14:paraId="596660AE" w14:textId="77777777" w:rsidTr="003F1D34">
        <w:tc>
          <w:tcPr>
            <w:tcW w:w="1158" w:type="pct"/>
            <w:gridSpan w:val="2"/>
            <w:tcMar>
              <w:top w:w="57" w:type="dxa"/>
              <w:bottom w:w="57" w:type="dxa"/>
            </w:tcMar>
          </w:tcPr>
          <w:p w14:paraId="08371042" w14:textId="77777777" w:rsidR="0009243E" w:rsidRPr="00B47869" w:rsidRDefault="0009243E" w:rsidP="003F1D34">
            <w:pPr>
              <w:rPr>
                <w:rFonts w:cs="Arial"/>
                <w:szCs w:val="19"/>
              </w:rPr>
            </w:pPr>
            <w:proofErr w:type="spellStart"/>
            <w:r w:rsidRPr="00B47869">
              <w:rPr>
                <w:rFonts w:cs="Arial"/>
                <w:szCs w:val="19"/>
              </w:rPr>
              <w:t>Patritumab</w:t>
            </w:r>
            <w:proofErr w:type="spellEnd"/>
            <w:r w:rsidRPr="00B47869">
              <w:rPr>
                <w:rFonts w:cs="Arial"/>
                <w:szCs w:val="19"/>
              </w:rPr>
              <w:t xml:space="preserve"> deruxtecan</w:t>
            </w:r>
          </w:p>
        </w:tc>
        <w:tc>
          <w:tcPr>
            <w:tcW w:w="3842" w:type="pct"/>
            <w:tcMar>
              <w:top w:w="57" w:type="dxa"/>
              <w:bottom w:w="57" w:type="dxa"/>
            </w:tcMar>
          </w:tcPr>
          <w:p w14:paraId="437778E9" w14:textId="77777777" w:rsidR="0009243E" w:rsidRPr="00B47869" w:rsidRDefault="0009243E" w:rsidP="003F1D34">
            <w:pPr>
              <w:tabs>
                <w:tab w:val="center" w:pos="3152"/>
              </w:tabs>
              <w:rPr>
                <w:rFonts w:cs="Arial"/>
                <w:szCs w:val="19"/>
              </w:rPr>
            </w:pPr>
            <w:r w:rsidRPr="00B47869">
              <w:rPr>
                <w:rFonts w:cs="Arial"/>
                <w:szCs w:val="19"/>
              </w:rPr>
              <w:t>Advanced non-squamous EGFR-positive (Ex19del or L858R) non-small cell lung cancer in adults, second- or third-line monotherapy after failure of EGFR TKI therapy – development discontinued (lack of efficacy)</w:t>
            </w:r>
          </w:p>
        </w:tc>
      </w:tr>
      <w:tr w:rsidR="0009243E" w:rsidRPr="00B47869" w14:paraId="50537560" w14:textId="77777777" w:rsidTr="003F1D34">
        <w:tc>
          <w:tcPr>
            <w:tcW w:w="1158" w:type="pct"/>
            <w:gridSpan w:val="2"/>
            <w:tcMar>
              <w:top w:w="57" w:type="dxa"/>
              <w:bottom w:w="57" w:type="dxa"/>
            </w:tcMar>
          </w:tcPr>
          <w:p w14:paraId="4797CB7A" w14:textId="77777777" w:rsidR="0009243E" w:rsidRPr="00B47869" w:rsidRDefault="0009243E" w:rsidP="003F1D34">
            <w:pPr>
              <w:rPr>
                <w:rFonts w:cs="Arial"/>
                <w:szCs w:val="19"/>
              </w:rPr>
            </w:pPr>
            <w:r w:rsidRPr="00B47869">
              <w:rPr>
                <w:rFonts w:cs="Arial"/>
                <w:szCs w:val="19"/>
              </w:rPr>
              <w:t>Pembrolizumab (</w:t>
            </w:r>
            <w:r w:rsidRPr="00B47869">
              <w:rPr>
                <w:rFonts w:cs="Arial"/>
                <w:i/>
                <w:iCs/>
                <w:szCs w:val="19"/>
              </w:rPr>
              <w:t>Keytruda</w:t>
            </w:r>
            <w:r w:rsidRPr="00B47869">
              <w:rPr>
                <w:rFonts w:cs="Arial"/>
                <w:szCs w:val="19"/>
              </w:rPr>
              <w:t>)</w:t>
            </w:r>
          </w:p>
        </w:tc>
        <w:tc>
          <w:tcPr>
            <w:tcW w:w="3842" w:type="pct"/>
            <w:tcMar>
              <w:top w:w="57" w:type="dxa"/>
              <w:bottom w:w="57" w:type="dxa"/>
            </w:tcMar>
          </w:tcPr>
          <w:p w14:paraId="2565E01D" w14:textId="77777777" w:rsidR="0009243E" w:rsidRPr="00B47869" w:rsidRDefault="0009243E" w:rsidP="003F1D34">
            <w:pPr>
              <w:tabs>
                <w:tab w:val="center" w:pos="3152"/>
              </w:tabs>
              <w:rPr>
                <w:rFonts w:cs="Arial"/>
                <w:szCs w:val="19"/>
              </w:rPr>
            </w:pPr>
            <w:r w:rsidRPr="00B47869">
              <w:rPr>
                <w:rFonts w:cs="Arial"/>
                <w:szCs w:val="19"/>
              </w:rPr>
              <w:t>Localised muscle invasive and locally advanced urothelial cancer in adults, adjuvant monotherapy – UK development discontinued (company decision)</w:t>
            </w:r>
          </w:p>
        </w:tc>
      </w:tr>
      <w:tr w:rsidR="0009243E" w:rsidRPr="00B47869" w14:paraId="5AECD901" w14:textId="77777777" w:rsidTr="003F1D34">
        <w:tc>
          <w:tcPr>
            <w:tcW w:w="1158" w:type="pct"/>
            <w:gridSpan w:val="2"/>
            <w:tcMar>
              <w:top w:w="57" w:type="dxa"/>
              <w:bottom w:w="57" w:type="dxa"/>
            </w:tcMar>
          </w:tcPr>
          <w:p w14:paraId="2CCAD099" w14:textId="77777777" w:rsidR="0009243E" w:rsidRPr="00B47869" w:rsidRDefault="0009243E" w:rsidP="003F1D34">
            <w:pPr>
              <w:rPr>
                <w:rFonts w:cs="Arial"/>
                <w:szCs w:val="19"/>
              </w:rPr>
            </w:pPr>
            <w:proofErr w:type="spellStart"/>
            <w:r w:rsidRPr="00B47869">
              <w:rPr>
                <w:rFonts w:cs="Arial"/>
                <w:szCs w:val="19"/>
              </w:rPr>
              <w:t>Pemigatinib</w:t>
            </w:r>
            <w:proofErr w:type="spellEnd"/>
            <w:r w:rsidRPr="00B47869">
              <w:rPr>
                <w:rFonts w:cs="Arial"/>
                <w:szCs w:val="19"/>
              </w:rPr>
              <w:t xml:space="preserve"> (</w:t>
            </w:r>
            <w:proofErr w:type="spellStart"/>
            <w:r w:rsidRPr="00B47869">
              <w:rPr>
                <w:rFonts w:cs="Arial"/>
                <w:i/>
                <w:iCs/>
                <w:szCs w:val="19"/>
              </w:rPr>
              <w:t>Pemazyre</w:t>
            </w:r>
            <w:proofErr w:type="spellEnd"/>
            <w:r w:rsidRPr="00B47869">
              <w:rPr>
                <w:rFonts w:cs="Arial"/>
                <w:szCs w:val="19"/>
              </w:rPr>
              <w:t>)</w:t>
            </w:r>
          </w:p>
        </w:tc>
        <w:tc>
          <w:tcPr>
            <w:tcW w:w="3842" w:type="pct"/>
            <w:tcMar>
              <w:top w:w="57" w:type="dxa"/>
              <w:bottom w:w="57" w:type="dxa"/>
            </w:tcMar>
          </w:tcPr>
          <w:p w14:paraId="7BB1468F" w14:textId="77777777" w:rsidR="0009243E" w:rsidRPr="00B47869" w:rsidRDefault="0009243E" w:rsidP="003F1D34">
            <w:pPr>
              <w:tabs>
                <w:tab w:val="center" w:pos="3152"/>
              </w:tabs>
              <w:rPr>
                <w:rFonts w:cs="Arial"/>
                <w:szCs w:val="19"/>
              </w:rPr>
            </w:pPr>
            <w:r w:rsidRPr="00B47869">
              <w:rPr>
                <w:rFonts w:cs="Arial"/>
                <w:szCs w:val="19"/>
              </w:rPr>
              <w:t>Monotherapy of relapsed or refractory myeloproliferative neoplasms with FGFR1 rearrangements in adults – UK and EU development discontinued (company decision)</w:t>
            </w:r>
          </w:p>
        </w:tc>
      </w:tr>
      <w:tr w:rsidR="0009243E" w:rsidRPr="00B47869" w14:paraId="54B241BC" w14:textId="77777777" w:rsidTr="003F1D34">
        <w:tc>
          <w:tcPr>
            <w:tcW w:w="1158" w:type="pct"/>
            <w:gridSpan w:val="2"/>
            <w:tcMar>
              <w:top w:w="57" w:type="dxa"/>
              <w:bottom w:w="57" w:type="dxa"/>
            </w:tcMar>
          </w:tcPr>
          <w:p w14:paraId="4B4DDB59" w14:textId="77777777" w:rsidR="0009243E" w:rsidRPr="00B47869" w:rsidRDefault="0009243E" w:rsidP="003F1D34">
            <w:pPr>
              <w:rPr>
                <w:rFonts w:cs="Arial"/>
                <w:szCs w:val="19"/>
              </w:rPr>
            </w:pPr>
            <w:proofErr w:type="spellStart"/>
            <w:r w:rsidRPr="00B47869">
              <w:rPr>
                <w:rFonts w:cs="Arial"/>
                <w:szCs w:val="19"/>
              </w:rPr>
              <w:t>Repotrectinib</w:t>
            </w:r>
            <w:proofErr w:type="spellEnd"/>
            <w:r w:rsidRPr="00B47869">
              <w:rPr>
                <w:rFonts w:cs="Arial"/>
                <w:szCs w:val="19"/>
              </w:rPr>
              <w:t xml:space="preserve"> (</w:t>
            </w:r>
            <w:proofErr w:type="spellStart"/>
            <w:r w:rsidRPr="00B47869">
              <w:rPr>
                <w:rFonts w:cs="Arial"/>
                <w:i/>
                <w:iCs/>
                <w:szCs w:val="19"/>
              </w:rPr>
              <w:t>Augtyro</w:t>
            </w:r>
            <w:proofErr w:type="spellEnd"/>
            <w:r w:rsidRPr="00B47869">
              <w:rPr>
                <w:rFonts w:cs="Arial"/>
                <w:szCs w:val="19"/>
              </w:rPr>
              <w:t>)</w:t>
            </w:r>
          </w:p>
        </w:tc>
        <w:tc>
          <w:tcPr>
            <w:tcW w:w="3842" w:type="pct"/>
            <w:tcMar>
              <w:top w:w="57" w:type="dxa"/>
              <w:bottom w:w="57" w:type="dxa"/>
            </w:tcMar>
          </w:tcPr>
          <w:p w14:paraId="04E4B2F6" w14:textId="77777777" w:rsidR="0009243E" w:rsidRPr="00B47869" w:rsidRDefault="0009243E" w:rsidP="003F1D34">
            <w:pPr>
              <w:tabs>
                <w:tab w:val="center" w:pos="3152"/>
              </w:tabs>
              <w:rPr>
                <w:rFonts w:cs="Arial"/>
                <w:szCs w:val="19"/>
              </w:rPr>
            </w:pPr>
            <w:r w:rsidRPr="00B47869">
              <w:rPr>
                <w:rFonts w:cs="Arial"/>
                <w:szCs w:val="19"/>
              </w:rPr>
              <w:t xml:space="preserve">Advanced ROS1-positive non-small cell lung cancer in TKI-naïve and -pretreated adults and locally advanced or metastatic NTRK-positive solid </w:t>
            </w:r>
            <w:proofErr w:type="spellStart"/>
            <w:r w:rsidRPr="00B47869">
              <w:rPr>
                <w:rFonts w:cs="Arial"/>
                <w:szCs w:val="19"/>
              </w:rPr>
              <w:t>tumors</w:t>
            </w:r>
            <w:proofErr w:type="spellEnd"/>
            <w:r w:rsidRPr="00B47869">
              <w:rPr>
                <w:rFonts w:cs="Arial"/>
                <w:szCs w:val="19"/>
              </w:rPr>
              <w:t xml:space="preserve"> in TKI-naïve and -pretreated adults and children aged 12 years and older – UK development discontinued (company decision)</w:t>
            </w:r>
          </w:p>
        </w:tc>
      </w:tr>
      <w:tr w:rsidR="0009243E" w:rsidRPr="00B47869" w14:paraId="0B15F47A" w14:textId="77777777" w:rsidTr="003F1D34">
        <w:tc>
          <w:tcPr>
            <w:tcW w:w="1158" w:type="pct"/>
            <w:gridSpan w:val="2"/>
            <w:tcMar>
              <w:top w:w="57" w:type="dxa"/>
              <w:bottom w:w="57" w:type="dxa"/>
            </w:tcMar>
          </w:tcPr>
          <w:p w14:paraId="5590B63E" w14:textId="77777777" w:rsidR="0009243E" w:rsidRPr="00B47869" w:rsidRDefault="0009243E" w:rsidP="003F1D34">
            <w:pPr>
              <w:rPr>
                <w:rFonts w:cs="Arial"/>
                <w:szCs w:val="19"/>
              </w:rPr>
            </w:pPr>
            <w:r w:rsidRPr="00B47869">
              <w:rPr>
                <w:rFonts w:cs="Arial"/>
                <w:szCs w:val="19"/>
              </w:rPr>
              <w:t>Semaglutide (</w:t>
            </w:r>
            <w:r w:rsidRPr="00B47869">
              <w:rPr>
                <w:rFonts w:cs="Arial"/>
                <w:i/>
                <w:iCs/>
                <w:szCs w:val="19"/>
              </w:rPr>
              <w:t>Ozempic</w:t>
            </w:r>
            <w:r w:rsidRPr="00B47869">
              <w:rPr>
                <w:rFonts w:cs="Arial"/>
                <w:szCs w:val="19"/>
              </w:rPr>
              <w:t>)</w:t>
            </w:r>
          </w:p>
        </w:tc>
        <w:tc>
          <w:tcPr>
            <w:tcW w:w="3842" w:type="pct"/>
            <w:tcMar>
              <w:top w:w="57" w:type="dxa"/>
              <w:bottom w:w="57" w:type="dxa"/>
            </w:tcMar>
          </w:tcPr>
          <w:p w14:paraId="2BAC4669" w14:textId="77777777" w:rsidR="0009243E" w:rsidRPr="00B47869" w:rsidRDefault="0009243E" w:rsidP="003F1D34">
            <w:pPr>
              <w:tabs>
                <w:tab w:val="center" w:pos="3152"/>
              </w:tabs>
              <w:rPr>
                <w:rFonts w:cs="Arial"/>
                <w:szCs w:val="19"/>
              </w:rPr>
            </w:pPr>
            <w:r w:rsidRPr="00B47869">
              <w:rPr>
                <w:rFonts w:cs="Arial"/>
                <w:szCs w:val="19"/>
              </w:rPr>
              <w:t>Symptomatic peripheral arterial disease with intermittent claudication in adults with type 2 diabetes – not approved in EU (instead STRIDE trial data added to SmPC)</w:t>
            </w:r>
          </w:p>
        </w:tc>
      </w:tr>
      <w:tr w:rsidR="0009243E" w:rsidRPr="00B47869" w14:paraId="2EB7558D" w14:textId="77777777" w:rsidTr="003F1D34">
        <w:tc>
          <w:tcPr>
            <w:tcW w:w="1158" w:type="pct"/>
            <w:gridSpan w:val="2"/>
            <w:tcMar>
              <w:top w:w="57" w:type="dxa"/>
              <w:bottom w:w="57" w:type="dxa"/>
            </w:tcMar>
          </w:tcPr>
          <w:p w14:paraId="6450A6FD" w14:textId="77777777" w:rsidR="0009243E" w:rsidRPr="00B47869" w:rsidRDefault="0009243E" w:rsidP="003F1D34">
            <w:pPr>
              <w:rPr>
                <w:rFonts w:cs="Arial"/>
                <w:szCs w:val="19"/>
              </w:rPr>
            </w:pPr>
            <w:r w:rsidRPr="00B47869">
              <w:rPr>
                <w:rFonts w:cs="Arial"/>
                <w:szCs w:val="19"/>
              </w:rPr>
              <w:t>Semaglutide (</w:t>
            </w:r>
            <w:proofErr w:type="spellStart"/>
            <w:r w:rsidRPr="00B47869">
              <w:rPr>
                <w:rFonts w:cs="Arial"/>
                <w:i/>
                <w:iCs/>
                <w:szCs w:val="19"/>
              </w:rPr>
              <w:t>Wegovy</w:t>
            </w:r>
            <w:proofErr w:type="spellEnd"/>
            <w:r w:rsidRPr="00B47869">
              <w:rPr>
                <w:rFonts w:cs="Arial"/>
                <w:szCs w:val="19"/>
              </w:rPr>
              <w:t>)</w:t>
            </w:r>
          </w:p>
        </w:tc>
        <w:tc>
          <w:tcPr>
            <w:tcW w:w="3842" w:type="pct"/>
            <w:tcMar>
              <w:top w:w="57" w:type="dxa"/>
              <w:bottom w:w="57" w:type="dxa"/>
            </w:tcMar>
          </w:tcPr>
          <w:p w14:paraId="05231A5F" w14:textId="77777777" w:rsidR="0009243E" w:rsidRPr="00B47869" w:rsidRDefault="0009243E" w:rsidP="003F1D34">
            <w:pPr>
              <w:tabs>
                <w:tab w:val="center" w:pos="3152"/>
              </w:tabs>
              <w:rPr>
                <w:rFonts w:cs="Arial"/>
                <w:szCs w:val="19"/>
              </w:rPr>
            </w:pPr>
            <w:r w:rsidRPr="00B47869">
              <w:rPr>
                <w:rFonts w:cs="Arial"/>
                <w:szCs w:val="19"/>
              </w:rPr>
              <w:t>Obesity-related heart failure with preserved ejection fraction in patients with or without diabetes – not approved in UK and EU (instead STEP HFpEF trial data added to SmPC)</w:t>
            </w:r>
          </w:p>
        </w:tc>
      </w:tr>
      <w:tr w:rsidR="0009243E" w:rsidRPr="00B47869" w14:paraId="005ACBE3" w14:textId="77777777" w:rsidTr="003F1D34">
        <w:tc>
          <w:tcPr>
            <w:tcW w:w="1158" w:type="pct"/>
            <w:gridSpan w:val="2"/>
            <w:tcMar>
              <w:top w:w="57" w:type="dxa"/>
              <w:bottom w:w="57" w:type="dxa"/>
            </w:tcMar>
          </w:tcPr>
          <w:p w14:paraId="4A59CE0D" w14:textId="77777777" w:rsidR="0009243E" w:rsidRPr="00B47869" w:rsidRDefault="0009243E" w:rsidP="003F1D34">
            <w:pPr>
              <w:rPr>
                <w:rFonts w:cs="Arial"/>
                <w:szCs w:val="19"/>
              </w:rPr>
            </w:pPr>
            <w:r w:rsidRPr="00B47869">
              <w:rPr>
                <w:rFonts w:cs="Arial"/>
                <w:szCs w:val="19"/>
              </w:rPr>
              <w:t xml:space="preserve">Tamibarotene </w:t>
            </w:r>
          </w:p>
        </w:tc>
        <w:tc>
          <w:tcPr>
            <w:tcW w:w="3842" w:type="pct"/>
            <w:tcMar>
              <w:top w:w="57" w:type="dxa"/>
              <w:bottom w:w="57" w:type="dxa"/>
            </w:tcMar>
          </w:tcPr>
          <w:p w14:paraId="72429BAA" w14:textId="77777777" w:rsidR="0009243E" w:rsidRPr="00B47869" w:rsidRDefault="0009243E" w:rsidP="003F1D34">
            <w:pPr>
              <w:tabs>
                <w:tab w:val="center" w:pos="3152"/>
              </w:tabs>
              <w:rPr>
                <w:rFonts w:cs="Arial"/>
                <w:szCs w:val="19"/>
              </w:rPr>
            </w:pPr>
            <w:r w:rsidRPr="00B47869">
              <w:rPr>
                <w:rFonts w:cs="Arial"/>
                <w:szCs w:val="19"/>
              </w:rPr>
              <w:t>Intermediate/high/very high risk, RARA-positive myelodysplastic syndromes, first-line with azacitidine – development discontinued (lack of efficacy)</w:t>
            </w:r>
          </w:p>
        </w:tc>
      </w:tr>
      <w:tr w:rsidR="0009243E" w:rsidRPr="00B47869" w14:paraId="4CE2727B" w14:textId="77777777" w:rsidTr="003F1D34">
        <w:tc>
          <w:tcPr>
            <w:tcW w:w="1158" w:type="pct"/>
            <w:gridSpan w:val="2"/>
            <w:tcMar>
              <w:top w:w="57" w:type="dxa"/>
              <w:bottom w:w="57" w:type="dxa"/>
            </w:tcMar>
          </w:tcPr>
          <w:p w14:paraId="364C7225" w14:textId="77777777" w:rsidR="0009243E" w:rsidRPr="00B47869" w:rsidRDefault="0009243E" w:rsidP="003F1D34">
            <w:pPr>
              <w:rPr>
                <w:rFonts w:cs="Arial"/>
                <w:szCs w:val="19"/>
              </w:rPr>
            </w:pPr>
            <w:proofErr w:type="spellStart"/>
            <w:r w:rsidRPr="00B47869">
              <w:rPr>
                <w:rFonts w:cs="Arial"/>
                <w:szCs w:val="19"/>
              </w:rPr>
              <w:t>Tazemetostat</w:t>
            </w:r>
            <w:proofErr w:type="spellEnd"/>
            <w:r w:rsidRPr="00B47869">
              <w:rPr>
                <w:rFonts w:cs="Arial"/>
                <w:szCs w:val="19"/>
              </w:rPr>
              <w:t xml:space="preserve"> (</w:t>
            </w:r>
            <w:proofErr w:type="spellStart"/>
            <w:r w:rsidRPr="00B47869">
              <w:rPr>
                <w:rFonts w:cs="Arial"/>
                <w:i/>
                <w:iCs/>
                <w:szCs w:val="19"/>
              </w:rPr>
              <w:t>Tazverik</w:t>
            </w:r>
            <w:proofErr w:type="spellEnd"/>
            <w:r w:rsidRPr="00B47869">
              <w:rPr>
                <w:rFonts w:cs="Arial"/>
                <w:szCs w:val="19"/>
              </w:rPr>
              <w:t>)</w:t>
            </w:r>
          </w:p>
        </w:tc>
        <w:tc>
          <w:tcPr>
            <w:tcW w:w="3842" w:type="pct"/>
            <w:tcMar>
              <w:top w:w="57" w:type="dxa"/>
              <w:bottom w:w="57" w:type="dxa"/>
            </w:tcMar>
          </w:tcPr>
          <w:p w14:paraId="2DC3D581" w14:textId="77777777" w:rsidR="0009243E" w:rsidRPr="00B47869" w:rsidRDefault="0009243E" w:rsidP="003F1D34">
            <w:pPr>
              <w:tabs>
                <w:tab w:val="center" w:pos="3152"/>
              </w:tabs>
              <w:rPr>
                <w:rFonts w:cs="Arial"/>
                <w:szCs w:val="19"/>
              </w:rPr>
            </w:pPr>
            <w:r w:rsidRPr="00B47869">
              <w:rPr>
                <w:rFonts w:cs="Arial"/>
                <w:szCs w:val="19"/>
              </w:rPr>
              <w:t>Unresectable advanced epithelioid sarcoma in adults, first-line with doxorubicin – UK and EU development discontinued (company decision)</w:t>
            </w:r>
          </w:p>
        </w:tc>
      </w:tr>
      <w:tr w:rsidR="0009243E" w:rsidRPr="00B47869" w14:paraId="31F87B0A" w14:textId="77777777" w:rsidTr="003F1D34">
        <w:tc>
          <w:tcPr>
            <w:tcW w:w="1158" w:type="pct"/>
            <w:gridSpan w:val="2"/>
            <w:tcMar>
              <w:top w:w="57" w:type="dxa"/>
              <w:bottom w:w="57" w:type="dxa"/>
            </w:tcMar>
          </w:tcPr>
          <w:p w14:paraId="264EB080" w14:textId="77777777" w:rsidR="0009243E" w:rsidRPr="00B47869" w:rsidRDefault="0009243E" w:rsidP="003F1D34">
            <w:pPr>
              <w:rPr>
                <w:rFonts w:cs="Arial"/>
                <w:szCs w:val="19"/>
              </w:rPr>
            </w:pPr>
            <w:proofErr w:type="spellStart"/>
            <w:r w:rsidRPr="00B47869">
              <w:rPr>
                <w:rFonts w:cs="Arial"/>
                <w:szCs w:val="19"/>
              </w:rPr>
              <w:t>Tiragolumab</w:t>
            </w:r>
            <w:proofErr w:type="spellEnd"/>
            <w:r w:rsidRPr="00B47869">
              <w:rPr>
                <w:rFonts w:cs="Arial"/>
                <w:szCs w:val="19"/>
              </w:rPr>
              <w:t xml:space="preserve"> + atezolizumab</w:t>
            </w:r>
          </w:p>
        </w:tc>
        <w:tc>
          <w:tcPr>
            <w:tcW w:w="3842" w:type="pct"/>
            <w:tcMar>
              <w:top w:w="57" w:type="dxa"/>
              <w:bottom w:w="57" w:type="dxa"/>
            </w:tcMar>
          </w:tcPr>
          <w:p w14:paraId="33D5F3D8" w14:textId="77777777" w:rsidR="0009243E" w:rsidRPr="00B47869" w:rsidRDefault="0009243E" w:rsidP="003F1D34">
            <w:pPr>
              <w:tabs>
                <w:tab w:val="center" w:pos="3152"/>
              </w:tabs>
              <w:rPr>
                <w:rFonts w:cs="Arial"/>
                <w:szCs w:val="19"/>
              </w:rPr>
            </w:pPr>
            <w:r w:rsidRPr="00B47869">
              <w:rPr>
                <w:rFonts w:cs="Arial"/>
                <w:szCs w:val="19"/>
              </w:rPr>
              <w:t xml:space="preserve">Solid tumours </w:t>
            </w:r>
            <w:r w:rsidRPr="00B47869">
              <w:rPr>
                <w:rFonts w:cs="Arial"/>
                <w:szCs w:val="19"/>
              </w:rPr>
              <w:tab/>
              <w:t>including locally advanced, recurrent or metastatic non-small cell lung cancer and oesophageal cancer in adults, untreated with checkpoint inhibitors – development discontinued (company decision)</w:t>
            </w:r>
          </w:p>
        </w:tc>
      </w:tr>
      <w:tr w:rsidR="0009243E" w:rsidRPr="00B47869" w14:paraId="599C9496" w14:textId="77777777" w:rsidTr="003F1D34">
        <w:tc>
          <w:tcPr>
            <w:tcW w:w="1158" w:type="pct"/>
            <w:gridSpan w:val="2"/>
            <w:tcMar>
              <w:top w:w="57" w:type="dxa"/>
              <w:bottom w:w="57" w:type="dxa"/>
            </w:tcMar>
          </w:tcPr>
          <w:p w14:paraId="2494F2BF" w14:textId="77777777" w:rsidR="0009243E" w:rsidRPr="00B47869" w:rsidRDefault="0009243E" w:rsidP="003F1D34">
            <w:pPr>
              <w:rPr>
                <w:rFonts w:cs="Arial"/>
                <w:szCs w:val="19"/>
              </w:rPr>
            </w:pPr>
            <w:r w:rsidRPr="00B47869">
              <w:rPr>
                <w:rFonts w:cs="Arial"/>
                <w:szCs w:val="19"/>
              </w:rPr>
              <w:t>Tirzepatide (</w:t>
            </w:r>
            <w:proofErr w:type="spellStart"/>
            <w:r w:rsidRPr="00B47869">
              <w:rPr>
                <w:rFonts w:cs="Arial"/>
                <w:i/>
                <w:iCs/>
                <w:szCs w:val="19"/>
              </w:rPr>
              <w:t>Mounjaro</w:t>
            </w:r>
            <w:proofErr w:type="spellEnd"/>
            <w:r w:rsidRPr="00B47869">
              <w:rPr>
                <w:rFonts w:cs="Arial"/>
                <w:szCs w:val="19"/>
              </w:rPr>
              <w:t>)</w:t>
            </w:r>
          </w:p>
        </w:tc>
        <w:tc>
          <w:tcPr>
            <w:tcW w:w="3842" w:type="pct"/>
            <w:tcMar>
              <w:top w:w="57" w:type="dxa"/>
              <w:bottom w:w="57" w:type="dxa"/>
            </w:tcMar>
          </w:tcPr>
          <w:p w14:paraId="01314123" w14:textId="77777777" w:rsidR="0009243E" w:rsidRPr="00B47869" w:rsidRDefault="0009243E" w:rsidP="003F1D34">
            <w:pPr>
              <w:tabs>
                <w:tab w:val="center" w:pos="3152"/>
              </w:tabs>
              <w:rPr>
                <w:rFonts w:cs="Arial"/>
                <w:szCs w:val="19"/>
              </w:rPr>
            </w:pPr>
            <w:r w:rsidRPr="00B47869">
              <w:rPr>
                <w:rFonts w:cs="Arial"/>
                <w:szCs w:val="19"/>
              </w:rPr>
              <w:t>Treatment of symptomatic chronic heart failure with preserved ejection fraction in adults with obesity – not approved in the EU (instead trial data included in the SmPC)</w:t>
            </w:r>
          </w:p>
        </w:tc>
      </w:tr>
      <w:tr w:rsidR="0009243E" w:rsidRPr="00B47869" w14:paraId="26ABAA5F" w14:textId="77777777" w:rsidTr="003F1D34">
        <w:tc>
          <w:tcPr>
            <w:tcW w:w="1158" w:type="pct"/>
            <w:gridSpan w:val="2"/>
            <w:tcMar>
              <w:top w:w="57" w:type="dxa"/>
              <w:bottom w:w="57" w:type="dxa"/>
            </w:tcMar>
          </w:tcPr>
          <w:p w14:paraId="66FD1329" w14:textId="77777777" w:rsidR="0009243E" w:rsidRPr="00B47869" w:rsidRDefault="0009243E" w:rsidP="003F1D34">
            <w:pPr>
              <w:rPr>
                <w:rFonts w:cs="Arial"/>
                <w:szCs w:val="19"/>
              </w:rPr>
            </w:pPr>
            <w:proofErr w:type="spellStart"/>
            <w:r w:rsidRPr="00B47869">
              <w:rPr>
                <w:rFonts w:cs="Arial"/>
                <w:szCs w:val="19"/>
              </w:rPr>
              <w:t>Tobevibart</w:t>
            </w:r>
            <w:proofErr w:type="spellEnd"/>
            <w:r w:rsidRPr="00B47869">
              <w:rPr>
                <w:rFonts w:cs="Arial"/>
                <w:szCs w:val="19"/>
              </w:rPr>
              <w:t xml:space="preserve"> </w:t>
            </w:r>
          </w:p>
        </w:tc>
        <w:tc>
          <w:tcPr>
            <w:tcW w:w="3842" w:type="pct"/>
            <w:tcMar>
              <w:top w:w="57" w:type="dxa"/>
              <w:bottom w:w="57" w:type="dxa"/>
            </w:tcMar>
          </w:tcPr>
          <w:p w14:paraId="15D4FAF1" w14:textId="77777777" w:rsidR="0009243E" w:rsidRPr="00B47869" w:rsidRDefault="0009243E" w:rsidP="003F1D34">
            <w:pPr>
              <w:tabs>
                <w:tab w:val="center" w:pos="3152"/>
              </w:tabs>
              <w:rPr>
                <w:rFonts w:cs="Arial"/>
                <w:szCs w:val="19"/>
              </w:rPr>
            </w:pPr>
            <w:r w:rsidRPr="00B47869">
              <w:rPr>
                <w:rFonts w:cs="Arial"/>
                <w:szCs w:val="19"/>
              </w:rPr>
              <w:t xml:space="preserve">Chronic hepatitis B infection in adults, with </w:t>
            </w:r>
            <w:proofErr w:type="spellStart"/>
            <w:r w:rsidRPr="00B47869">
              <w:rPr>
                <w:rFonts w:cs="Arial"/>
                <w:szCs w:val="19"/>
              </w:rPr>
              <w:t>elebsiran</w:t>
            </w:r>
            <w:proofErr w:type="spellEnd"/>
            <w:r w:rsidRPr="00B47869">
              <w:rPr>
                <w:rFonts w:cs="Arial"/>
                <w:szCs w:val="19"/>
              </w:rPr>
              <w:t xml:space="preserve"> and with/without pegylated interferon alpha – development discontinued (company decision)</w:t>
            </w:r>
          </w:p>
        </w:tc>
      </w:tr>
      <w:tr w:rsidR="0009243E" w:rsidRPr="00B47869" w14:paraId="24E0969C" w14:textId="77777777" w:rsidTr="003F1D34">
        <w:tc>
          <w:tcPr>
            <w:tcW w:w="1158" w:type="pct"/>
            <w:gridSpan w:val="2"/>
            <w:tcMar>
              <w:top w:w="57" w:type="dxa"/>
              <w:bottom w:w="57" w:type="dxa"/>
            </w:tcMar>
          </w:tcPr>
          <w:p w14:paraId="22B3C88B" w14:textId="77777777" w:rsidR="0009243E" w:rsidRPr="00B47869" w:rsidRDefault="0009243E" w:rsidP="003F1D34">
            <w:pPr>
              <w:rPr>
                <w:rFonts w:cs="Arial"/>
                <w:i/>
                <w:iCs/>
                <w:szCs w:val="19"/>
              </w:rPr>
            </w:pPr>
            <w:r w:rsidRPr="00B47869">
              <w:rPr>
                <w:rFonts w:cs="Arial"/>
                <w:szCs w:val="19"/>
              </w:rPr>
              <w:t>Tucatinib (</w:t>
            </w:r>
            <w:proofErr w:type="spellStart"/>
            <w:r w:rsidRPr="00B47869">
              <w:rPr>
                <w:rFonts w:cs="Arial"/>
                <w:i/>
                <w:iCs/>
                <w:szCs w:val="19"/>
              </w:rPr>
              <w:t>Tukysa</w:t>
            </w:r>
            <w:proofErr w:type="spellEnd"/>
            <w:r w:rsidRPr="00B47869">
              <w:rPr>
                <w:rFonts w:cs="Arial"/>
                <w:szCs w:val="19"/>
              </w:rPr>
              <w:t>)</w:t>
            </w:r>
          </w:p>
        </w:tc>
        <w:tc>
          <w:tcPr>
            <w:tcW w:w="3842" w:type="pct"/>
            <w:tcMar>
              <w:top w:w="57" w:type="dxa"/>
              <w:bottom w:w="57" w:type="dxa"/>
            </w:tcMar>
          </w:tcPr>
          <w:p w14:paraId="662141A7" w14:textId="77777777" w:rsidR="0009243E" w:rsidRPr="00B47869" w:rsidRDefault="0009243E" w:rsidP="003F1D34">
            <w:pPr>
              <w:tabs>
                <w:tab w:val="center" w:pos="3152"/>
              </w:tabs>
              <w:rPr>
                <w:rFonts w:cs="Arial"/>
                <w:szCs w:val="19"/>
              </w:rPr>
            </w:pPr>
            <w:r w:rsidRPr="00B47869">
              <w:rPr>
                <w:rFonts w:cs="Arial"/>
                <w:szCs w:val="19"/>
              </w:rPr>
              <w:t>Unresectable or metastatic, HER2-positive, RAS wild-type colorectal cancer in adults, second-line or greater monotherapy or with trastuzumab – UK development discontinued (company decision)</w:t>
            </w:r>
          </w:p>
        </w:tc>
      </w:tr>
      <w:tr w:rsidR="0009243E" w:rsidRPr="00B47869" w14:paraId="4BA03311" w14:textId="77777777" w:rsidTr="003F1D34">
        <w:tc>
          <w:tcPr>
            <w:tcW w:w="1158" w:type="pct"/>
            <w:gridSpan w:val="2"/>
            <w:tcMar>
              <w:top w:w="57" w:type="dxa"/>
              <w:bottom w:w="57" w:type="dxa"/>
            </w:tcMar>
          </w:tcPr>
          <w:p w14:paraId="56FEAA93" w14:textId="77777777" w:rsidR="0009243E" w:rsidRPr="00B47869" w:rsidRDefault="0009243E" w:rsidP="003F1D34">
            <w:pPr>
              <w:rPr>
                <w:rFonts w:cs="Arial"/>
                <w:szCs w:val="19"/>
              </w:rPr>
            </w:pPr>
            <w:proofErr w:type="spellStart"/>
            <w:r w:rsidRPr="00B47869">
              <w:rPr>
                <w:rFonts w:cs="Arial"/>
                <w:szCs w:val="19"/>
              </w:rPr>
              <w:t>Vepdegestrant</w:t>
            </w:r>
            <w:proofErr w:type="spellEnd"/>
          </w:p>
        </w:tc>
        <w:tc>
          <w:tcPr>
            <w:tcW w:w="3842" w:type="pct"/>
            <w:tcMar>
              <w:top w:w="57" w:type="dxa"/>
              <w:bottom w:w="57" w:type="dxa"/>
            </w:tcMar>
          </w:tcPr>
          <w:p w14:paraId="02E2A352" w14:textId="77777777" w:rsidR="0009243E" w:rsidRPr="00B47869" w:rsidRDefault="0009243E" w:rsidP="003F1D34">
            <w:pPr>
              <w:tabs>
                <w:tab w:val="center" w:pos="3152"/>
              </w:tabs>
              <w:rPr>
                <w:rFonts w:cs="Arial"/>
                <w:szCs w:val="19"/>
              </w:rPr>
            </w:pPr>
            <w:r w:rsidRPr="00B47869">
              <w:rPr>
                <w:rFonts w:cs="Arial"/>
                <w:szCs w:val="19"/>
              </w:rPr>
              <w:t>Early localised, ER-positive and HER2-negative, in post-menopausal women, neo-adjuvant monotherapy – UK development discontinued (company decision)</w:t>
            </w:r>
          </w:p>
        </w:tc>
      </w:tr>
      <w:tr w:rsidR="0009243E" w:rsidRPr="00B47869" w14:paraId="0BDCD5FC" w14:textId="77777777" w:rsidTr="003F1D34">
        <w:tc>
          <w:tcPr>
            <w:tcW w:w="1158" w:type="pct"/>
            <w:gridSpan w:val="2"/>
            <w:tcMar>
              <w:top w:w="57" w:type="dxa"/>
              <w:bottom w:w="57" w:type="dxa"/>
            </w:tcMar>
          </w:tcPr>
          <w:p w14:paraId="5BD3E872" w14:textId="77777777" w:rsidR="0009243E" w:rsidRPr="00B47869" w:rsidRDefault="0009243E" w:rsidP="003F1D34">
            <w:pPr>
              <w:rPr>
                <w:rFonts w:cs="Arial"/>
                <w:szCs w:val="19"/>
              </w:rPr>
            </w:pPr>
            <w:proofErr w:type="spellStart"/>
            <w:r w:rsidRPr="00B47869">
              <w:rPr>
                <w:rFonts w:cs="Arial"/>
                <w:szCs w:val="19"/>
              </w:rPr>
              <w:t>Vepdegestrant</w:t>
            </w:r>
            <w:proofErr w:type="spellEnd"/>
            <w:r w:rsidRPr="00B47869">
              <w:rPr>
                <w:rFonts w:cs="Arial"/>
                <w:szCs w:val="19"/>
              </w:rPr>
              <w:t xml:space="preserve"> </w:t>
            </w:r>
          </w:p>
        </w:tc>
        <w:tc>
          <w:tcPr>
            <w:tcW w:w="3842" w:type="pct"/>
            <w:tcMar>
              <w:top w:w="57" w:type="dxa"/>
              <w:bottom w:w="57" w:type="dxa"/>
            </w:tcMar>
          </w:tcPr>
          <w:p w14:paraId="6B894304" w14:textId="77777777" w:rsidR="0009243E" w:rsidRPr="00B47869" w:rsidRDefault="0009243E" w:rsidP="003F1D34">
            <w:pPr>
              <w:tabs>
                <w:tab w:val="center" w:pos="3152"/>
              </w:tabs>
              <w:rPr>
                <w:rFonts w:cs="Arial"/>
                <w:szCs w:val="19"/>
              </w:rPr>
            </w:pPr>
            <w:r w:rsidRPr="00B47869">
              <w:rPr>
                <w:rFonts w:cs="Arial"/>
                <w:szCs w:val="19"/>
              </w:rPr>
              <w:t>Unresectable loco-regional recurrent or metastatic, HR-positive, HER2-negative breast cancer in adults, second-line or later monotherapy – UK development discontinued (company decision)</w:t>
            </w:r>
          </w:p>
        </w:tc>
      </w:tr>
      <w:tr w:rsidR="0009243E" w:rsidRPr="00B47869" w14:paraId="40201096" w14:textId="77777777" w:rsidTr="003F1D34">
        <w:tc>
          <w:tcPr>
            <w:tcW w:w="1158" w:type="pct"/>
            <w:gridSpan w:val="2"/>
            <w:tcMar>
              <w:top w:w="57" w:type="dxa"/>
              <w:bottom w:w="57" w:type="dxa"/>
            </w:tcMar>
          </w:tcPr>
          <w:p w14:paraId="3209DCD2" w14:textId="77777777" w:rsidR="0009243E" w:rsidRPr="00B47869" w:rsidRDefault="0009243E" w:rsidP="003F1D34">
            <w:pPr>
              <w:rPr>
                <w:rFonts w:cs="Arial"/>
                <w:i/>
                <w:iCs/>
                <w:szCs w:val="19"/>
              </w:rPr>
            </w:pPr>
            <w:proofErr w:type="spellStart"/>
            <w:r w:rsidRPr="00B47869">
              <w:rPr>
                <w:rFonts w:cs="Arial"/>
                <w:szCs w:val="19"/>
              </w:rPr>
              <w:t>Zolbetuximab</w:t>
            </w:r>
            <w:proofErr w:type="spellEnd"/>
            <w:r w:rsidRPr="00B47869">
              <w:rPr>
                <w:rFonts w:cs="Arial"/>
                <w:szCs w:val="19"/>
              </w:rPr>
              <w:t xml:space="preserve"> (</w:t>
            </w:r>
            <w:proofErr w:type="spellStart"/>
            <w:r w:rsidRPr="00B47869">
              <w:rPr>
                <w:rFonts w:cs="Arial"/>
                <w:i/>
                <w:iCs/>
                <w:szCs w:val="19"/>
              </w:rPr>
              <w:t>Vyloy</w:t>
            </w:r>
            <w:proofErr w:type="spellEnd"/>
            <w:r w:rsidRPr="00B47869">
              <w:rPr>
                <w:rFonts w:cs="Arial"/>
                <w:szCs w:val="19"/>
              </w:rPr>
              <w:t>)</w:t>
            </w:r>
          </w:p>
        </w:tc>
        <w:tc>
          <w:tcPr>
            <w:tcW w:w="3842" w:type="pct"/>
            <w:tcMar>
              <w:top w:w="57" w:type="dxa"/>
              <w:bottom w:w="57" w:type="dxa"/>
            </w:tcMar>
          </w:tcPr>
          <w:p w14:paraId="3F692793" w14:textId="77777777" w:rsidR="0009243E" w:rsidRPr="00B47869" w:rsidRDefault="0009243E" w:rsidP="003F1D34">
            <w:pPr>
              <w:tabs>
                <w:tab w:val="center" w:pos="3152"/>
              </w:tabs>
              <w:rPr>
                <w:rFonts w:cs="Arial"/>
                <w:szCs w:val="19"/>
              </w:rPr>
            </w:pPr>
            <w:r w:rsidRPr="00B47869">
              <w:rPr>
                <w:rFonts w:cs="Arial"/>
                <w:szCs w:val="19"/>
              </w:rPr>
              <w:t>Metastatic pancreatic claudin 18.2-positive adenocarcinoma in adults, first-line with nab-paclitaxel and gemcitabine – development discontinued (lack of efficacy)</w:t>
            </w:r>
          </w:p>
        </w:tc>
      </w:tr>
      <w:tr w:rsidR="0009243E" w:rsidRPr="00B47869" w14:paraId="5EC21492" w14:textId="77777777" w:rsidTr="003F1D34">
        <w:tc>
          <w:tcPr>
            <w:tcW w:w="1158" w:type="pct"/>
            <w:gridSpan w:val="2"/>
            <w:tcMar>
              <w:top w:w="0" w:type="dxa"/>
              <w:bottom w:w="0" w:type="dxa"/>
            </w:tcMar>
          </w:tcPr>
          <w:p w14:paraId="292930B2" w14:textId="77777777" w:rsidR="0009243E" w:rsidRPr="00B47869" w:rsidRDefault="0009243E" w:rsidP="003F1D34">
            <w:pPr>
              <w:rPr>
                <w:rFonts w:cs="Arial"/>
                <w:bCs/>
                <w:sz w:val="8"/>
                <w:szCs w:val="8"/>
              </w:rPr>
            </w:pPr>
          </w:p>
        </w:tc>
        <w:tc>
          <w:tcPr>
            <w:tcW w:w="3842" w:type="pct"/>
            <w:tcMar>
              <w:top w:w="0" w:type="dxa"/>
              <w:bottom w:w="0" w:type="dxa"/>
            </w:tcMar>
          </w:tcPr>
          <w:p w14:paraId="2C3DED37" w14:textId="77777777" w:rsidR="0009243E" w:rsidRPr="00B47869" w:rsidRDefault="0009243E" w:rsidP="003F1D34">
            <w:pPr>
              <w:tabs>
                <w:tab w:val="center" w:pos="3152"/>
              </w:tabs>
              <w:rPr>
                <w:rFonts w:cs="Arial"/>
                <w:sz w:val="8"/>
                <w:szCs w:val="8"/>
              </w:rPr>
            </w:pPr>
          </w:p>
        </w:tc>
      </w:tr>
      <w:tr w:rsidR="0009243E" w:rsidRPr="00B47869" w14:paraId="1FD02343" w14:textId="77777777" w:rsidTr="003F1D34">
        <w:tc>
          <w:tcPr>
            <w:tcW w:w="1158" w:type="pct"/>
            <w:gridSpan w:val="2"/>
            <w:shd w:val="clear" w:color="auto" w:fill="DAEEF3"/>
            <w:tcMar>
              <w:top w:w="0" w:type="dxa"/>
              <w:bottom w:w="0" w:type="dxa"/>
            </w:tcMar>
          </w:tcPr>
          <w:p w14:paraId="569C0AB7" w14:textId="77777777" w:rsidR="0009243E" w:rsidRPr="00B47869" w:rsidRDefault="0009243E" w:rsidP="003F1D34">
            <w:pPr>
              <w:rPr>
                <w:rFonts w:cs="Arial"/>
                <w:bCs/>
                <w:sz w:val="8"/>
                <w:szCs w:val="8"/>
              </w:rPr>
            </w:pPr>
          </w:p>
        </w:tc>
        <w:tc>
          <w:tcPr>
            <w:tcW w:w="3842" w:type="pct"/>
            <w:shd w:val="clear" w:color="auto" w:fill="DAEEF3"/>
            <w:tcMar>
              <w:top w:w="0" w:type="dxa"/>
              <w:bottom w:w="0" w:type="dxa"/>
            </w:tcMar>
          </w:tcPr>
          <w:p w14:paraId="3B53FAFA" w14:textId="77777777" w:rsidR="0009243E" w:rsidRPr="00B47869" w:rsidRDefault="0009243E" w:rsidP="003F1D34">
            <w:pPr>
              <w:tabs>
                <w:tab w:val="center" w:pos="3152"/>
              </w:tabs>
              <w:rPr>
                <w:rFonts w:cs="Arial"/>
                <w:sz w:val="8"/>
                <w:szCs w:val="8"/>
              </w:rPr>
            </w:pPr>
          </w:p>
        </w:tc>
      </w:tr>
    </w:tbl>
    <w:p w14:paraId="18D10303" w14:textId="77777777" w:rsidR="00A75BCB" w:rsidRPr="00B47869" w:rsidRDefault="00A75BCB"/>
    <w:p w14:paraId="256D51A6" w14:textId="4F8823AF" w:rsidR="006825BB" w:rsidRPr="008949EF" w:rsidRDefault="008D03EA" w:rsidP="003D16EF">
      <w:pPr>
        <w:rPr>
          <w:sz w:val="8"/>
          <w:szCs w:val="8"/>
        </w:rPr>
      </w:pPr>
      <w:r w:rsidRPr="00B47869">
        <w:rPr>
          <w:sz w:val="8"/>
          <w:szCs w:val="8"/>
        </w:rPr>
        <w:t xml:space="preserve"> </w:t>
      </w:r>
    </w:p>
    <w:sectPr w:rsidR="006825BB" w:rsidRPr="008949EF" w:rsidSect="00F566AB">
      <w:headerReference w:type="even" r:id="rId19"/>
      <w:headerReference w:type="default" r:id="rId20"/>
      <w:footerReference w:type="default" r:id="rId21"/>
      <w:headerReference w:type="first" r:id="rId22"/>
      <w:type w:val="evenPage"/>
      <w:pgSz w:w="11906" w:h="16838" w:code="9"/>
      <w:pgMar w:top="1021" w:right="851" w:bottom="1021" w:left="85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2B048" w14:textId="77777777" w:rsidR="006216D5" w:rsidRPr="00B47869" w:rsidRDefault="006216D5">
      <w:r w:rsidRPr="00B47869">
        <w:separator/>
      </w:r>
    </w:p>
  </w:endnote>
  <w:endnote w:type="continuationSeparator" w:id="0">
    <w:p w14:paraId="5B231E8D" w14:textId="77777777" w:rsidR="006216D5" w:rsidRPr="00B47869" w:rsidRDefault="006216D5">
      <w:r w:rsidRPr="00B478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tblInd w:w="-303" w:type="dxa"/>
      <w:tblBorders>
        <w:top w:val="single" w:sz="4" w:space="0" w:color="000000"/>
        <w:left w:val="single" w:sz="4" w:space="0" w:color="000000"/>
        <w:bottom w:val="single" w:sz="4" w:space="0" w:color="000000"/>
        <w:right w:val="single" w:sz="4" w:space="0" w:color="000000"/>
        <w:insideH w:val="single" w:sz="4" w:space="0" w:color="000000"/>
      </w:tblBorders>
      <w:tblLook w:val="01E0" w:firstRow="1" w:lastRow="1" w:firstColumn="1" w:lastColumn="1" w:noHBand="0" w:noVBand="0"/>
    </w:tblPr>
    <w:tblGrid>
      <w:gridCol w:w="10980"/>
    </w:tblGrid>
    <w:tr w:rsidR="000D44DB" w:rsidRPr="00B47869" w14:paraId="785FE455" w14:textId="77777777">
      <w:tc>
        <w:tcPr>
          <w:tcW w:w="10980" w:type="dxa"/>
          <w:shd w:val="clear" w:color="auto" w:fill="3366FF"/>
          <w:tcMar>
            <w:top w:w="28" w:type="dxa"/>
            <w:left w:w="57" w:type="dxa"/>
            <w:bottom w:w="28" w:type="dxa"/>
            <w:right w:w="57" w:type="dxa"/>
          </w:tcMar>
        </w:tcPr>
        <w:p w14:paraId="42A2BE00" w14:textId="77777777" w:rsidR="000D44DB" w:rsidRPr="00B47869" w:rsidRDefault="000D44DB" w:rsidP="00710A1C">
          <w:pPr>
            <w:spacing w:before="60" w:after="60"/>
            <w:ind w:right="57"/>
            <w:rPr>
              <w:rFonts w:ascii="Verdana" w:hAnsi="Verdana" w:cs="Arial"/>
              <w:b/>
              <w:bCs/>
              <w:color w:val="000080"/>
              <w:sz w:val="15"/>
              <w:szCs w:val="15"/>
            </w:rPr>
          </w:pPr>
          <w:r w:rsidRPr="00B47869">
            <w:rPr>
              <w:rFonts w:ascii="Verdana" w:hAnsi="Verdana" w:cs="Arial"/>
              <w:b/>
              <w:bCs/>
              <w:color w:val="FFFFFF"/>
              <w:sz w:val="15"/>
              <w:szCs w:val="15"/>
            </w:rPr>
            <w:t xml:space="preserve">If you do not wish to continue receiving NDO </w:t>
          </w:r>
          <w:r w:rsidRPr="00B47869">
            <w:rPr>
              <w:rFonts w:ascii="Verdana" w:hAnsi="Verdana" w:cs="Arial"/>
              <w:b/>
              <w:bCs/>
              <w:i/>
              <w:color w:val="FFFFFF"/>
              <w:sz w:val="15"/>
              <w:szCs w:val="15"/>
            </w:rPr>
            <w:t>Newsletter</w:t>
          </w:r>
          <w:r w:rsidRPr="00B47869">
            <w:rPr>
              <w:rFonts w:ascii="Verdana" w:hAnsi="Verdana" w:cs="Arial"/>
              <w:b/>
              <w:bCs/>
              <w:color w:val="FFFFFF"/>
              <w:sz w:val="15"/>
              <w:szCs w:val="15"/>
            </w:rPr>
            <w:t xml:space="preserve"> log in and update your profile at </w:t>
          </w:r>
          <w:hyperlink r:id="rId1" w:history="1">
            <w:r w:rsidRPr="00B47869">
              <w:rPr>
                <w:rStyle w:val="Hyperlink"/>
                <w:rFonts w:cs="Arial"/>
                <w:b/>
                <w:bCs/>
                <w:color w:val="FFFFFF"/>
                <w:sz w:val="15"/>
                <w:szCs w:val="15"/>
              </w:rPr>
              <w:t>www.ukmi.nhs.uk/ndo</w:t>
            </w:r>
          </w:hyperlink>
        </w:p>
      </w:tc>
    </w:tr>
    <w:tr w:rsidR="000D44DB" w:rsidRPr="00B47869" w14:paraId="2E46D946" w14:textId="77777777">
      <w:tc>
        <w:tcPr>
          <w:tcW w:w="10980" w:type="dxa"/>
          <w:tcMar>
            <w:left w:w="28" w:type="dxa"/>
            <w:right w:w="28" w:type="dxa"/>
          </w:tcMar>
        </w:tcPr>
        <w:p w14:paraId="11C78505" w14:textId="77777777" w:rsidR="000D44DB" w:rsidRPr="00B47869" w:rsidRDefault="000D44DB" w:rsidP="00710A1C">
          <w:pPr>
            <w:spacing w:before="120" w:after="60"/>
            <w:ind w:left="57" w:right="57"/>
            <w:rPr>
              <w:sz w:val="15"/>
              <w:szCs w:val="15"/>
            </w:rPr>
          </w:pPr>
          <w:r w:rsidRPr="00B47869">
            <w:rPr>
              <w:rFonts w:ascii="Verdana" w:hAnsi="Verdana" w:cs="Arial"/>
              <w:b/>
              <w:bCs/>
              <w:color w:val="333399"/>
              <w:sz w:val="15"/>
              <w:szCs w:val="15"/>
            </w:rPr>
            <w:t>In September 2011</w:t>
          </w:r>
          <w:r w:rsidRPr="00B47869">
            <w:rPr>
              <w:rFonts w:ascii="Verdana" w:hAnsi="Verdana" w:cs="Arial"/>
              <w:bCs/>
              <w:color w:val="000000"/>
              <w:sz w:val="15"/>
              <w:szCs w:val="15"/>
            </w:rPr>
            <w:t xml:space="preserve"> </w:t>
          </w:r>
          <w:r w:rsidRPr="00B47869">
            <w:rPr>
              <w:rFonts w:ascii="Verdana" w:hAnsi="Verdana" w:cs="Arial"/>
              <w:b/>
              <w:bCs/>
              <w:color w:val="000000"/>
              <w:sz w:val="15"/>
              <w:szCs w:val="15"/>
            </w:rPr>
            <w:t>| 229 monographs updated | 14 evidence-based evaluations added | 2,200 registered NDO users</w:t>
          </w:r>
        </w:p>
      </w:tc>
    </w:tr>
  </w:tbl>
  <w:p w14:paraId="6F0A1EB4" w14:textId="77777777" w:rsidR="000D44DB" w:rsidRPr="00B47869" w:rsidRDefault="000D4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227" w:type="dxa"/>
      <w:tblLook w:val="01E0" w:firstRow="1" w:lastRow="1" w:firstColumn="1" w:lastColumn="1" w:noHBand="0" w:noVBand="0"/>
    </w:tblPr>
    <w:tblGrid>
      <w:gridCol w:w="10774"/>
    </w:tblGrid>
    <w:tr w:rsidR="001F4283" w:rsidRPr="00B47869" w14:paraId="57E32C31" w14:textId="77777777" w:rsidTr="001734BF">
      <w:trPr>
        <w:trHeight w:val="262"/>
      </w:trPr>
      <w:tc>
        <w:tcPr>
          <w:tcW w:w="10774" w:type="dxa"/>
          <w:shd w:val="clear" w:color="auto" w:fill="0070C0"/>
          <w:tcMar>
            <w:top w:w="28" w:type="dxa"/>
            <w:left w:w="57" w:type="dxa"/>
            <w:bottom w:w="28" w:type="dxa"/>
            <w:right w:w="57" w:type="dxa"/>
          </w:tcMar>
        </w:tcPr>
        <w:p w14:paraId="703261E9" w14:textId="77777777" w:rsidR="001F4283" w:rsidRPr="00B47869" w:rsidRDefault="001F4283" w:rsidP="001F4283">
          <w:pPr>
            <w:spacing w:before="60" w:after="60"/>
            <w:ind w:right="57"/>
            <w:jc w:val="center"/>
            <w:rPr>
              <w:rFonts w:cs="Arial"/>
              <w:bCs/>
              <w:color w:val="F2F2F2"/>
              <w:sz w:val="17"/>
              <w:szCs w:val="17"/>
            </w:rPr>
          </w:pPr>
          <w:r w:rsidRPr="00B47869">
            <w:rPr>
              <w:rFonts w:cs="Arial"/>
              <w:b/>
              <w:bCs/>
              <w:color w:val="FFFFFF"/>
              <w:sz w:val="17"/>
              <w:szCs w:val="17"/>
            </w:rPr>
            <w:t xml:space="preserve">This is </w:t>
          </w:r>
          <w:proofErr w:type="gramStart"/>
          <w:r w:rsidRPr="00B47869">
            <w:rPr>
              <w:rFonts w:cs="Arial"/>
              <w:b/>
              <w:bCs/>
              <w:color w:val="FFFFFF"/>
              <w:sz w:val="17"/>
              <w:szCs w:val="17"/>
            </w:rPr>
            <w:t>a</w:t>
          </w:r>
          <w:proofErr w:type="gramEnd"/>
          <w:r w:rsidRPr="00B47869">
            <w:rPr>
              <w:rFonts w:cs="Arial"/>
              <w:b/>
              <w:bCs/>
              <w:color w:val="FFFFFF"/>
              <w:sz w:val="17"/>
              <w:szCs w:val="17"/>
            </w:rPr>
            <w:t xml:space="preserve"> NHS document not to be used for commercial purposes</w:t>
          </w:r>
        </w:p>
      </w:tc>
    </w:tr>
    <w:tr w:rsidR="001F4283" w:rsidRPr="00B47869" w14:paraId="362A207E" w14:textId="77777777" w:rsidTr="001734BF">
      <w:trPr>
        <w:trHeight w:val="331"/>
      </w:trPr>
      <w:tc>
        <w:tcPr>
          <w:tcW w:w="10774" w:type="dxa"/>
          <w:shd w:val="clear" w:color="auto" w:fill="DAEEF3"/>
          <w:tcMar>
            <w:left w:w="28" w:type="dxa"/>
            <w:right w:w="28" w:type="dxa"/>
          </w:tcMar>
        </w:tcPr>
        <w:p w14:paraId="41233A14" w14:textId="77777777" w:rsidR="001F4283" w:rsidRPr="00B47869" w:rsidRDefault="001F4283" w:rsidP="001F4283">
          <w:pPr>
            <w:spacing w:before="60" w:after="60"/>
            <w:ind w:right="57"/>
            <w:rPr>
              <w:rFonts w:cs="Arial"/>
              <w:bCs/>
              <w:color w:val="000000"/>
              <w:sz w:val="17"/>
              <w:szCs w:val="17"/>
            </w:rPr>
          </w:pPr>
          <w:r w:rsidRPr="00B47869">
            <w:rPr>
              <w:rFonts w:cs="Arial"/>
              <w:bCs/>
              <w:color w:val="008232"/>
              <w:sz w:val="17"/>
              <w:szCs w:val="17"/>
            </w:rPr>
            <w:t xml:space="preserve">New Medicines </w:t>
          </w:r>
          <w:r w:rsidRPr="00B47869">
            <w:rPr>
              <w:rStyle w:val="Hyperlink"/>
              <w:rFonts w:ascii="Arial" w:hAnsi="Arial"/>
              <w:i/>
              <w:color w:val="0070C0"/>
              <w:sz w:val="17"/>
              <w:szCs w:val="17"/>
              <w:u w:val="none"/>
            </w:rPr>
            <w:t>News</w:t>
          </w:r>
          <w:r w:rsidRPr="00B47869">
            <w:rPr>
              <w:rFonts w:cs="Arial"/>
              <w:bCs/>
              <w:color w:val="F2F2F2"/>
              <w:sz w:val="17"/>
              <w:szCs w:val="17"/>
            </w:rPr>
            <w:t xml:space="preserve"> </w:t>
          </w:r>
          <w:r w:rsidRPr="00B47869">
            <w:rPr>
              <w:rFonts w:cs="Arial"/>
              <w:bCs/>
              <w:color w:val="000000"/>
              <w:sz w:val="17"/>
              <w:szCs w:val="17"/>
            </w:rPr>
            <w:t>is one of several horizon scanning resources produced by the Specialist Pharmacy Service to support managed introduction of new medicines into the NHS,</w:t>
          </w:r>
          <w:r w:rsidRPr="00B47869">
            <w:rPr>
              <w:color w:val="000000"/>
              <w:sz w:val="17"/>
              <w:szCs w:val="17"/>
            </w:rPr>
            <w:t xml:space="preserve"> </w:t>
          </w:r>
          <w:r w:rsidRPr="00B47869">
            <w:rPr>
              <w:rFonts w:cs="Arial"/>
              <w:bCs/>
              <w:color w:val="000000"/>
              <w:sz w:val="17"/>
              <w:szCs w:val="17"/>
            </w:rPr>
            <w:t xml:space="preserve">to help organisations develop medicines management policies and to inform prescribing decisions when a product has been launched. </w:t>
          </w:r>
        </w:p>
        <w:p w14:paraId="7F77E8C7" w14:textId="77777777" w:rsidR="001F4283" w:rsidRPr="00B47869" w:rsidRDefault="001F4283" w:rsidP="001F4283">
          <w:pPr>
            <w:spacing w:before="60" w:after="60"/>
            <w:ind w:right="57"/>
            <w:jc w:val="right"/>
            <w:rPr>
              <w:rFonts w:cs="Arial"/>
              <w:bCs/>
              <w:color w:val="000000"/>
              <w:sz w:val="17"/>
              <w:szCs w:val="17"/>
            </w:rPr>
          </w:pPr>
          <w:r w:rsidRPr="00B47869">
            <w:rPr>
              <w:rFonts w:cs="Arial"/>
              <w:bCs/>
              <w:color w:val="000000"/>
              <w:sz w:val="17"/>
              <w:szCs w:val="17"/>
            </w:rPr>
            <w:t xml:space="preserve">For more information or if you have a question about this newsletter, contact </w:t>
          </w:r>
          <w:hyperlink r:id="rId1" w:history="1">
            <w:r w:rsidRPr="00B47869">
              <w:rPr>
                <w:rStyle w:val="Hyperlink"/>
                <w:rFonts w:ascii="Arial" w:hAnsi="Arial" w:cs="Arial"/>
                <w:bCs/>
                <w:sz w:val="17"/>
                <w:szCs w:val="17"/>
              </w:rPr>
              <w:t>nwmedinfo@nhs.net</w:t>
            </w:r>
          </w:hyperlink>
          <w:r w:rsidRPr="00B47869">
            <w:rPr>
              <w:rFonts w:cs="Arial"/>
              <w:bCs/>
              <w:color w:val="000000"/>
              <w:sz w:val="17"/>
              <w:szCs w:val="17"/>
            </w:rPr>
            <w:t>.</w:t>
          </w:r>
        </w:p>
      </w:tc>
    </w:tr>
  </w:tbl>
  <w:p w14:paraId="092D418B" w14:textId="77777777" w:rsidR="000D44DB" w:rsidRPr="00B47869" w:rsidRDefault="000D4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227" w:type="dxa"/>
      <w:tblLook w:val="01E0" w:firstRow="1" w:lastRow="1" w:firstColumn="1" w:lastColumn="1" w:noHBand="0" w:noVBand="0"/>
    </w:tblPr>
    <w:tblGrid>
      <w:gridCol w:w="10774"/>
    </w:tblGrid>
    <w:tr w:rsidR="001F4283" w:rsidRPr="00B47869" w14:paraId="5F145DB5" w14:textId="77777777" w:rsidTr="001734BF">
      <w:trPr>
        <w:trHeight w:val="262"/>
      </w:trPr>
      <w:tc>
        <w:tcPr>
          <w:tcW w:w="10774" w:type="dxa"/>
          <w:shd w:val="clear" w:color="auto" w:fill="0070C0"/>
          <w:tcMar>
            <w:top w:w="28" w:type="dxa"/>
            <w:left w:w="57" w:type="dxa"/>
            <w:bottom w:w="28" w:type="dxa"/>
            <w:right w:w="57" w:type="dxa"/>
          </w:tcMar>
        </w:tcPr>
        <w:p w14:paraId="049EE719" w14:textId="77777777" w:rsidR="001F4283" w:rsidRPr="00B47869" w:rsidRDefault="001F4283" w:rsidP="001F4283">
          <w:pPr>
            <w:spacing w:before="60" w:after="60"/>
            <w:ind w:right="57"/>
            <w:jc w:val="center"/>
            <w:rPr>
              <w:rFonts w:cs="Arial"/>
              <w:bCs/>
              <w:color w:val="F2F2F2"/>
              <w:sz w:val="17"/>
              <w:szCs w:val="17"/>
            </w:rPr>
          </w:pPr>
          <w:r w:rsidRPr="00B47869">
            <w:rPr>
              <w:rFonts w:cs="Arial"/>
              <w:b/>
              <w:bCs/>
              <w:color w:val="FFFFFF"/>
              <w:sz w:val="17"/>
              <w:szCs w:val="17"/>
            </w:rPr>
            <w:t xml:space="preserve">This is </w:t>
          </w:r>
          <w:proofErr w:type="gramStart"/>
          <w:r w:rsidRPr="00B47869">
            <w:rPr>
              <w:rFonts w:cs="Arial"/>
              <w:b/>
              <w:bCs/>
              <w:color w:val="FFFFFF"/>
              <w:sz w:val="17"/>
              <w:szCs w:val="17"/>
            </w:rPr>
            <w:t>a</w:t>
          </w:r>
          <w:proofErr w:type="gramEnd"/>
          <w:r w:rsidRPr="00B47869">
            <w:rPr>
              <w:rFonts w:cs="Arial"/>
              <w:b/>
              <w:bCs/>
              <w:color w:val="FFFFFF"/>
              <w:sz w:val="17"/>
              <w:szCs w:val="17"/>
            </w:rPr>
            <w:t xml:space="preserve"> NHS document not to be used for commercial purposes</w:t>
          </w:r>
        </w:p>
      </w:tc>
    </w:tr>
    <w:tr w:rsidR="001F4283" w:rsidRPr="00B47869" w14:paraId="722067CC" w14:textId="77777777" w:rsidTr="001734BF">
      <w:trPr>
        <w:trHeight w:val="331"/>
      </w:trPr>
      <w:tc>
        <w:tcPr>
          <w:tcW w:w="10774" w:type="dxa"/>
          <w:shd w:val="clear" w:color="auto" w:fill="DAEEF3"/>
          <w:tcMar>
            <w:left w:w="28" w:type="dxa"/>
            <w:right w:w="28" w:type="dxa"/>
          </w:tcMar>
        </w:tcPr>
        <w:p w14:paraId="2B5BC85D" w14:textId="77777777" w:rsidR="001F4283" w:rsidRPr="00B47869" w:rsidRDefault="001F4283" w:rsidP="001F4283">
          <w:pPr>
            <w:spacing w:before="60" w:after="60"/>
            <w:ind w:right="57"/>
            <w:rPr>
              <w:rFonts w:cs="Arial"/>
              <w:bCs/>
              <w:color w:val="000000"/>
              <w:sz w:val="17"/>
              <w:szCs w:val="17"/>
            </w:rPr>
          </w:pPr>
          <w:r w:rsidRPr="00B47869">
            <w:rPr>
              <w:rFonts w:cs="Arial"/>
              <w:bCs/>
              <w:color w:val="008232"/>
              <w:sz w:val="17"/>
              <w:szCs w:val="17"/>
            </w:rPr>
            <w:t xml:space="preserve">New Medicines </w:t>
          </w:r>
          <w:r w:rsidRPr="00B47869">
            <w:rPr>
              <w:rStyle w:val="Hyperlink"/>
              <w:rFonts w:ascii="Arial" w:hAnsi="Arial"/>
              <w:i/>
              <w:color w:val="0070C0"/>
              <w:sz w:val="17"/>
              <w:szCs w:val="17"/>
              <w:u w:val="none"/>
            </w:rPr>
            <w:t>News</w:t>
          </w:r>
          <w:r w:rsidRPr="00B47869">
            <w:rPr>
              <w:rFonts w:cs="Arial"/>
              <w:bCs/>
              <w:color w:val="F2F2F2"/>
              <w:sz w:val="17"/>
              <w:szCs w:val="17"/>
            </w:rPr>
            <w:t xml:space="preserve"> </w:t>
          </w:r>
          <w:r w:rsidRPr="00B47869">
            <w:rPr>
              <w:rFonts w:cs="Arial"/>
              <w:bCs/>
              <w:color w:val="000000"/>
              <w:sz w:val="17"/>
              <w:szCs w:val="17"/>
            </w:rPr>
            <w:t>is one of several horizon scanning resources produced by the Specialist Pharmacy Service to support managed introduction of new medicines into the NHS,</w:t>
          </w:r>
          <w:r w:rsidRPr="00B47869">
            <w:rPr>
              <w:color w:val="000000"/>
              <w:sz w:val="17"/>
              <w:szCs w:val="17"/>
            </w:rPr>
            <w:t xml:space="preserve"> </w:t>
          </w:r>
          <w:r w:rsidRPr="00B47869">
            <w:rPr>
              <w:rFonts w:cs="Arial"/>
              <w:bCs/>
              <w:color w:val="000000"/>
              <w:sz w:val="17"/>
              <w:szCs w:val="17"/>
            </w:rPr>
            <w:t xml:space="preserve">to help organisations develop medicines management policies and to inform prescribing decisions when a product has been launched. </w:t>
          </w:r>
        </w:p>
        <w:p w14:paraId="7B2268EE" w14:textId="77777777" w:rsidR="001F4283" w:rsidRPr="00B47869" w:rsidRDefault="001F4283" w:rsidP="001F4283">
          <w:pPr>
            <w:spacing w:before="60" w:after="60"/>
            <w:ind w:right="57"/>
            <w:jc w:val="right"/>
            <w:rPr>
              <w:rFonts w:cs="Arial"/>
              <w:bCs/>
              <w:color w:val="000000"/>
              <w:sz w:val="17"/>
              <w:szCs w:val="17"/>
            </w:rPr>
          </w:pPr>
          <w:r w:rsidRPr="00B47869">
            <w:rPr>
              <w:rFonts w:cs="Arial"/>
              <w:bCs/>
              <w:color w:val="000000"/>
              <w:sz w:val="17"/>
              <w:szCs w:val="17"/>
            </w:rPr>
            <w:t xml:space="preserve">For more information or if you have a question about this newsletter, contact </w:t>
          </w:r>
          <w:hyperlink r:id="rId1" w:history="1">
            <w:r w:rsidRPr="00B47869">
              <w:rPr>
                <w:rStyle w:val="Hyperlink"/>
                <w:rFonts w:ascii="Arial" w:hAnsi="Arial" w:cs="Arial"/>
                <w:bCs/>
                <w:sz w:val="17"/>
                <w:szCs w:val="17"/>
              </w:rPr>
              <w:t>nwmedinfo@nhs.net</w:t>
            </w:r>
          </w:hyperlink>
          <w:r w:rsidRPr="00B47869">
            <w:rPr>
              <w:rFonts w:cs="Arial"/>
              <w:bCs/>
              <w:color w:val="000000"/>
              <w:sz w:val="17"/>
              <w:szCs w:val="17"/>
            </w:rPr>
            <w:t>.</w:t>
          </w:r>
        </w:p>
      </w:tc>
    </w:tr>
  </w:tbl>
  <w:p w14:paraId="603AE855" w14:textId="77777777" w:rsidR="000D44DB" w:rsidRPr="00B47869" w:rsidRDefault="000D44DB" w:rsidP="00F95449">
    <w:pPr>
      <w:spacing w:before="60" w:after="60"/>
      <w:ind w:left="57" w:right="57"/>
      <w:jc w:val="center"/>
      <w:rPr>
        <w:rFonts w:cs="Arial"/>
        <w:bCs/>
        <w:color w:val="333399"/>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C76A4" w14:textId="77777777" w:rsidR="006216D5" w:rsidRPr="00B47869" w:rsidRDefault="006216D5">
      <w:r w:rsidRPr="00B47869">
        <w:separator/>
      </w:r>
    </w:p>
  </w:footnote>
  <w:footnote w:type="continuationSeparator" w:id="0">
    <w:p w14:paraId="45C495DE" w14:textId="77777777" w:rsidR="006216D5" w:rsidRPr="00B47869" w:rsidRDefault="006216D5">
      <w:r w:rsidRPr="00B478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72C4" w14:textId="4718C445" w:rsidR="000D44DB" w:rsidRPr="00B47869" w:rsidRDefault="00CD021E" w:rsidP="009A09B7">
    <w:pPr>
      <w:pStyle w:val="Header"/>
      <w:rPr>
        <w:rFonts w:ascii="Verdana" w:hAnsi="Verdana" w:cs="Arial"/>
        <w:b/>
        <w:bCs/>
        <w:i/>
        <w:color w:val="33CCCC"/>
        <w:sz w:val="52"/>
        <w:szCs w:val="52"/>
        <w14:shadow w14:blurRad="50800" w14:dist="38100" w14:dir="2700000" w14:sx="100000" w14:sy="100000" w14:kx="0" w14:ky="0" w14:algn="tl">
          <w14:srgbClr w14:val="000000">
            <w14:alpha w14:val="60000"/>
          </w14:srgbClr>
        </w14:shadow>
      </w:rPr>
    </w:pPr>
    <w:r w:rsidRPr="00B47869">
      <w:rPr>
        <w:noProof/>
      </w:rPr>
      <w:drawing>
        <wp:anchor distT="0" distB="0" distL="114300" distR="114300" simplePos="0" relativeHeight="251658242" behindDoc="1" locked="0" layoutInCell="1" allowOverlap="1" wp14:anchorId="03AADCB9" wp14:editId="4CE259A8">
          <wp:simplePos x="0" y="0"/>
          <wp:positionH relativeFrom="column">
            <wp:posOffset>5715000</wp:posOffset>
          </wp:positionH>
          <wp:positionV relativeFrom="paragraph">
            <wp:posOffset>10795</wp:posOffset>
          </wp:positionV>
          <wp:extent cx="816610" cy="463550"/>
          <wp:effectExtent l="0" t="0" r="2540" b="0"/>
          <wp:wrapTight wrapText="bothSides">
            <wp:wrapPolygon edited="0">
              <wp:start x="0" y="0"/>
              <wp:lineTo x="0" y="20416"/>
              <wp:lineTo x="21163" y="20416"/>
              <wp:lineTo x="21163" y="0"/>
              <wp:lineTo x="0" y="0"/>
            </wp:wrapPolygon>
          </wp:wrapTight>
          <wp:docPr id="1372052531" name="Picture 1372052531" descr="UKMi logo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KMi logo 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869">
      <w:rPr>
        <w:noProof/>
      </w:rPr>
      <w:drawing>
        <wp:anchor distT="0" distB="0" distL="114300" distR="114300" simplePos="0" relativeHeight="251658241" behindDoc="1" locked="0" layoutInCell="1" allowOverlap="1" wp14:anchorId="22966191" wp14:editId="7E29C1DA">
          <wp:simplePos x="0" y="0"/>
          <wp:positionH relativeFrom="column">
            <wp:posOffset>5193665</wp:posOffset>
          </wp:positionH>
          <wp:positionV relativeFrom="paragraph">
            <wp:posOffset>116205</wp:posOffset>
          </wp:positionV>
          <wp:extent cx="533400" cy="219075"/>
          <wp:effectExtent l="0" t="0" r="0" b="9525"/>
          <wp:wrapTight wrapText="bothSides">
            <wp:wrapPolygon edited="0">
              <wp:start x="0" y="0"/>
              <wp:lineTo x="0" y="20661"/>
              <wp:lineTo x="20829" y="20661"/>
              <wp:lineTo x="20829" y="0"/>
              <wp:lineTo x="0" y="0"/>
            </wp:wrapPolygon>
          </wp:wrapTight>
          <wp:docPr id="2119660951" name="Picture 2119660951"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S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869">
      <w:rPr>
        <w:noProof/>
      </w:rPr>
      <w:drawing>
        <wp:inline distT="0" distB="0" distL="0" distR="0" wp14:anchorId="22FEC1A8" wp14:editId="22580E71">
          <wp:extent cx="1075055" cy="467995"/>
          <wp:effectExtent l="0" t="0" r="0" b="8255"/>
          <wp:docPr id="198913519" name="Picture 198913519" descr="N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O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5055" cy="467995"/>
                  </a:xfrm>
                  <a:prstGeom prst="rect">
                    <a:avLst/>
                  </a:prstGeom>
                  <a:noFill/>
                  <a:ln>
                    <a:noFill/>
                  </a:ln>
                </pic:spPr>
              </pic:pic>
            </a:graphicData>
          </a:graphic>
        </wp:inline>
      </w:drawing>
    </w:r>
    <w:r w:rsidR="000D44DB" w:rsidRPr="00B47869">
      <w:rPr>
        <w:rFonts w:ascii="Verdana" w:hAnsi="Verdana" w:cs="Arial"/>
        <w:b/>
        <w:bCs/>
        <w:i/>
        <w:color w:val="33CCCC"/>
        <w:sz w:val="44"/>
        <w:szCs w:val="44"/>
        <w14:shadow w14:blurRad="50800" w14:dist="38100" w14:dir="2700000" w14:sx="100000" w14:sy="100000" w14:kx="0" w14:ky="0" w14:algn="tl">
          <w14:srgbClr w14:val="000000">
            <w14:alpha w14:val="60000"/>
          </w14:srgbClr>
        </w14:shadow>
      </w:rPr>
      <w:t>Newsletter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76CD" w14:textId="1C2E6DF9" w:rsidR="000D44DB" w:rsidRPr="00B47869" w:rsidRDefault="00A75BCB" w:rsidP="00BA65A9">
    <w:pPr>
      <w:pStyle w:val="Header"/>
      <w:ind w:left="-142"/>
      <w:rPr>
        <w:rFonts w:cs="Arial"/>
        <w:b/>
        <w:bCs/>
        <w:color w:val="244061"/>
        <w:sz w:val="32"/>
        <w:szCs w:val="32"/>
        <w14:shadow w14:blurRad="50800" w14:dist="38100" w14:dir="2700000" w14:sx="100000" w14:sy="100000" w14:kx="0" w14:ky="0" w14:algn="tl">
          <w14:srgbClr w14:val="000000">
            <w14:alpha w14:val="60000"/>
          </w14:srgbClr>
        </w14:shadow>
      </w:rPr>
    </w:pPr>
    <w:r w:rsidRPr="00B47869">
      <w:rPr>
        <w:noProof/>
        <w:color w:val="00B050"/>
        <w:sz w:val="32"/>
        <w:szCs w:val="32"/>
      </w:rPr>
      <w:drawing>
        <wp:anchor distT="0" distB="0" distL="114300" distR="114300" simplePos="0" relativeHeight="251658240" behindDoc="0" locked="0" layoutInCell="1" allowOverlap="1" wp14:anchorId="272ED8AC" wp14:editId="4B3B0D3C">
          <wp:simplePos x="0" y="0"/>
          <wp:positionH relativeFrom="column">
            <wp:posOffset>6073775</wp:posOffset>
          </wp:positionH>
          <wp:positionV relativeFrom="paragraph">
            <wp:posOffset>-21590</wp:posOffset>
          </wp:positionV>
          <wp:extent cx="521335" cy="213995"/>
          <wp:effectExtent l="0" t="0" r="0" b="0"/>
          <wp:wrapNone/>
          <wp:docPr id="382675172" name="Picture 382675172"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876047" w14:textId="77777777" w:rsidR="000D44DB" w:rsidRPr="00B47869" w:rsidRDefault="00CB5BC1" w:rsidP="00CB5BC1">
    <w:pPr>
      <w:pStyle w:val="Header"/>
      <w:tabs>
        <w:tab w:val="left" w:pos="7830"/>
      </w:tabs>
      <w:rPr>
        <w:rFonts w:cs="Arial"/>
        <w:b/>
        <w:bCs/>
        <w:i/>
        <w:color w:val="244061"/>
        <w:sz w:val="72"/>
        <w:szCs w:val="72"/>
        <w14:shadow w14:blurRad="50800" w14:dist="38100" w14:dir="2700000" w14:sx="100000" w14:sy="100000" w14:kx="0" w14:ky="0" w14:algn="tl">
          <w14:srgbClr w14:val="000000">
            <w14:alpha w14:val="60000"/>
          </w14:srgbClr>
        </w14:shadow>
      </w:rPr>
    </w:pPr>
    <w:r w:rsidRPr="00B47869">
      <w:rPr>
        <w:rFonts w:cs="Arial"/>
        <w:b/>
        <w:bCs/>
        <w:noProof/>
        <w:color w:val="008232"/>
        <w:sz w:val="72"/>
        <w:szCs w:val="72"/>
        <w14:shadow w14:blurRad="50800" w14:dist="38100" w14:dir="2700000" w14:sx="100000" w14:sy="100000" w14:kx="0" w14:ky="0" w14:algn="tl">
          <w14:srgbClr w14:val="000000">
            <w14:alpha w14:val="60000"/>
          </w14:srgbClr>
        </w14:shadow>
      </w:rPr>
      <w:drawing>
        <wp:anchor distT="0" distB="0" distL="114300" distR="114300" simplePos="0" relativeHeight="251658250" behindDoc="0" locked="0" layoutInCell="1" allowOverlap="1" wp14:anchorId="0C67B53A" wp14:editId="01A02F37">
          <wp:simplePos x="0" y="0"/>
          <wp:positionH relativeFrom="column">
            <wp:posOffset>-146685</wp:posOffset>
          </wp:positionH>
          <wp:positionV relativeFrom="paragraph">
            <wp:posOffset>115570</wp:posOffset>
          </wp:positionV>
          <wp:extent cx="1079500" cy="344170"/>
          <wp:effectExtent l="0" t="0" r="6350" b="0"/>
          <wp:wrapSquare wrapText="bothSides"/>
          <wp:docPr id="7410078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9500" cy="344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44DB" w:rsidRPr="00B47869">
      <w:rPr>
        <w:rFonts w:cs="Arial"/>
        <w:b/>
        <w:bCs/>
        <w:color w:val="008232"/>
        <w:sz w:val="72"/>
        <w:szCs w:val="72"/>
        <w14:shadow w14:blurRad="50800" w14:dist="38100" w14:dir="2700000" w14:sx="100000" w14:sy="100000" w14:kx="0" w14:ky="0" w14:algn="tl">
          <w14:srgbClr w14:val="000000">
            <w14:alpha w14:val="60000"/>
          </w14:srgbClr>
        </w14:shadow>
      </w:rPr>
      <w:t>New Medicines</w:t>
    </w:r>
    <w:r w:rsidR="000D44DB" w:rsidRPr="00B47869">
      <w:rPr>
        <w:rFonts w:cs="Arial"/>
        <w:b/>
        <w:bCs/>
        <w:i/>
        <w:color w:val="00A249"/>
        <w:sz w:val="72"/>
        <w:szCs w:val="72"/>
        <w14:shadow w14:blurRad="50800" w14:dist="38100" w14:dir="2700000" w14:sx="100000" w14:sy="100000" w14:kx="0" w14:ky="0" w14:algn="tl">
          <w14:srgbClr w14:val="000000">
            <w14:alpha w14:val="60000"/>
          </w14:srgbClr>
        </w14:shadow>
      </w:rPr>
      <w:t xml:space="preserve"> </w:t>
    </w:r>
    <w:r w:rsidR="000D44DB" w:rsidRPr="00B47869">
      <w:rPr>
        <w:rFonts w:cs="Arial"/>
        <w:b/>
        <w:bCs/>
        <w:i/>
        <w:color w:val="0070C0"/>
        <w:sz w:val="72"/>
        <w:szCs w:val="72"/>
        <w14:shadow w14:blurRad="50800" w14:dist="38100" w14:dir="2700000" w14:sx="100000" w14:sy="100000" w14:kx="0" w14:ky="0" w14:algn="tl">
          <w14:srgbClr w14:val="000000">
            <w14:alpha w14:val="60000"/>
          </w14:srgbClr>
        </w14:shadow>
      </w:rPr>
      <w:t>News</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0D44DB" w:rsidRPr="00B47869" w14:paraId="64EA4715" w14:textId="77777777" w:rsidTr="002772ED">
      <w:tc>
        <w:tcPr>
          <w:tcW w:w="10774" w:type="dxa"/>
          <w:tcBorders>
            <w:top w:val="nil"/>
            <w:left w:val="nil"/>
            <w:bottom w:val="nil"/>
            <w:right w:val="nil"/>
          </w:tcBorders>
          <w:shd w:val="clear" w:color="auto" w:fill="DAEEF3"/>
        </w:tcPr>
        <w:p w14:paraId="26855A69" w14:textId="1E8771B4" w:rsidR="000D44DB" w:rsidRPr="00B47869" w:rsidRDefault="00B44F99" w:rsidP="00EB3E6F">
          <w:pPr>
            <w:pStyle w:val="Header"/>
            <w:spacing w:before="60" w:after="60"/>
            <w:rPr>
              <w:rFonts w:cs="Arial"/>
              <w:b/>
              <w:bCs/>
              <w:color w:val="000000"/>
              <w:sz w:val="36"/>
              <w:szCs w:val="36"/>
              <w14:shadow w14:blurRad="50800" w14:dist="38100" w14:dir="2700000" w14:sx="100000" w14:sy="100000" w14:kx="0" w14:ky="0" w14:algn="tl">
                <w14:srgbClr w14:val="000000">
                  <w14:alpha w14:val="60000"/>
                </w14:srgbClr>
              </w14:shadow>
            </w:rPr>
          </w:pPr>
          <w:r w:rsidRPr="00B47869">
            <w:rPr>
              <w:rFonts w:cs="Arial"/>
              <w:b/>
              <w:bCs/>
              <w:color w:val="0070C0"/>
              <w:sz w:val="36"/>
              <w:szCs w:val="36"/>
              <w14:shadow w14:blurRad="50800" w14:dist="38100" w14:dir="2700000" w14:sx="100000" w14:sy="100000" w14:kx="0" w14:ky="0" w14:algn="tl">
                <w14:srgbClr w14:val="000000">
                  <w14:alpha w14:val="60000"/>
                </w14:srgbClr>
              </w14:shadow>
            </w:rPr>
            <w:t>January</w:t>
          </w:r>
          <w:r w:rsidR="00A75BCB" w:rsidRPr="00B47869">
            <w:rPr>
              <w:rFonts w:cs="Arial"/>
              <w:b/>
              <w:bCs/>
              <w:color w:val="0070C0"/>
              <w:sz w:val="36"/>
              <w:szCs w:val="36"/>
              <w14:shadow w14:blurRad="50800" w14:dist="38100" w14:dir="2700000" w14:sx="100000" w14:sy="100000" w14:kx="0" w14:ky="0" w14:algn="tl">
                <w14:srgbClr w14:val="000000">
                  <w14:alpha w14:val="60000"/>
                </w14:srgbClr>
              </w14:shadow>
            </w:rPr>
            <w:t xml:space="preserve"> 202</w:t>
          </w:r>
          <w:r w:rsidR="00981344" w:rsidRPr="00B47869">
            <w:rPr>
              <w:rFonts w:cs="Arial"/>
              <w:b/>
              <w:bCs/>
              <w:color w:val="0070C0"/>
              <w:sz w:val="36"/>
              <w:szCs w:val="36"/>
              <w14:shadow w14:blurRad="50800" w14:dist="38100" w14:dir="2700000" w14:sx="100000" w14:sy="100000" w14:kx="0" w14:ky="0" w14:algn="tl">
                <w14:srgbClr w14:val="000000">
                  <w14:alpha w14:val="60000"/>
                </w14:srgbClr>
              </w14:shadow>
            </w:rPr>
            <w:t>6</w:t>
          </w:r>
        </w:p>
      </w:tc>
    </w:tr>
    <w:tr w:rsidR="000D44DB" w:rsidRPr="00B47869" w14:paraId="7EA3270B" w14:textId="77777777" w:rsidTr="002772ED">
      <w:tc>
        <w:tcPr>
          <w:tcW w:w="10774" w:type="dxa"/>
          <w:tcBorders>
            <w:top w:val="nil"/>
            <w:left w:val="nil"/>
            <w:bottom w:val="nil"/>
            <w:right w:val="nil"/>
          </w:tcBorders>
          <w:shd w:val="clear" w:color="auto" w:fill="0070C0"/>
        </w:tcPr>
        <w:p w14:paraId="0AB5E1C6" w14:textId="77777777" w:rsidR="000D44DB" w:rsidRPr="00B47869" w:rsidRDefault="000D44DB" w:rsidP="00395D20">
          <w:pPr>
            <w:pStyle w:val="Header"/>
            <w:tabs>
              <w:tab w:val="clear" w:pos="4153"/>
              <w:tab w:val="clear" w:pos="8306"/>
              <w:tab w:val="left" w:pos="2197"/>
            </w:tabs>
            <w:rPr>
              <w:rFonts w:cs="Arial"/>
              <w:b/>
              <w:bCs/>
              <w:color w:val="0070C0"/>
              <w:sz w:val="8"/>
              <w:szCs w:val="8"/>
              <w14:shadow w14:blurRad="50800" w14:dist="38100" w14:dir="2700000" w14:sx="100000" w14:sy="100000" w14:kx="0" w14:ky="0" w14:algn="tl">
                <w14:srgbClr w14:val="000000">
                  <w14:alpha w14:val="60000"/>
                </w14:srgbClr>
              </w14:shadow>
            </w:rPr>
          </w:pPr>
          <w:r w:rsidRPr="00B47869">
            <w:rPr>
              <w:rFonts w:cs="Arial"/>
              <w:b/>
              <w:bCs/>
              <w:color w:val="0070C0"/>
              <w:sz w:val="28"/>
              <w:szCs w:val="28"/>
              <w14:shadow w14:blurRad="50800" w14:dist="38100" w14:dir="2700000" w14:sx="100000" w14:sy="100000" w14:kx="0" w14:ky="0" w14:algn="tl">
                <w14:srgbClr w14:val="000000">
                  <w14:alpha w14:val="60000"/>
                </w14:srgbClr>
              </w14:shadow>
            </w:rPr>
            <w:tab/>
          </w:r>
        </w:p>
      </w:tc>
    </w:tr>
    <w:tr w:rsidR="000D44DB" w:rsidRPr="00B47869" w14:paraId="14855F02" w14:textId="77777777" w:rsidTr="002772ED">
      <w:tc>
        <w:tcPr>
          <w:tcW w:w="10774" w:type="dxa"/>
          <w:tcBorders>
            <w:top w:val="nil"/>
            <w:left w:val="nil"/>
            <w:bottom w:val="nil"/>
            <w:right w:val="nil"/>
          </w:tcBorders>
          <w:shd w:val="clear" w:color="auto" w:fill="DAEEF3"/>
        </w:tcPr>
        <w:p w14:paraId="541DC117" w14:textId="46F82401" w:rsidR="000D44DB" w:rsidRPr="00B47869" w:rsidRDefault="00885CAE" w:rsidP="00CB6344">
          <w:pPr>
            <w:pStyle w:val="Header"/>
            <w:tabs>
              <w:tab w:val="clear" w:pos="4153"/>
              <w:tab w:val="clear" w:pos="8306"/>
              <w:tab w:val="left" w:pos="2197"/>
            </w:tabs>
            <w:spacing w:before="120" w:after="120"/>
            <w:rPr>
              <w:rFonts w:cs="Arial"/>
              <w:b/>
              <w:bCs/>
              <w:color w:val="0070C0"/>
              <w:sz w:val="18"/>
              <w:szCs w:val="18"/>
            </w:rPr>
          </w:pPr>
          <w:r w:rsidRPr="00B47869">
            <w:rPr>
              <w:rFonts w:cs="Arial"/>
              <w:b/>
              <w:bCs/>
              <w:color w:val="0070C0"/>
              <w:sz w:val="18"/>
              <w:szCs w:val="18"/>
            </w:rPr>
            <w:t xml:space="preserve">This newsletter is produced by </w:t>
          </w:r>
          <w:hyperlink r:id="rId3" w:history="1">
            <w:r w:rsidRPr="00B47869">
              <w:rPr>
                <w:rStyle w:val="Hyperlink"/>
                <w:rFonts w:ascii="Arial" w:hAnsi="Arial" w:cs="Arial"/>
                <w:b/>
                <w:bCs/>
              </w:rPr>
              <w:t xml:space="preserve">SPS </w:t>
            </w:r>
            <w:r w:rsidR="003C4624" w:rsidRPr="00B47869">
              <w:rPr>
                <w:rStyle w:val="Hyperlink"/>
                <w:rFonts w:ascii="Arial" w:hAnsi="Arial" w:cs="Arial"/>
                <w:b/>
                <w:bCs/>
              </w:rPr>
              <w:t>H</w:t>
            </w:r>
            <w:r w:rsidRPr="00B47869">
              <w:rPr>
                <w:rStyle w:val="Hyperlink"/>
                <w:rFonts w:ascii="Arial" w:hAnsi="Arial" w:cs="Arial"/>
                <w:b/>
                <w:bCs/>
              </w:rPr>
              <w:t xml:space="preserve">orizon </w:t>
            </w:r>
            <w:r w:rsidR="003C4624" w:rsidRPr="00B47869">
              <w:rPr>
                <w:rStyle w:val="Hyperlink"/>
                <w:rFonts w:ascii="Arial" w:hAnsi="Arial" w:cs="Arial"/>
                <w:b/>
                <w:bCs/>
              </w:rPr>
              <w:t>S</w:t>
            </w:r>
            <w:r w:rsidRPr="00B47869">
              <w:rPr>
                <w:rStyle w:val="Hyperlink"/>
                <w:rFonts w:ascii="Arial" w:hAnsi="Arial" w:cs="Arial"/>
                <w:b/>
                <w:bCs/>
              </w:rPr>
              <w:t>canning</w:t>
            </w:r>
          </w:hyperlink>
          <w:r w:rsidRPr="00B47869">
            <w:rPr>
              <w:rFonts w:cs="Arial"/>
              <w:b/>
              <w:bCs/>
              <w:color w:val="0070C0"/>
              <w:sz w:val="18"/>
              <w:szCs w:val="18"/>
            </w:rPr>
            <w:t xml:space="preserve"> and highlights recent new product launches and medicines regulatory changes. More detailed information on medicines estimated to become available for use in the next 2 financial years and on marketed medicines expected to have major new indications approved is in </w:t>
          </w:r>
          <w:hyperlink r:id="rId4" w:history="1">
            <w:r w:rsidRPr="00B47869">
              <w:rPr>
                <w:rStyle w:val="Hyperlink"/>
                <w:rFonts w:ascii="Arial" w:hAnsi="Arial" w:cs="Arial"/>
                <w:b/>
                <w:bCs/>
              </w:rPr>
              <w:t>Prescribing Outlook</w:t>
            </w:r>
          </w:hyperlink>
          <w:r w:rsidRPr="00B47869">
            <w:rPr>
              <w:rFonts w:cs="Arial"/>
              <w:b/>
              <w:bCs/>
              <w:color w:val="0070C0"/>
              <w:sz w:val="18"/>
              <w:szCs w:val="18"/>
            </w:rPr>
            <w:t>.</w:t>
          </w:r>
        </w:p>
      </w:tc>
    </w:tr>
  </w:tbl>
  <w:p w14:paraId="5B9A866C" w14:textId="77777777" w:rsidR="000D44DB" w:rsidRPr="00B47869" w:rsidRDefault="000D44DB" w:rsidP="00A56726">
    <w:pPr>
      <w:pStyle w:val="Header"/>
      <w:rPr>
        <w:rFonts w:cs="Arial"/>
        <w:b/>
        <w:bCs/>
        <w:color w:val="244061"/>
        <w:sz w:val="8"/>
        <w:szCs w:val="8"/>
        <w14:shadow w14:blurRad="50800" w14:dist="38100" w14:dir="2700000" w14:sx="100000" w14:sy="100000" w14:kx="0" w14:ky="0" w14:algn="tl">
          <w14:srgbClr w14:val="000000">
            <w14:alpha w14:val="60000"/>
          </w14:srgbClr>
        </w14:shad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7232" w14:textId="3D24C7FB" w:rsidR="0090527B" w:rsidRPr="00B47869" w:rsidRDefault="009052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54D3" w14:textId="27211BCD" w:rsidR="0090527B" w:rsidRPr="00B47869" w:rsidRDefault="009052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7885" w14:textId="3C345CAB" w:rsidR="000D44DB" w:rsidRPr="00B47869" w:rsidRDefault="00CB5BC1" w:rsidP="00AC0996">
    <w:pPr>
      <w:pStyle w:val="Header"/>
      <w:tabs>
        <w:tab w:val="clear" w:pos="8306"/>
        <w:tab w:val="left" w:pos="7830"/>
      </w:tabs>
      <w:spacing w:before="120"/>
      <w:ind w:left="-170"/>
      <w:rPr>
        <w:rFonts w:cs="Arial"/>
        <w:b/>
        <w:bCs/>
        <w:i/>
        <w:color w:val="31849B"/>
        <w:sz w:val="44"/>
        <w:szCs w:val="44"/>
        <w14:shadow w14:blurRad="50800" w14:dist="38100" w14:dir="2700000" w14:sx="100000" w14:sy="100000" w14:kx="0" w14:ky="0" w14:algn="tl">
          <w14:srgbClr w14:val="000000">
            <w14:alpha w14:val="60000"/>
          </w14:srgbClr>
        </w14:shadow>
      </w:rPr>
    </w:pPr>
    <w:r w:rsidRPr="00B47869">
      <w:rPr>
        <w:rFonts w:cs="Arial"/>
        <w:b/>
        <w:bCs/>
        <w:noProof/>
        <w:color w:val="008A3E"/>
        <w:sz w:val="72"/>
        <w:szCs w:val="72"/>
        <w14:shadow w14:blurRad="50800" w14:dist="38100" w14:dir="2700000" w14:sx="100000" w14:sy="100000" w14:kx="0" w14:ky="0" w14:algn="tl">
          <w14:srgbClr w14:val="000000">
            <w14:alpha w14:val="60000"/>
          </w14:srgbClr>
        </w14:shadow>
      </w:rPr>
      <w:drawing>
        <wp:anchor distT="0" distB="0" distL="114300" distR="114300" simplePos="0" relativeHeight="251658251" behindDoc="0" locked="0" layoutInCell="1" allowOverlap="1" wp14:anchorId="277BCD08" wp14:editId="53757CAE">
          <wp:simplePos x="0" y="0"/>
          <wp:positionH relativeFrom="column">
            <wp:posOffset>-89535</wp:posOffset>
          </wp:positionH>
          <wp:positionV relativeFrom="paragraph">
            <wp:posOffset>120650</wp:posOffset>
          </wp:positionV>
          <wp:extent cx="999490" cy="318770"/>
          <wp:effectExtent l="0" t="0" r="0" b="5080"/>
          <wp:wrapSquare wrapText="bothSides"/>
          <wp:docPr id="1918491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490" cy="318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5BCB" w:rsidRPr="00B47869">
      <w:rPr>
        <w:rFonts w:cs="Arial"/>
        <w:noProof/>
        <w:color w:val="008A3E"/>
        <w:sz w:val="40"/>
        <w:szCs w:val="40"/>
      </w:rPr>
      <w:drawing>
        <wp:anchor distT="0" distB="0" distL="114300" distR="114300" simplePos="0" relativeHeight="251658243" behindDoc="0" locked="0" layoutInCell="1" allowOverlap="1" wp14:anchorId="5D3CF1B5" wp14:editId="06118613">
          <wp:simplePos x="0" y="0"/>
          <wp:positionH relativeFrom="column">
            <wp:posOffset>6182360</wp:posOffset>
          </wp:positionH>
          <wp:positionV relativeFrom="paragraph">
            <wp:posOffset>93345</wp:posOffset>
          </wp:positionV>
          <wp:extent cx="469265" cy="192405"/>
          <wp:effectExtent l="0" t="0" r="6985" b="0"/>
          <wp:wrapNone/>
          <wp:docPr id="8" name="Picture 8"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HS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265" cy="192405"/>
                  </a:xfrm>
                  <a:prstGeom prst="rect">
                    <a:avLst/>
                  </a:prstGeom>
                  <a:noFill/>
                  <a:ln>
                    <a:noFill/>
                  </a:ln>
                </pic:spPr>
              </pic:pic>
            </a:graphicData>
          </a:graphic>
          <wp14:sizeRelH relativeFrom="page">
            <wp14:pctWidth>0</wp14:pctWidth>
          </wp14:sizeRelH>
          <wp14:sizeRelV relativeFrom="page">
            <wp14:pctHeight>0</wp14:pctHeight>
          </wp14:sizeRelV>
        </wp:anchor>
      </w:drawing>
    </w:r>
    <w:r w:rsidR="000D44DB" w:rsidRPr="00B47869">
      <w:rPr>
        <w:rFonts w:cs="Arial"/>
        <w:b/>
        <w:bCs/>
        <w:color w:val="008A3E"/>
        <w:sz w:val="44"/>
        <w:szCs w:val="44"/>
        <w14:shadow w14:blurRad="50800" w14:dist="38100" w14:dir="2700000" w14:sx="100000" w14:sy="100000" w14:kx="0" w14:ky="0" w14:algn="tl">
          <w14:srgbClr w14:val="000000">
            <w14:alpha w14:val="60000"/>
          </w14:srgbClr>
        </w14:shadow>
      </w:rPr>
      <w:t>New Medicines</w:t>
    </w:r>
    <w:r w:rsidR="000D44DB" w:rsidRPr="00B47869">
      <w:rPr>
        <w:rFonts w:cs="Arial"/>
        <w:b/>
        <w:bCs/>
        <w:i/>
        <w:color w:val="244061"/>
        <w:sz w:val="44"/>
        <w:szCs w:val="44"/>
        <w14:shadow w14:blurRad="50800" w14:dist="38100" w14:dir="2700000" w14:sx="100000" w14:sy="100000" w14:kx="0" w14:ky="0" w14:algn="tl">
          <w14:srgbClr w14:val="000000">
            <w14:alpha w14:val="60000"/>
          </w14:srgbClr>
        </w14:shadow>
      </w:rPr>
      <w:t xml:space="preserve"> </w:t>
    </w:r>
    <w:r w:rsidR="000D44DB" w:rsidRPr="00B47869">
      <w:rPr>
        <w:rFonts w:cs="Arial"/>
        <w:b/>
        <w:bCs/>
        <w:i/>
        <w:color w:val="0070C0"/>
        <w:sz w:val="44"/>
        <w:szCs w:val="44"/>
        <w14:shadow w14:blurRad="50800" w14:dist="38100" w14:dir="2700000" w14:sx="100000" w14:sy="100000" w14:kx="0" w14:ky="0" w14:algn="tl">
          <w14:srgbClr w14:val="000000">
            <w14:alpha w14:val="60000"/>
          </w14:srgbClr>
        </w14:shadow>
      </w:rPr>
      <w:t>News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8F2B" w14:textId="3C3DBA4E" w:rsidR="0090527B" w:rsidRPr="00B47869" w:rsidRDefault="00905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6pt;height:500.5pt;visibility:visible;mso-wrap-style:square" o:bullet="t">
        <v:imagedata r:id="rId1" o:title=""/>
      </v:shape>
    </w:pict>
  </w:numPicBullet>
  <w:abstractNum w:abstractNumId="0" w15:restartNumberingAfterBreak="0">
    <w:nsid w:val="429E6EF9"/>
    <w:multiLevelType w:val="multilevel"/>
    <w:tmpl w:val="29F4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055FA1"/>
    <w:multiLevelType w:val="hybridMultilevel"/>
    <w:tmpl w:val="BCF48EAE"/>
    <w:lvl w:ilvl="0" w:tplc="1AB04B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104711">
    <w:abstractNumId w:val="1"/>
  </w:num>
  <w:num w:numId="2" w16cid:durableId="42692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35"/>
    <w:rsid w:val="0000035C"/>
    <w:rsid w:val="000005B6"/>
    <w:rsid w:val="000005EF"/>
    <w:rsid w:val="00000A0A"/>
    <w:rsid w:val="00000BE4"/>
    <w:rsid w:val="00000F87"/>
    <w:rsid w:val="0000199C"/>
    <w:rsid w:val="00001F19"/>
    <w:rsid w:val="0000290B"/>
    <w:rsid w:val="00002A08"/>
    <w:rsid w:val="00003329"/>
    <w:rsid w:val="00003421"/>
    <w:rsid w:val="000034B3"/>
    <w:rsid w:val="00003C95"/>
    <w:rsid w:val="00003D95"/>
    <w:rsid w:val="000042E9"/>
    <w:rsid w:val="00005014"/>
    <w:rsid w:val="00005119"/>
    <w:rsid w:val="00005271"/>
    <w:rsid w:val="000052F0"/>
    <w:rsid w:val="00005673"/>
    <w:rsid w:val="00005703"/>
    <w:rsid w:val="000057D2"/>
    <w:rsid w:val="00005CE9"/>
    <w:rsid w:val="00006527"/>
    <w:rsid w:val="00006535"/>
    <w:rsid w:val="000065F4"/>
    <w:rsid w:val="000072EC"/>
    <w:rsid w:val="0000751E"/>
    <w:rsid w:val="000075ED"/>
    <w:rsid w:val="0000769C"/>
    <w:rsid w:val="000102A1"/>
    <w:rsid w:val="000102E8"/>
    <w:rsid w:val="00010447"/>
    <w:rsid w:val="0001067C"/>
    <w:rsid w:val="00010B1D"/>
    <w:rsid w:val="00011176"/>
    <w:rsid w:val="000111C5"/>
    <w:rsid w:val="000114B1"/>
    <w:rsid w:val="00011D4B"/>
    <w:rsid w:val="00011E5B"/>
    <w:rsid w:val="00012B74"/>
    <w:rsid w:val="00012BA7"/>
    <w:rsid w:val="00012DCA"/>
    <w:rsid w:val="00012E19"/>
    <w:rsid w:val="00012E28"/>
    <w:rsid w:val="000132A0"/>
    <w:rsid w:val="00013575"/>
    <w:rsid w:val="000135BF"/>
    <w:rsid w:val="00013853"/>
    <w:rsid w:val="00013B16"/>
    <w:rsid w:val="00013CD9"/>
    <w:rsid w:val="00013E21"/>
    <w:rsid w:val="00014028"/>
    <w:rsid w:val="00014115"/>
    <w:rsid w:val="00014240"/>
    <w:rsid w:val="0001441B"/>
    <w:rsid w:val="00014631"/>
    <w:rsid w:val="00014657"/>
    <w:rsid w:val="000148ED"/>
    <w:rsid w:val="00014AFE"/>
    <w:rsid w:val="00015455"/>
    <w:rsid w:val="000158C2"/>
    <w:rsid w:val="00015915"/>
    <w:rsid w:val="000159C6"/>
    <w:rsid w:val="00015A48"/>
    <w:rsid w:val="00015B43"/>
    <w:rsid w:val="00015B55"/>
    <w:rsid w:val="000165BE"/>
    <w:rsid w:val="000166D7"/>
    <w:rsid w:val="0001694F"/>
    <w:rsid w:val="00016C87"/>
    <w:rsid w:val="00016CDC"/>
    <w:rsid w:val="00016E17"/>
    <w:rsid w:val="000171BC"/>
    <w:rsid w:val="000173BA"/>
    <w:rsid w:val="00017787"/>
    <w:rsid w:val="0001791D"/>
    <w:rsid w:val="00017CA2"/>
    <w:rsid w:val="00017D66"/>
    <w:rsid w:val="00020261"/>
    <w:rsid w:val="000202B3"/>
    <w:rsid w:val="000202FE"/>
    <w:rsid w:val="000203F6"/>
    <w:rsid w:val="000207A7"/>
    <w:rsid w:val="000207FB"/>
    <w:rsid w:val="00020D00"/>
    <w:rsid w:val="00020FAA"/>
    <w:rsid w:val="0002143C"/>
    <w:rsid w:val="0002181A"/>
    <w:rsid w:val="000225BB"/>
    <w:rsid w:val="000225EE"/>
    <w:rsid w:val="0002265E"/>
    <w:rsid w:val="0002269F"/>
    <w:rsid w:val="00022775"/>
    <w:rsid w:val="0002291B"/>
    <w:rsid w:val="000229C8"/>
    <w:rsid w:val="00022CCE"/>
    <w:rsid w:val="00022FB9"/>
    <w:rsid w:val="0002372C"/>
    <w:rsid w:val="00023B87"/>
    <w:rsid w:val="00023E2E"/>
    <w:rsid w:val="00023FBB"/>
    <w:rsid w:val="00025142"/>
    <w:rsid w:val="00025A1E"/>
    <w:rsid w:val="00025AD9"/>
    <w:rsid w:val="00025B8F"/>
    <w:rsid w:val="00026E35"/>
    <w:rsid w:val="00026FAE"/>
    <w:rsid w:val="0002715B"/>
    <w:rsid w:val="00027AC3"/>
    <w:rsid w:val="00027B21"/>
    <w:rsid w:val="00027C1C"/>
    <w:rsid w:val="00027D1D"/>
    <w:rsid w:val="00027E7C"/>
    <w:rsid w:val="00030002"/>
    <w:rsid w:val="0003000F"/>
    <w:rsid w:val="000305BA"/>
    <w:rsid w:val="00030663"/>
    <w:rsid w:val="0003082E"/>
    <w:rsid w:val="0003092A"/>
    <w:rsid w:val="00030ADE"/>
    <w:rsid w:val="00030B98"/>
    <w:rsid w:val="00030E87"/>
    <w:rsid w:val="00031218"/>
    <w:rsid w:val="00031336"/>
    <w:rsid w:val="00031909"/>
    <w:rsid w:val="00031E46"/>
    <w:rsid w:val="000320DC"/>
    <w:rsid w:val="000322AB"/>
    <w:rsid w:val="000327BA"/>
    <w:rsid w:val="00032BD9"/>
    <w:rsid w:val="0003313C"/>
    <w:rsid w:val="00033349"/>
    <w:rsid w:val="0003344C"/>
    <w:rsid w:val="000341CF"/>
    <w:rsid w:val="0003447E"/>
    <w:rsid w:val="0003499B"/>
    <w:rsid w:val="00034BCE"/>
    <w:rsid w:val="00034E8C"/>
    <w:rsid w:val="00035436"/>
    <w:rsid w:val="0003552B"/>
    <w:rsid w:val="00035B23"/>
    <w:rsid w:val="00035CA7"/>
    <w:rsid w:val="00035D82"/>
    <w:rsid w:val="00035DBD"/>
    <w:rsid w:val="00036877"/>
    <w:rsid w:val="00036A16"/>
    <w:rsid w:val="000373F3"/>
    <w:rsid w:val="0003742D"/>
    <w:rsid w:val="000374FF"/>
    <w:rsid w:val="000375C8"/>
    <w:rsid w:val="000378F6"/>
    <w:rsid w:val="000379EB"/>
    <w:rsid w:val="00037AE9"/>
    <w:rsid w:val="00037BAB"/>
    <w:rsid w:val="00037BE4"/>
    <w:rsid w:val="00040013"/>
    <w:rsid w:val="0004019A"/>
    <w:rsid w:val="000401A1"/>
    <w:rsid w:val="00040734"/>
    <w:rsid w:val="00040B83"/>
    <w:rsid w:val="00040CA3"/>
    <w:rsid w:val="000416FC"/>
    <w:rsid w:val="00041AC8"/>
    <w:rsid w:val="00041BDC"/>
    <w:rsid w:val="0004243E"/>
    <w:rsid w:val="000427D5"/>
    <w:rsid w:val="00042CCD"/>
    <w:rsid w:val="00043342"/>
    <w:rsid w:val="000435DE"/>
    <w:rsid w:val="00043A2D"/>
    <w:rsid w:val="00043ED2"/>
    <w:rsid w:val="00044148"/>
    <w:rsid w:val="00044204"/>
    <w:rsid w:val="00044475"/>
    <w:rsid w:val="00044C33"/>
    <w:rsid w:val="000452E2"/>
    <w:rsid w:val="00045745"/>
    <w:rsid w:val="0004575D"/>
    <w:rsid w:val="000457B4"/>
    <w:rsid w:val="00045D5B"/>
    <w:rsid w:val="00045DDF"/>
    <w:rsid w:val="0004601F"/>
    <w:rsid w:val="00046375"/>
    <w:rsid w:val="00046777"/>
    <w:rsid w:val="00046C42"/>
    <w:rsid w:val="00046CCE"/>
    <w:rsid w:val="0004702B"/>
    <w:rsid w:val="0004733A"/>
    <w:rsid w:val="00047608"/>
    <w:rsid w:val="00050249"/>
    <w:rsid w:val="000507C3"/>
    <w:rsid w:val="00050920"/>
    <w:rsid w:val="0005105D"/>
    <w:rsid w:val="000515F0"/>
    <w:rsid w:val="00051791"/>
    <w:rsid w:val="000518A6"/>
    <w:rsid w:val="000519EA"/>
    <w:rsid w:val="00051B61"/>
    <w:rsid w:val="00051F32"/>
    <w:rsid w:val="000523FE"/>
    <w:rsid w:val="00052436"/>
    <w:rsid w:val="000529B6"/>
    <w:rsid w:val="00052AD4"/>
    <w:rsid w:val="00052BA6"/>
    <w:rsid w:val="00053F21"/>
    <w:rsid w:val="00054462"/>
    <w:rsid w:val="0005460C"/>
    <w:rsid w:val="00056696"/>
    <w:rsid w:val="000566A1"/>
    <w:rsid w:val="00056809"/>
    <w:rsid w:val="00056DB0"/>
    <w:rsid w:val="000570FC"/>
    <w:rsid w:val="0005783A"/>
    <w:rsid w:val="00057C03"/>
    <w:rsid w:val="00057FA2"/>
    <w:rsid w:val="0006026C"/>
    <w:rsid w:val="0006036B"/>
    <w:rsid w:val="00060AC6"/>
    <w:rsid w:val="00060BB0"/>
    <w:rsid w:val="0006109A"/>
    <w:rsid w:val="0006141D"/>
    <w:rsid w:val="00061A5F"/>
    <w:rsid w:val="00061B9D"/>
    <w:rsid w:val="00061C33"/>
    <w:rsid w:val="00061FEF"/>
    <w:rsid w:val="00062740"/>
    <w:rsid w:val="00062834"/>
    <w:rsid w:val="00062B47"/>
    <w:rsid w:val="00062F98"/>
    <w:rsid w:val="0006320B"/>
    <w:rsid w:val="00063C19"/>
    <w:rsid w:val="000646B3"/>
    <w:rsid w:val="00064C77"/>
    <w:rsid w:val="00064E8C"/>
    <w:rsid w:val="00064EB7"/>
    <w:rsid w:val="00064EF7"/>
    <w:rsid w:val="0006514E"/>
    <w:rsid w:val="000652C1"/>
    <w:rsid w:val="00065458"/>
    <w:rsid w:val="00066145"/>
    <w:rsid w:val="0006622F"/>
    <w:rsid w:val="00066787"/>
    <w:rsid w:val="00066980"/>
    <w:rsid w:val="00066A42"/>
    <w:rsid w:val="00066B48"/>
    <w:rsid w:val="00067279"/>
    <w:rsid w:val="000672F8"/>
    <w:rsid w:val="0006730B"/>
    <w:rsid w:val="00067942"/>
    <w:rsid w:val="00067D4E"/>
    <w:rsid w:val="00067D5B"/>
    <w:rsid w:val="000702DB"/>
    <w:rsid w:val="00070948"/>
    <w:rsid w:val="00070A7A"/>
    <w:rsid w:val="00071178"/>
    <w:rsid w:val="0007155B"/>
    <w:rsid w:val="000719B7"/>
    <w:rsid w:val="00071A86"/>
    <w:rsid w:val="00071BD9"/>
    <w:rsid w:val="00071DB1"/>
    <w:rsid w:val="0007203F"/>
    <w:rsid w:val="0007204B"/>
    <w:rsid w:val="00072F47"/>
    <w:rsid w:val="000733E7"/>
    <w:rsid w:val="00073808"/>
    <w:rsid w:val="00074396"/>
    <w:rsid w:val="0007446E"/>
    <w:rsid w:val="00074745"/>
    <w:rsid w:val="00074951"/>
    <w:rsid w:val="00074F67"/>
    <w:rsid w:val="0007521F"/>
    <w:rsid w:val="000752E8"/>
    <w:rsid w:val="000755B8"/>
    <w:rsid w:val="00075D05"/>
    <w:rsid w:val="00075D4B"/>
    <w:rsid w:val="0007679E"/>
    <w:rsid w:val="00077371"/>
    <w:rsid w:val="00077C0C"/>
    <w:rsid w:val="00080116"/>
    <w:rsid w:val="000808F9"/>
    <w:rsid w:val="00080A6B"/>
    <w:rsid w:val="00080EE8"/>
    <w:rsid w:val="0008125C"/>
    <w:rsid w:val="00081277"/>
    <w:rsid w:val="000813E4"/>
    <w:rsid w:val="00081417"/>
    <w:rsid w:val="0008159C"/>
    <w:rsid w:val="0008195B"/>
    <w:rsid w:val="00081CFF"/>
    <w:rsid w:val="0008258A"/>
    <w:rsid w:val="00082DF6"/>
    <w:rsid w:val="00082E64"/>
    <w:rsid w:val="0008303B"/>
    <w:rsid w:val="00083231"/>
    <w:rsid w:val="000834AE"/>
    <w:rsid w:val="00083821"/>
    <w:rsid w:val="00083FAC"/>
    <w:rsid w:val="0008405B"/>
    <w:rsid w:val="00084760"/>
    <w:rsid w:val="00085268"/>
    <w:rsid w:val="00085475"/>
    <w:rsid w:val="0008576B"/>
    <w:rsid w:val="000858D1"/>
    <w:rsid w:val="000859AA"/>
    <w:rsid w:val="00085A04"/>
    <w:rsid w:val="00085C5D"/>
    <w:rsid w:val="00085CCC"/>
    <w:rsid w:val="00085DA5"/>
    <w:rsid w:val="000863E2"/>
    <w:rsid w:val="000864A2"/>
    <w:rsid w:val="0008668D"/>
    <w:rsid w:val="00086F97"/>
    <w:rsid w:val="00087308"/>
    <w:rsid w:val="00087474"/>
    <w:rsid w:val="0008785C"/>
    <w:rsid w:val="00087A3E"/>
    <w:rsid w:val="00090233"/>
    <w:rsid w:val="000906FB"/>
    <w:rsid w:val="000907E5"/>
    <w:rsid w:val="00091245"/>
    <w:rsid w:val="00091EAA"/>
    <w:rsid w:val="00092238"/>
    <w:rsid w:val="0009243E"/>
    <w:rsid w:val="0009266A"/>
    <w:rsid w:val="00092AEC"/>
    <w:rsid w:val="000933A6"/>
    <w:rsid w:val="00093CB7"/>
    <w:rsid w:val="0009414D"/>
    <w:rsid w:val="00094388"/>
    <w:rsid w:val="00094B31"/>
    <w:rsid w:val="00094F2C"/>
    <w:rsid w:val="00094FC6"/>
    <w:rsid w:val="0009514E"/>
    <w:rsid w:val="0009515F"/>
    <w:rsid w:val="000951E1"/>
    <w:rsid w:val="000954DD"/>
    <w:rsid w:val="000955AC"/>
    <w:rsid w:val="00095653"/>
    <w:rsid w:val="000957EA"/>
    <w:rsid w:val="00095818"/>
    <w:rsid w:val="00095974"/>
    <w:rsid w:val="00095B4D"/>
    <w:rsid w:val="00095EE7"/>
    <w:rsid w:val="000966BB"/>
    <w:rsid w:val="00096800"/>
    <w:rsid w:val="00096BBF"/>
    <w:rsid w:val="00096C4B"/>
    <w:rsid w:val="0009792A"/>
    <w:rsid w:val="00097B79"/>
    <w:rsid w:val="00097E17"/>
    <w:rsid w:val="000A0040"/>
    <w:rsid w:val="000A02AD"/>
    <w:rsid w:val="000A0AFC"/>
    <w:rsid w:val="000A0B38"/>
    <w:rsid w:val="000A1199"/>
    <w:rsid w:val="000A22E9"/>
    <w:rsid w:val="000A241E"/>
    <w:rsid w:val="000A2810"/>
    <w:rsid w:val="000A289B"/>
    <w:rsid w:val="000A2C52"/>
    <w:rsid w:val="000A2E37"/>
    <w:rsid w:val="000A36D0"/>
    <w:rsid w:val="000A3B1E"/>
    <w:rsid w:val="000A41D4"/>
    <w:rsid w:val="000A421F"/>
    <w:rsid w:val="000A4BCB"/>
    <w:rsid w:val="000A4BE4"/>
    <w:rsid w:val="000A5077"/>
    <w:rsid w:val="000A50F2"/>
    <w:rsid w:val="000A534D"/>
    <w:rsid w:val="000A5ABE"/>
    <w:rsid w:val="000A5B0D"/>
    <w:rsid w:val="000A60E1"/>
    <w:rsid w:val="000A60F4"/>
    <w:rsid w:val="000A61FB"/>
    <w:rsid w:val="000A7A40"/>
    <w:rsid w:val="000A7AD6"/>
    <w:rsid w:val="000A7C5A"/>
    <w:rsid w:val="000B001D"/>
    <w:rsid w:val="000B015F"/>
    <w:rsid w:val="000B0274"/>
    <w:rsid w:val="000B038E"/>
    <w:rsid w:val="000B08CB"/>
    <w:rsid w:val="000B08D1"/>
    <w:rsid w:val="000B0A95"/>
    <w:rsid w:val="000B0ADF"/>
    <w:rsid w:val="000B0C23"/>
    <w:rsid w:val="000B18C2"/>
    <w:rsid w:val="000B1AAB"/>
    <w:rsid w:val="000B1C18"/>
    <w:rsid w:val="000B1C35"/>
    <w:rsid w:val="000B1C59"/>
    <w:rsid w:val="000B2C16"/>
    <w:rsid w:val="000B2FC7"/>
    <w:rsid w:val="000B310F"/>
    <w:rsid w:val="000B38C0"/>
    <w:rsid w:val="000B3DAA"/>
    <w:rsid w:val="000B3EEB"/>
    <w:rsid w:val="000B466E"/>
    <w:rsid w:val="000B4681"/>
    <w:rsid w:val="000B4763"/>
    <w:rsid w:val="000B4E20"/>
    <w:rsid w:val="000B4EDC"/>
    <w:rsid w:val="000B5120"/>
    <w:rsid w:val="000B515F"/>
    <w:rsid w:val="000B5605"/>
    <w:rsid w:val="000B57AA"/>
    <w:rsid w:val="000B5AF8"/>
    <w:rsid w:val="000B5F2C"/>
    <w:rsid w:val="000B6184"/>
    <w:rsid w:val="000B6843"/>
    <w:rsid w:val="000B6EB2"/>
    <w:rsid w:val="000B706F"/>
    <w:rsid w:val="000B77F8"/>
    <w:rsid w:val="000B78CC"/>
    <w:rsid w:val="000B7AE2"/>
    <w:rsid w:val="000C0203"/>
    <w:rsid w:val="000C041C"/>
    <w:rsid w:val="000C091B"/>
    <w:rsid w:val="000C0F48"/>
    <w:rsid w:val="000C0F5C"/>
    <w:rsid w:val="000C1356"/>
    <w:rsid w:val="000C18D0"/>
    <w:rsid w:val="000C1FB5"/>
    <w:rsid w:val="000C200D"/>
    <w:rsid w:val="000C20E9"/>
    <w:rsid w:val="000C2555"/>
    <w:rsid w:val="000C25C3"/>
    <w:rsid w:val="000C2DF1"/>
    <w:rsid w:val="000C35ED"/>
    <w:rsid w:val="000C3692"/>
    <w:rsid w:val="000C37AC"/>
    <w:rsid w:val="000C3B1F"/>
    <w:rsid w:val="000C43D9"/>
    <w:rsid w:val="000C44B7"/>
    <w:rsid w:val="000C458C"/>
    <w:rsid w:val="000C4D1E"/>
    <w:rsid w:val="000C5329"/>
    <w:rsid w:val="000C5D43"/>
    <w:rsid w:val="000C5F42"/>
    <w:rsid w:val="000C60E6"/>
    <w:rsid w:val="000C6548"/>
    <w:rsid w:val="000C6591"/>
    <w:rsid w:val="000C6D2E"/>
    <w:rsid w:val="000C709F"/>
    <w:rsid w:val="000C72CA"/>
    <w:rsid w:val="000C7872"/>
    <w:rsid w:val="000C7AFF"/>
    <w:rsid w:val="000C7BA9"/>
    <w:rsid w:val="000C7C7C"/>
    <w:rsid w:val="000C7CAA"/>
    <w:rsid w:val="000D0476"/>
    <w:rsid w:val="000D04C1"/>
    <w:rsid w:val="000D0624"/>
    <w:rsid w:val="000D0DF7"/>
    <w:rsid w:val="000D0E50"/>
    <w:rsid w:val="000D1171"/>
    <w:rsid w:val="000D13A6"/>
    <w:rsid w:val="000D2113"/>
    <w:rsid w:val="000D2266"/>
    <w:rsid w:val="000D2736"/>
    <w:rsid w:val="000D2C27"/>
    <w:rsid w:val="000D30E7"/>
    <w:rsid w:val="000D35F7"/>
    <w:rsid w:val="000D3646"/>
    <w:rsid w:val="000D3760"/>
    <w:rsid w:val="000D3BCC"/>
    <w:rsid w:val="000D43AC"/>
    <w:rsid w:val="000D44DB"/>
    <w:rsid w:val="000D4645"/>
    <w:rsid w:val="000D467B"/>
    <w:rsid w:val="000D58C9"/>
    <w:rsid w:val="000D5DA8"/>
    <w:rsid w:val="000D5F42"/>
    <w:rsid w:val="000D62F3"/>
    <w:rsid w:val="000D6630"/>
    <w:rsid w:val="000D682D"/>
    <w:rsid w:val="000D7E24"/>
    <w:rsid w:val="000D7EAD"/>
    <w:rsid w:val="000E06CA"/>
    <w:rsid w:val="000E07FC"/>
    <w:rsid w:val="000E0B79"/>
    <w:rsid w:val="000E0C92"/>
    <w:rsid w:val="000E0D69"/>
    <w:rsid w:val="000E0ECF"/>
    <w:rsid w:val="000E0F57"/>
    <w:rsid w:val="000E12A8"/>
    <w:rsid w:val="000E184E"/>
    <w:rsid w:val="000E1A44"/>
    <w:rsid w:val="000E1DE0"/>
    <w:rsid w:val="000E21D3"/>
    <w:rsid w:val="000E247B"/>
    <w:rsid w:val="000E247C"/>
    <w:rsid w:val="000E27E9"/>
    <w:rsid w:val="000E2A6C"/>
    <w:rsid w:val="000E2DC9"/>
    <w:rsid w:val="000E2E4B"/>
    <w:rsid w:val="000E2FF1"/>
    <w:rsid w:val="000E3DFD"/>
    <w:rsid w:val="000E4477"/>
    <w:rsid w:val="000E45E9"/>
    <w:rsid w:val="000E4A24"/>
    <w:rsid w:val="000E5217"/>
    <w:rsid w:val="000E55C5"/>
    <w:rsid w:val="000E5C17"/>
    <w:rsid w:val="000E6471"/>
    <w:rsid w:val="000E69A5"/>
    <w:rsid w:val="000E721B"/>
    <w:rsid w:val="000E74D2"/>
    <w:rsid w:val="000E789D"/>
    <w:rsid w:val="000F0055"/>
    <w:rsid w:val="000F0481"/>
    <w:rsid w:val="000F04BF"/>
    <w:rsid w:val="000F0699"/>
    <w:rsid w:val="000F078E"/>
    <w:rsid w:val="000F0BA2"/>
    <w:rsid w:val="000F0F98"/>
    <w:rsid w:val="000F1485"/>
    <w:rsid w:val="000F19E1"/>
    <w:rsid w:val="000F1B61"/>
    <w:rsid w:val="000F2032"/>
    <w:rsid w:val="000F22ED"/>
    <w:rsid w:val="000F2362"/>
    <w:rsid w:val="000F3166"/>
    <w:rsid w:val="000F35A9"/>
    <w:rsid w:val="000F377A"/>
    <w:rsid w:val="000F3964"/>
    <w:rsid w:val="000F3BFE"/>
    <w:rsid w:val="000F3C1E"/>
    <w:rsid w:val="000F3DE4"/>
    <w:rsid w:val="000F3EC1"/>
    <w:rsid w:val="000F40E6"/>
    <w:rsid w:val="000F40FF"/>
    <w:rsid w:val="000F4C32"/>
    <w:rsid w:val="000F4C9B"/>
    <w:rsid w:val="000F5060"/>
    <w:rsid w:val="000F52A7"/>
    <w:rsid w:val="000F58A1"/>
    <w:rsid w:val="000F5AA4"/>
    <w:rsid w:val="000F5AC6"/>
    <w:rsid w:val="000F5C5A"/>
    <w:rsid w:val="000F5D25"/>
    <w:rsid w:val="000F6122"/>
    <w:rsid w:val="000F613C"/>
    <w:rsid w:val="000F6985"/>
    <w:rsid w:val="000F715A"/>
    <w:rsid w:val="000F72CB"/>
    <w:rsid w:val="000F7AE5"/>
    <w:rsid w:val="000F7B5F"/>
    <w:rsid w:val="001007E8"/>
    <w:rsid w:val="0010093F"/>
    <w:rsid w:val="00100AA8"/>
    <w:rsid w:val="00100B3E"/>
    <w:rsid w:val="0010109D"/>
    <w:rsid w:val="00101327"/>
    <w:rsid w:val="001017B0"/>
    <w:rsid w:val="0010229B"/>
    <w:rsid w:val="00102869"/>
    <w:rsid w:val="00102BB5"/>
    <w:rsid w:val="001036A5"/>
    <w:rsid w:val="001044CC"/>
    <w:rsid w:val="00104591"/>
    <w:rsid w:val="00104765"/>
    <w:rsid w:val="00104B62"/>
    <w:rsid w:val="00104CAF"/>
    <w:rsid w:val="00104F3E"/>
    <w:rsid w:val="00105230"/>
    <w:rsid w:val="001054D4"/>
    <w:rsid w:val="00105520"/>
    <w:rsid w:val="0010589B"/>
    <w:rsid w:val="00105BB1"/>
    <w:rsid w:val="00105C0B"/>
    <w:rsid w:val="00105C6E"/>
    <w:rsid w:val="00105CAF"/>
    <w:rsid w:val="0010629A"/>
    <w:rsid w:val="00106609"/>
    <w:rsid w:val="00106691"/>
    <w:rsid w:val="00107637"/>
    <w:rsid w:val="001079F5"/>
    <w:rsid w:val="00107BCE"/>
    <w:rsid w:val="00107E98"/>
    <w:rsid w:val="00110139"/>
    <w:rsid w:val="00110B0E"/>
    <w:rsid w:val="00110D86"/>
    <w:rsid w:val="00110E83"/>
    <w:rsid w:val="00110F6A"/>
    <w:rsid w:val="00111092"/>
    <w:rsid w:val="00111226"/>
    <w:rsid w:val="00111231"/>
    <w:rsid w:val="00111769"/>
    <w:rsid w:val="00111903"/>
    <w:rsid w:val="001119E0"/>
    <w:rsid w:val="001122A8"/>
    <w:rsid w:val="00112340"/>
    <w:rsid w:val="00112FE4"/>
    <w:rsid w:val="0011301C"/>
    <w:rsid w:val="0011309C"/>
    <w:rsid w:val="00113644"/>
    <w:rsid w:val="00113D17"/>
    <w:rsid w:val="00113E55"/>
    <w:rsid w:val="00113F26"/>
    <w:rsid w:val="0011452F"/>
    <w:rsid w:val="001146D7"/>
    <w:rsid w:val="00114791"/>
    <w:rsid w:val="001149FA"/>
    <w:rsid w:val="00114A1E"/>
    <w:rsid w:val="00114AB9"/>
    <w:rsid w:val="00114DA9"/>
    <w:rsid w:val="00114EBA"/>
    <w:rsid w:val="00114F6B"/>
    <w:rsid w:val="0011546D"/>
    <w:rsid w:val="001155CF"/>
    <w:rsid w:val="00115872"/>
    <w:rsid w:val="00116043"/>
    <w:rsid w:val="001160C4"/>
    <w:rsid w:val="00116463"/>
    <w:rsid w:val="00116637"/>
    <w:rsid w:val="001168CC"/>
    <w:rsid w:val="001169DD"/>
    <w:rsid w:val="00116E5D"/>
    <w:rsid w:val="0011771E"/>
    <w:rsid w:val="001200DD"/>
    <w:rsid w:val="0012045D"/>
    <w:rsid w:val="001209AC"/>
    <w:rsid w:val="00120B32"/>
    <w:rsid w:val="0012143F"/>
    <w:rsid w:val="00122124"/>
    <w:rsid w:val="001221BF"/>
    <w:rsid w:val="001221E3"/>
    <w:rsid w:val="0012226D"/>
    <w:rsid w:val="0012281C"/>
    <w:rsid w:val="00122966"/>
    <w:rsid w:val="00122EC3"/>
    <w:rsid w:val="00123512"/>
    <w:rsid w:val="00123811"/>
    <w:rsid w:val="00123C6D"/>
    <w:rsid w:val="00123FBB"/>
    <w:rsid w:val="001241B1"/>
    <w:rsid w:val="00124603"/>
    <w:rsid w:val="0012477A"/>
    <w:rsid w:val="00124CBF"/>
    <w:rsid w:val="00124FE3"/>
    <w:rsid w:val="0012683D"/>
    <w:rsid w:val="00126CCD"/>
    <w:rsid w:val="00126E8C"/>
    <w:rsid w:val="00127081"/>
    <w:rsid w:val="001271F3"/>
    <w:rsid w:val="001272FC"/>
    <w:rsid w:val="0012736E"/>
    <w:rsid w:val="00127A3E"/>
    <w:rsid w:val="00130301"/>
    <w:rsid w:val="001304D0"/>
    <w:rsid w:val="00130543"/>
    <w:rsid w:val="00130B6B"/>
    <w:rsid w:val="00130D1C"/>
    <w:rsid w:val="001314D3"/>
    <w:rsid w:val="001314E0"/>
    <w:rsid w:val="0013190B"/>
    <w:rsid w:val="00131942"/>
    <w:rsid w:val="00131B41"/>
    <w:rsid w:val="00131B76"/>
    <w:rsid w:val="00131CFA"/>
    <w:rsid w:val="00131D4C"/>
    <w:rsid w:val="001325E6"/>
    <w:rsid w:val="0013261A"/>
    <w:rsid w:val="00132D15"/>
    <w:rsid w:val="001338F8"/>
    <w:rsid w:val="00134027"/>
    <w:rsid w:val="0013460E"/>
    <w:rsid w:val="00134DB3"/>
    <w:rsid w:val="00134DB5"/>
    <w:rsid w:val="00135434"/>
    <w:rsid w:val="00135B8B"/>
    <w:rsid w:val="00135D8F"/>
    <w:rsid w:val="00136298"/>
    <w:rsid w:val="00136887"/>
    <w:rsid w:val="00136EE3"/>
    <w:rsid w:val="00136FC4"/>
    <w:rsid w:val="001370F3"/>
    <w:rsid w:val="001373C5"/>
    <w:rsid w:val="0013756A"/>
    <w:rsid w:val="001375C8"/>
    <w:rsid w:val="00137605"/>
    <w:rsid w:val="00137C23"/>
    <w:rsid w:val="00137EA2"/>
    <w:rsid w:val="00140395"/>
    <w:rsid w:val="00140724"/>
    <w:rsid w:val="0014076F"/>
    <w:rsid w:val="00140EF1"/>
    <w:rsid w:val="0014109C"/>
    <w:rsid w:val="001410D6"/>
    <w:rsid w:val="00141635"/>
    <w:rsid w:val="00141796"/>
    <w:rsid w:val="001429B9"/>
    <w:rsid w:val="00142EAA"/>
    <w:rsid w:val="00144258"/>
    <w:rsid w:val="00144425"/>
    <w:rsid w:val="0014519F"/>
    <w:rsid w:val="00145426"/>
    <w:rsid w:val="001455B3"/>
    <w:rsid w:val="00145984"/>
    <w:rsid w:val="001459AF"/>
    <w:rsid w:val="00145A91"/>
    <w:rsid w:val="00145B63"/>
    <w:rsid w:val="00145CFD"/>
    <w:rsid w:val="00145DFA"/>
    <w:rsid w:val="00146059"/>
    <w:rsid w:val="001460E1"/>
    <w:rsid w:val="00146C32"/>
    <w:rsid w:val="00147177"/>
    <w:rsid w:val="001473E8"/>
    <w:rsid w:val="001474FC"/>
    <w:rsid w:val="00147874"/>
    <w:rsid w:val="00147DEE"/>
    <w:rsid w:val="00147E5F"/>
    <w:rsid w:val="00150038"/>
    <w:rsid w:val="00150095"/>
    <w:rsid w:val="00150374"/>
    <w:rsid w:val="00150648"/>
    <w:rsid w:val="001507BD"/>
    <w:rsid w:val="001508D4"/>
    <w:rsid w:val="001509A6"/>
    <w:rsid w:val="00150AB6"/>
    <w:rsid w:val="0015194F"/>
    <w:rsid w:val="0015213C"/>
    <w:rsid w:val="001521A6"/>
    <w:rsid w:val="00153126"/>
    <w:rsid w:val="00153942"/>
    <w:rsid w:val="00153ECC"/>
    <w:rsid w:val="00154281"/>
    <w:rsid w:val="0015493E"/>
    <w:rsid w:val="0015496C"/>
    <w:rsid w:val="00154F9D"/>
    <w:rsid w:val="00155081"/>
    <w:rsid w:val="001552E6"/>
    <w:rsid w:val="0015546F"/>
    <w:rsid w:val="00155A3E"/>
    <w:rsid w:val="00155BD9"/>
    <w:rsid w:val="00155D5A"/>
    <w:rsid w:val="00156078"/>
    <w:rsid w:val="00156870"/>
    <w:rsid w:val="00156AAF"/>
    <w:rsid w:val="00156CE9"/>
    <w:rsid w:val="00157445"/>
    <w:rsid w:val="001575AB"/>
    <w:rsid w:val="00157760"/>
    <w:rsid w:val="00157B8C"/>
    <w:rsid w:val="00157C96"/>
    <w:rsid w:val="00160A03"/>
    <w:rsid w:val="00160C3F"/>
    <w:rsid w:val="00160C4D"/>
    <w:rsid w:val="00160CE3"/>
    <w:rsid w:val="00161702"/>
    <w:rsid w:val="00161AC5"/>
    <w:rsid w:val="00162022"/>
    <w:rsid w:val="0016202E"/>
    <w:rsid w:val="001620E8"/>
    <w:rsid w:val="00162453"/>
    <w:rsid w:val="00162626"/>
    <w:rsid w:val="00162C56"/>
    <w:rsid w:val="0016413C"/>
    <w:rsid w:val="001642D5"/>
    <w:rsid w:val="00164CA0"/>
    <w:rsid w:val="00164FB6"/>
    <w:rsid w:val="001650FE"/>
    <w:rsid w:val="001655B0"/>
    <w:rsid w:val="001655B4"/>
    <w:rsid w:val="001655F0"/>
    <w:rsid w:val="00165695"/>
    <w:rsid w:val="0016571D"/>
    <w:rsid w:val="00165736"/>
    <w:rsid w:val="001659BD"/>
    <w:rsid w:val="001659E9"/>
    <w:rsid w:val="0016613D"/>
    <w:rsid w:val="00166961"/>
    <w:rsid w:val="00166A99"/>
    <w:rsid w:val="00166B54"/>
    <w:rsid w:val="00166B7F"/>
    <w:rsid w:val="00166E75"/>
    <w:rsid w:val="00166FC3"/>
    <w:rsid w:val="00167172"/>
    <w:rsid w:val="00167697"/>
    <w:rsid w:val="0016788F"/>
    <w:rsid w:val="001678DC"/>
    <w:rsid w:val="00167A77"/>
    <w:rsid w:val="00167B77"/>
    <w:rsid w:val="00167C18"/>
    <w:rsid w:val="001705BD"/>
    <w:rsid w:val="00170609"/>
    <w:rsid w:val="00170759"/>
    <w:rsid w:val="001709F6"/>
    <w:rsid w:val="00170A84"/>
    <w:rsid w:val="00170FE8"/>
    <w:rsid w:val="0017100D"/>
    <w:rsid w:val="001714C4"/>
    <w:rsid w:val="00171709"/>
    <w:rsid w:val="00171736"/>
    <w:rsid w:val="001719DC"/>
    <w:rsid w:val="00171B78"/>
    <w:rsid w:val="00171F52"/>
    <w:rsid w:val="0017278A"/>
    <w:rsid w:val="00172CBA"/>
    <w:rsid w:val="001731F8"/>
    <w:rsid w:val="00173504"/>
    <w:rsid w:val="001736EE"/>
    <w:rsid w:val="001738EB"/>
    <w:rsid w:val="00173AE7"/>
    <w:rsid w:val="00173BE6"/>
    <w:rsid w:val="00173F9E"/>
    <w:rsid w:val="00174031"/>
    <w:rsid w:val="00174144"/>
    <w:rsid w:val="001745D3"/>
    <w:rsid w:val="00174929"/>
    <w:rsid w:val="0017531D"/>
    <w:rsid w:val="00175832"/>
    <w:rsid w:val="00175908"/>
    <w:rsid w:val="00175B07"/>
    <w:rsid w:val="001760AF"/>
    <w:rsid w:val="0017623C"/>
    <w:rsid w:val="00176569"/>
    <w:rsid w:val="001765B1"/>
    <w:rsid w:val="001766A3"/>
    <w:rsid w:val="00176A18"/>
    <w:rsid w:val="00176C78"/>
    <w:rsid w:val="00176D60"/>
    <w:rsid w:val="00176FAB"/>
    <w:rsid w:val="00177544"/>
    <w:rsid w:val="0017769E"/>
    <w:rsid w:val="0017782F"/>
    <w:rsid w:val="00177EF9"/>
    <w:rsid w:val="0018042E"/>
    <w:rsid w:val="001804CD"/>
    <w:rsid w:val="00180B42"/>
    <w:rsid w:val="00180D2E"/>
    <w:rsid w:val="00180F31"/>
    <w:rsid w:val="00181004"/>
    <w:rsid w:val="001812E2"/>
    <w:rsid w:val="001817C8"/>
    <w:rsid w:val="00181854"/>
    <w:rsid w:val="001819C5"/>
    <w:rsid w:val="00181FA9"/>
    <w:rsid w:val="00182666"/>
    <w:rsid w:val="00182900"/>
    <w:rsid w:val="00183709"/>
    <w:rsid w:val="00183750"/>
    <w:rsid w:val="001844DA"/>
    <w:rsid w:val="00184F1D"/>
    <w:rsid w:val="00185114"/>
    <w:rsid w:val="0018553B"/>
    <w:rsid w:val="00185C20"/>
    <w:rsid w:val="00185D40"/>
    <w:rsid w:val="0018631D"/>
    <w:rsid w:val="00186487"/>
    <w:rsid w:val="0018699B"/>
    <w:rsid w:val="00186F8A"/>
    <w:rsid w:val="001873D4"/>
    <w:rsid w:val="001877D8"/>
    <w:rsid w:val="0018793A"/>
    <w:rsid w:val="00187A70"/>
    <w:rsid w:val="00187BB1"/>
    <w:rsid w:val="00187C58"/>
    <w:rsid w:val="00187CDB"/>
    <w:rsid w:val="00190171"/>
    <w:rsid w:val="001905A1"/>
    <w:rsid w:val="00190606"/>
    <w:rsid w:val="00190876"/>
    <w:rsid w:val="00190C73"/>
    <w:rsid w:val="00190CC6"/>
    <w:rsid w:val="00190DD4"/>
    <w:rsid w:val="00191B7B"/>
    <w:rsid w:val="00191C5D"/>
    <w:rsid w:val="00192083"/>
    <w:rsid w:val="00192383"/>
    <w:rsid w:val="00192F26"/>
    <w:rsid w:val="00193B7B"/>
    <w:rsid w:val="00193CF3"/>
    <w:rsid w:val="00193F5C"/>
    <w:rsid w:val="00194127"/>
    <w:rsid w:val="00194410"/>
    <w:rsid w:val="00194557"/>
    <w:rsid w:val="001948CB"/>
    <w:rsid w:val="00194D95"/>
    <w:rsid w:val="00194D9C"/>
    <w:rsid w:val="00194F99"/>
    <w:rsid w:val="00195377"/>
    <w:rsid w:val="00195A3C"/>
    <w:rsid w:val="00195D18"/>
    <w:rsid w:val="00195E3A"/>
    <w:rsid w:val="0019676F"/>
    <w:rsid w:val="0019683F"/>
    <w:rsid w:val="00196A61"/>
    <w:rsid w:val="00196A8B"/>
    <w:rsid w:val="0019715F"/>
    <w:rsid w:val="001972B1"/>
    <w:rsid w:val="001974D4"/>
    <w:rsid w:val="001975FB"/>
    <w:rsid w:val="001977EC"/>
    <w:rsid w:val="001978AE"/>
    <w:rsid w:val="00197BE4"/>
    <w:rsid w:val="001A0763"/>
    <w:rsid w:val="001A0B19"/>
    <w:rsid w:val="001A1339"/>
    <w:rsid w:val="001A1527"/>
    <w:rsid w:val="001A1555"/>
    <w:rsid w:val="001A1661"/>
    <w:rsid w:val="001A175F"/>
    <w:rsid w:val="001A19B4"/>
    <w:rsid w:val="001A1B68"/>
    <w:rsid w:val="001A1BB2"/>
    <w:rsid w:val="001A27B9"/>
    <w:rsid w:val="001A2A37"/>
    <w:rsid w:val="001A2B11"/>
    <w:rsid w:val="001A2EA5"/>
    <w:rsid w:val="001A2F36"/>
    <w:rsid w:val="001A2FFF"/>
    <w:rsid w:val="001A31FA"/>
    <w:rsid w:val="001A3496"/>
    <w:rsid w:val="001A381D"/>
    <w:rsid w:val="001A3DFA"/>
    <w:rsid w:val="001A3EF1"/>
    <w:rsid w:val="001A4093"/>
    <w:rsid w:val="001A42CE"/>
    <w:rsid w:val="001A43F6"/>
    <w:rsid w:val="001A4403"/>
    <w:rsid w:val="001A453A"/>
    <w:rsid w:val="001A46DA"/>
    <w:rsid w:val="001A4757"/>
    <w:rsid w:val="001A4D97"/>
    <w:rsid w:val="001A4FB3"/>
    <w:rsid w:val="001A501A"/>
    <w:rsid w:val="001A52CF"/>
    <w:rsid w:val="001A5914"/>
    <w:rsid w:val="001A5BFF"/>
    <w:rsid w:val="001A5E41"/>
    <w:rsid w:val="001A6195"/>
    <w:rsid w:val="001A62CD"/>
    <w:rsid w:val="001A639A"/>
    <w:rsid w:val="001A6519"/>
    <w:rsid w:val="001A6715"/>
    <w:rsid w:val="001A6A70"/>
    <w:rsid w:val="001A6F06"/>
    <w:rsid w:val="001A719C"/>
    <w:rsid w:val="001A7C03"/>
    <w:rsid w:val="001A7CE0"/>
    <w:rsid w:val="001A7D50"/>
    <w:rsid w:val="001A7E97"/>
    <w:rsid w:val="001B0F05"/>
    <w:rsid w:val="001B10C5"/>
    <w:rsid w:val="001B12D9"/>
    <w:rsid w:val="001B12FB"/>
    <w:rsid w:val="001B13B0"/>
    <w:rsid w:val="001B16C8"/>
    <w:rsid w:val="001B1A60"/>
    <w:rsid w:val="001B1CF8"/>
    <w:rsid w:val="001B20B3"/>
    <w:rsid w:val="001B20EC"/>
    <w:rsid w:val="001B3187"/>
    <w:rsid w:val="001B322B"/>
    <w:rsid w:val="001B3587"/>
    <w:rsid w:val="001B364C"/>
    <w:rsid w:val="001B38ED"/>
    <w:rsid w:val="001B3B03"/>
    <w:rsid w:val="001B3C11"/>
    <w:rsid w:val="001B3C27"/>
    <w:rsid w:val="001B3C2A"/>
    <w:rsid w:val="001B4020"/>
    <w:rsid w:val="001B406D"/>
    <w:rsid w:val="001B40C8"/>
    <w:rsid w:val="001B42D3"/>
    <w:rsid w:val="001B5580"/>
    <w:rsid w:val="001B5808"/>
    <w:rsid w:val="001B5AEE"/>
    <w:rsid w:val="001B5E4E"/>
    <w:rsid w:val="001B5EBE"/>
    <w:rsid w:val="001B608F"/>
    <w:rsid w:val="001B6210"/>
    <w:rsid w:val="001B630E"/>
    <w:rsid w:val="001B6498"/>
    <w:rsid w:val="001B6EB6"/>
    <w:rsid w:val="001B700A"/>
    <w:rsid w:val="001B7294"/>
    <w:rsid w:val="001B7AC1"/>
    <w:rsid w:val="001B7C4F"/>
    <w:rsid w:val="001B7CFF"/>
    <w:rsid w:val="001C01B8"/>
    <w:rsid w:val="001C0985"/>
    <w:rsid w:val="001C0BB4"/>
    <w:rsid w:val="001C0CFC"/>
    <w:rsid w:val="001C0F6D"/>
    <w:rsid w:val="001C12DF"/>
    <w:rsid w:val="001C162D"/>
    <w:rsid w:val="001C19C1"/>
    <w:rsid w:val="001C21C3"/>
    <w:rsid w:val="001C2379"/>
    <w:rsid w:val="001C24D1"/>
    <w:rsid w:val="001C26D4"/>
    <w:rsid w:val="001C29D1"/>
    <w:rsid w:val="001C304B"/>
    <w:rsid w:val="001C3113"/>
    <w:rsid w:val="001C3616"/>
    <w:rsid w:val="001C372A"/>
    <w:rsid w:val="001C38E9"/>
    <w:rsid w:val="001C3A55"/>
    <w:rsid w:val="001C3A64"/>
    <w:rsid w:val="001C3A6B"/>
    <w:rsid w:val="001C42F0"/>
    <w:rsid w:val="001C44CF"/>
    <w:rsid w:val="001C4891"/>
    <w:rsid w:val="001C491E"/>
    <w:rsid w:val="001C51D6"/>
    <w:rsid w:val="001C52EB"/>
    <w:rsid w:val="001C53CD"/>
    <w:rsid w:val="001C5587"/>
    <w:rsid w:val="001C5C58"/>
    <w:rsid w:val="001C5F2F"/>
    <w:rsid w:val="001C6350"/>
    <w:rsid w:val="001C6762"/>
    <w:rsid w:val="001C6A94"/>
    <w:rsid w:val="001C6F75"/>
    <w:rsid w:val="001C7BB7"/>
    <w:rsid w:val="001C7F0D"/>
    <w:rsid w:val="001D00BE"/>
    <w:rsid w:val="001D059B"/>
    <w:rsid w:val="001D0BAA"/>
    <w:rsid w:val="001D194C"/>
    <w:rsid w:val="001D19F8"/>
    <w:rsid w:val="001D1AC6"/>
    <w:rsid w:val="001D1BE1"/>
    <w:rsid w:val="001D1C22"/>
    <w:rsid w:val="001D1CB8"/>
    <w:rsid w:val="001D1EE8"/>
    <w:rsid w:val="001D25F7"/>
    <w:rsid w:val="001D2869"/>
    <w:rsid w:val="001D3504"/>
    <w:rsid w:val="001D3E33"/>
    <w:rsid w:val="001D44A9"/>
    <w:rsid w:val="001D477C"/>
    <w:rsid w:val="001D48C2"/>
    <w:rsid w:val="001D4F72"/>
    <w:rsid w:val="001D5156"/>
    <w:rsid w:val="001D51EE"/>
    <w:rsid w:val="001D553A"/>
    <w:rsid w:val="001D56D8"/>
    <w:rsid w:val="001D5D63"/>
    <w:rsid w:val="001D5E32"/>
    <w:rsid w:val="001D662A"/>
    <w:rsid w:val="001D6674"/>
    <w:rsid w:val="001D68A9"/>
    <w:rsid w:val="001D69F6"/>
    <w:rsid w:val="001D6ED1"/>
    <w:rsid w:val="001D73E9"/>
    <w:rsid w:val="001D7529"/>
    <w:rsid w:val="001D7622"/>
    <w:rsid w:val="001D7849"/>
    <w:rsid w:val="001D7EA8"/>
    <w:rsid w:val="001E0988"/>
    <w:rsid w:val="001E0B4B"/>
    <w:rsid w:val="001E1104"/>
    <w:rsid w:val="001E17EE"/>
    <w:rsid w:val="001E2057"/>
    <w:rsid w:val="001E3126"/>
    <w:rsid w:val="001E342F"/>
    <w:rsid w:val="001E3641"/>
    <w:rsid w:val="001E3BB7"/>
    <w:rsid w:val="001E4075"/>
    <w:rsid w:val="001E4458"/>
    <w:rsid w:val="001E4A4E"/>
    <w:rsid w:val="001E4EC8"/>
    <w:rsid w:val="001E5296"/>
    <w:rsid w:val="001E52D0"/>
    <w:rsid w:val="001E5898"/>
    <w:rsid w:val="001E679C"/>
    <w:rsid w:val="001E6E9B"/>
    <w:rsid w:val="001E74A2"/>
    <w:rsid w:val="001E7571"/>
    <w:rsid w:val="001E79EC"/>
    <w:rsid w:val="001E7C9C"/>
    <w:rsid w:val="001E7D80"/>
    <w:rsid w:val="001F0064"/>
    <w:rsid w:val="001F019D"/>
    <w:rsid w:val="001F02C9"/>
    <w:rsid w:val="001F04C1"/>
    <w:rsid w:val="001F066B"/>
    <w:rsid w:val="001F06CB"/>
    <w:rsid w:val="001F0917"/>
    <w:rsid w:val="001F0E07"/>
    <w:rsid w:val="001F10BF"/>
    <w:rsid w:val="001F1264"/>
    <w:rsid w:val="001F265E"/>
    <w:rsid w:val="001F27EF"/>
    <w:rsid w:val="001F2A08"/>
    <w:rsid w:val="001F2AF4"/>
    <w:rsid w:val="001F2BDD"/>
    <w:rsid w:val="001F2EC3"/>
    <w:rsid w:val="001F3A14"/>
    <w:rsid w:val="001F3F6B"/>
    <w:rsid w:val="001F4031"/>
    <w:rsid w:val="001F4041"/>
    <w:rsid w:val="001F4283"/>
    <w:rsid w:val="001F4BC4"/>
    <w:rsid w:val="001F4FE5"/>
    <w:rsid w:val="001F51FB"/>
    <w:rsid w:val="001F526D"/>
    <w:rsid w:val="001F6640"/>
    <w:rsid w:val="001F668A"/>
    <w:rsid w:val="001F692A"/>
    <w:rsid w:val="001F6A76"/>
    <w:rsid w:val="001F6B79"/>
    <w:rsid w:val="001F70B0"/>
    <w:rsid w:val="001F7219"/>
    <w:rsid w:val="001F7299"/>
    <w:rsid w:val="001F739B"/>
    <w:rsid w:val="001F74EC"/>
    <w:rsid w:val="001F7675"/>
    <w:rsid w:val="001F78C4"/>
    <w:rsid w:val="001F7A57"/>
    <w:rsid w:val="001F7BE1"/>
    <w:rsid w:val="001F7FE3"/>
    <w:rsid w:val="0020001D"/>
    <w:rsid w:val="00200066"/>
    <w:rsid w:val="0020021E"/>
    <w:rsid w:val="00200846"/>
    <w:rsid w:val="002008F6"/>
    <w:rsid w:val="00200ACA"/>
    <w:rsid w:val="00200FAF"/>
    <w:rsid w:val="0020101A"/>
    <w:rsid w:val="002012D2"/>
    <w:rsid w:val="002014B8"/>
    <w:rsid w:val="002014D6"/>
    <w:rsid w:val="00201CE7"/>
    <w:rsid w:val="0020209C"/>
    <w:rsid w:val="00202205"/>
    <w:rsid w:val="002025B5"/>
    <w:rsid w:val="00202618"/>
    <w:rsid w:val="0020266D"/>
    <w:rsid w:val="00202F0E"/>
    <w:rsid w:val="002032D7"/>
    <w:rsid w:val="002035D3"/>
    <w:rsid w:val="00203771"/>
    <w:rsid w:val="00203EAB"/>
    <w:rsid w:val="00203EED"/>
    <w:rsid w:val="0020407D"/>
    <w:rsid w:val="002048E5"/>
    <w:rsid w:val="00205930"/>
    <w:rsid w:val="00206439"/>
    <w:rsid w:val="00206457"/>
    <w:rsid w:val="00206A85"/>
    <w:rsid w:val="00206B8C"/>
    <w:rsid w:val="00206B91"/>
    <w:rsid w:val="00206F96"/>
    <w:rsid w:val="00207716"/>
    <w:rsid w:val="00210012"/>
    <w:rsid w:val="002103DD"/>
    <w:rsid w:val="00210665"/>
    <w:rsid w:val="00210DAD"/>
    <w:rsid w:val="00210E29"/>
    <w:rsid w:val="002116E1"/>
    <w:rsid w:val="00211AEA"/>
    <w:rsid w:val="00211DBE"/>
    <w:rsid w:val="00211E03"/>
    <w:rsid w:val="00211E9E"/>
    <w:rsid w:val="002122ED"/>
    <w:rsid w:val="002129BF"/>
    <w:rsid w:val="00212C2D"/>
    <w:rsid w:val="002136A6"/>
    <w:rsid w:val="00213AAA"/>
    <w:rsid w:val="0021490D"/>
    <w:rsid w:val="00214A82"/>
    <w:rsid w:val="00214C79"/>
    <w:rsid w:val="00214D19"/>
    <w:rsid w:val="00214DE3"/>
    <w:rsid w:val="00215003"/>
    <w:rsid w:val="002152D9"/>
    <w:rsid w:val="00215812"/>
    <w:rsid w:val="00215CD2"/>
    <w:rsid w:val="00215D95"/>
    <w:rsid w:val="002164C7"/>
    <w:rsid w:val="0021683B"/>
    <w:rsid w:val="00216A24"/>
    <w:rsid w:val="00216A67"/>
    <w:rsid w:val="00216AC5"/>
    <w:rsid w:val="002170B5"/>
    <w:rsid w:val="00217308"/>
    <w:rsid w:val="002173B6"/>
    <w:rsid w:val="00217568"/>
    <w:rsid w:val="00217608"/>
    <w:rsid w:val="002176E7"/>
    <w:rsid w:val="00217885"/>
    <w:rsid w:val="002178E0"/>
    <w:rsid w:val="00217AF0"/>
    <w:rsid w:val="00217B22"/>
    <w:rsid w:val="00217C37"/>
    <w:rsid w:val="00217D57"/>
    <w:rsid w:val="00217E5F"/>
    <w:rsid w:val="00220199"/>
    <w:rsid w:val="00221008"/>
    <w:rsid w:val="00221168"/>
    <w:rsid w:val="00221460"/>
    <w:rsid w:val="00221936"/>
    <w:rsid w:val="002222EC"/>
    <w:rsid w:val="00222562"/>
    <w:rsid w:val="00222611"/>
    <w:rsid w:val="0022269C"/>
    <w:rsid w:val="00223048"/>
    <w:rsid w:val="002230B3"/>
    <w:rsid w:val="00223499"/>
    <w:rsid w:val="00223525"/>
    <w:rsid w:val="00223BD2"/>
    <w:rsid w:val="002243B2"/>
    <w:rsid w:val="00224558"/>
    <w:rsid w:val="002250B5"/>
    <w:rsid w:val="00225968"/>
    <w:rsid w:val="00226AC8"/>
    <w:rsid w:val="00226B8B"/>
    <w:rsid w:val="00227007"/>
    <w:rsid w:val="00227831"/>
    <w:rsid w:val="00227D77"/>
    <w:rsid w:val="00227D9A"/>
    <w:rsid w:val="00227EE4"/>
    <w:rsid w:val="0023026E"/>
    <w:rsid w:val="002306DA"/>
    <w:rsid w:val="002308E6"/>
    <w:rsid w:val="00230AC9"/>
    <w:rsid w:val="00230ADF"/>
    <w:rsid w:val="00230D85"/>
    <w:rsid w:val="00230ED9"/>
    <w:rsid w:val="002313E1"/>
    <w:rsid w:val="0023181D"/>
    <w:rsid w:val="0023182B"/>
    <w:rsid w:val="00231D41"/>
    <w:rsid w:val="00232009"/>
    <w:rsid w:val="00232690"/>
    <w:rsid w:val="00232775"/>
    <w:rsid w:val="002328B4"/>
    <w:rsid w:val="00232CE9"/>
    <w:rsid w:val="00233281"/>
    <w:rsid w:val="00233467"/>
    <w:rsid w:val="002337E3"/>
    <w:rsid w:val="00233F46"/>
    <w:rsid w:val="002344C2"/>
    <w:rsid w:val="00234984"/>
    <w:rsid w:val="00234F01"/>
    <w:rsid w:val="002351A0"/>
    <w:rsid w:val="00235925"/>
    <w:rsid w:val="00235CCC"/>
    <w:rsid w:val="00236081"/>
    <w:rsid w:val="00236831"/>
    <w:rsid w:val="00236B8C"/>
    <w:rsid w:val="00236D6E"/>
    <w:rsid w:val="00236DF8"/>
    <w:rsid w:val="00236F7D"/>
    <w:rsid w:val="00237301"/>
    <w:rsid w:val="00237491"/>
    <w:rsid w:val="002375C3"/>
    <w:rsid w:val="00237742"/>
    <w:rsid w:val="002377CA"/>
    <w:rsid w:val="00237E30"/>
    <w:rsid w:val="002401AA"/>
    <w:rsid w:val="002403AB"/>
    <w:rsid w:val="00240540"/>
    <w:rsid w:val="002406C1"/>
    <w:rsid w:val="00240970"/>
    <w:rsid w:val="002413F9"/>
    <w:rsid w:val="002418C5"/>
    <w:rsid w:val="00241952"/>
    <w:rsid w:val="00241CE5"/>
    <w:rsid w:val="00242508"/>
    <w:rsid w:val="002428CD"/>
    <w:rsid w:val="00242E99"/>
    <w:rsid w:val="0024358F"/>
    <w:rsid w:val="002436C3"/>
    <w:rsid w:val="0024378C"/>
    <w:rsid w:val="00243B48"/>
    <w:rsid w:val="00243ED3"/>
    <w:rsid w:val="002442D2"/>
    <w:rsid w:val="002446F5"/>
    <w:rsid w:val="002452CD"/>
    <w:rsid w:val="00245778"/>
    <w:rsid w:val="002459A7"/>
    <w:rsid w:val="00245CD4"/>
    <w:rsid w:val="002461A0"/>
    <w:rsid w:val="00246381"/>
    <w:rsid w:val="0024647E"/>
    <w:rsid w:val="00246488"/>
    <w:rsid w:val="002464D6"/>
    <w:rsid w:val="00246D42"/>
    <w:rsid w:val="002474BB"/>
    <w:rsid w:val="00247547"/>
    <w:rsid w:val="0024757C"/>
    <w:rsid w:val="00247686"/>
    <w:rsid w:val="0024791E"/>
    <w:rsid w:val="00247DA9"/>
    <w:rsid w:val="00247EEF"/>
    <w:rsid w:val="00250008"/>
    <w:rsid w:val="00250197"/>
    <w:rsid w:val="00250199"/>
    <w:rsid w:val="00250BBC"/>
    <w:rsid w:val="0025166D"/>
    <w:rsid w:val="002517D6"/>
    <w:rsid w:val="00251857"/>
    <w:rsid w:val="00251CAD"/>
    <w:rsid w:val="00251CDB"/>
    <w:rsid w:val="00251F27"/>
    <w:rsid w:val="0025288D"/>
    <w:rsid w:val="0025295F"/>
    <w:rsid w:val="00252CAC"/>
    <w:rsid w:val="00252F03"/>
    <w:rsid w:val="00254068"/>
    <w:rsid w:val="00254132"/>
    <w:rsid w:val="0025437F"/>
    <w:rsid w:val="002543B7"/>
    <w:rsid w:val="002543E4"/>
    <w:rsid w:val="0025491D"/>
    <w:rsid w:val="002549B4"/>
    <w:rsid w:val="00254C66"/>
    <w:rsid w:val="00254F01"/>
    <w:rsid w:val="00255AB5"/>
    <w:rsid w:val="00255EE8"/>
    <w:rsid w:val="00255FCE"/>
    <w:rsid w:val="00256194"/>
    <w:rsid w:val="002561EB"/>
    <w:rsid w:val="002562FC"/>
    <w:rsid w:val="0025655B"/>
    <w:rsid w:val="00256DF7"/>
    <w:rsid w:val="0025779A"/>
    <w:rsid w:val="0025779D"/>
    <w:rsid w:val="0026029A"/>
    <w:rsid w:val="00260D15"/>
    <w:rsid w:val="00260E67"/>
    <w:rsid w:val="00260F20"/>
    <w:rsid w:val="00261176"/>
    <w:rsid w:val="00261393"/>
    <w:rsid w:val="002613DB"/>
    <w:rsid w:val="002618A3"/>
    <w:rsid w:val="00262123"/>
    <w:rsid w:val="00262646"/>
    <w:rsid w:val="002629FE"/>
    <w:rsid w:val="00262D2B"/>
    <w:rsid w:val="002636FF"/>
    <w:rsid w:val="002645DA"/>
    <w:rsid w:val="00264E7D"/>
    <w:rsid w:val="0026504C"/>
    <w:rsid w:val="002657DE"/>
    <w:rsid w:val="002664C8"/>
    <w:rsid w:val="00266664"/>
    <w:rsid w:val="00266C14"/>
    <w:rsid w:val="00266FD1"/>
    <w:rsid w:val="00267219"/>
    <w:rsid w:val="002676F0"/>
    <w:rsid w:val="002678EF"/>
    <w:rsid w:val="00270446"/>
    <w:rsid w:val="002709C0"/>
    <w:rsid w:val="00270D16"/>
    <w:rsid w:val="00270ED1"/>
    <w:rsid w:val="0027103B"/>
    <w:rsid w:val="0027108A"/>
    <w:rsid w:val="0027121E"/>
    <w:rsid w:val="00271908"/>
    <w:rsid w:val="002719B4"/>
    <w:rsid w:val="00271DA3"/>
    <w:rsid w:val="00272180"/>
    <w:rsid w:val="00272224"/>
    <w:rsid w:val="0027239D"/>
    <w:rsid w:val="00272821"/>
    <w:rsid w:val="00272AB6"/>
    <w:rsid w:val="00272F4D"/>
    <w:rsid w:val="0027343A"/>
    <w:rsid w:val="0027364E"/>
    <w:rsid w:val="00273CD5"/>
    <w:rsid w:val="00274631"/>
    <w:rsid w:val="00274945"/>
    <w:rsid w:val="00274BBF"/>
    <w:rsid w:val="0027520A"/>
    <w:rsid w:val="00275496"/>
    <w:rsid w:val="0027561D"/>
    <w:rsid w:val="0027585D"/>
    <w:rsid w:val="00275FB4"/>
    <w:rsid w:val="00276E24"/>
    <w:rsid w:val="002772ED"/>
    <w:rsid w:val="00277358"/>
    <w:rsid w:val="00277383"/>
    <w:rsid w:val="0027787A"/>
    <w:rsid w:val="00277E59"/>
    <w:rsid w:val="00277F37"/>
    <w:rsid w:val="00277FA6"/>
    <w:rsid w:val="002803B0"/>
    <w:rsid w:val="0028083E"/>
    <w:rsid w:val="002808C0"/>
    <w:rsid w:val="00280A17"/>
    <w:rsid w:val="002810C1"/>
    <w:rsid w:val="0028153E"/>
    <w:rsid w:val="00281667"/>
    <w:rsid w:val="00281697"/>
    <w:rsid w:val="00281FAA"/>
    <w:rsid w:val="00281FDB"/>
    <w:rsid w:val="0028231C"/>
    <w:rsid w:val="002823E7"/>
    <w:rsid w:val="002824CF"/>
    <w:rsid w:val="002830D1"/>
    <w:rsid w:val="002832D4"/>
    <w:rsid w:val="00283478"/>
    <w:rsid w:val="00283911"/>
    <w:rsid w:val="00283BF0"/>
    <w:rsid w:val="00283CB0"/>
    <w:rsid w:val="00283F18"/>
    <w:rsid w:val="00283F7A"/>
    <w:rsid w:val="00283F89"/>
    <w:rsid w:val="00284054"/>
    <w:rsid w:val="00284309"/>
    <w:rsid w:val="0028484C"/>
    <w:rsid w:val="00284A2D"/>
    <w:rsid w:val="00284AC3"/>
    <w:rsid w:val="00284BAB"/>
    <w:rsid w:val="00284BEB"/>
    <w:rsid w:val="00285217"/>
    <w:rsid w:val="00285391"/>
    <w:rsid w:val="00285468"/>
    <w:rsid w:val="00285C95"/>
    <w:rsid w:val="00285DB7"/>
    <w:rsid w:val="0028600C"/>
    <w:rsid w:val="00286614"/>
    <w:rsid w:val="0028663B"/>
    <w:rsid w:val="002872FD"/>
    <w:rsid w:val="002873A1"/>
    <w:rsid w:val="00287719"/>
    <w:rsid w:val="00287779"/>
    <w:rsid w:val="002879F7"/>
    <w:rsid w:val="00287E8A"/>
    <w:rsid w:val="00290279"/>
    <w:rsid w:val="002907BF"/>
    <w:rsid w:val="00290C6C"/>
    <w:rsid w:val="00290F29"/>
    <w:rsid w:val="002910D9"/>
    <w:rsid w:val="00291C64"/>
    <w:rsid w:val="00291ECE"/>
    <w:rsid w:val="00292281"/>
    <w:rsid w:val="002922FD"/>
    <w:rsid w:val="002928CE"/>
    <w:rsid w:val="00292D97"/>
    <w:rsid w:val="00293126"/>
    <w:rsid w:val="002931D4"/>
    <w:rsid w:val="002936FA"/>
    <w:rsid w:val="00293C95"/>
    <w:rsid w:val="00293CD8"/>
    <w:rsid w:val="002941AC"/>
    <w:rsid w:val="00294DEF"/>
    <w:rsid w:val="00295028"/>
    <w:rsid w:val="00295262"/>
    <w:rsid w:val="002955A7"/>
    <w:rsid w:val="002958D3"/>
    <w:rsid w:val="00295902"/>
    <w:rsid w:val="00295BB7"/>
    <w:rsid w:val="00295F1E"/>
    <w:rsid w:val="00295FEA"/>
    <w:rsid w:val="00296333"/>
    <w:rsid w:val="00296462"/>
    <w:rsid w:val="0029646F"/>
    <w:rsid w:val="00296580"/>
    <w:rsid w:val="00296630"/>
    <w:rsid w:val="00296802"/>
    <w:rsid w:val="002968A9"/>
    <w:rsid w:val="00296B5F"/>
    <w:rsid w:val="00296BAF"/>
    <w:rsid w:val="00296FDD"/>
    <w:rsid w:val="0029703E"/>
    <w:rsid w:val="002970D6"/>
    <w:rsid w:val="002970ED"/>
    <w:rsid w:val="00297669"/>
    <w:rsid w:val="00297711"/>
    <w:rsid w:val="00297BDD"/>
    <w:rsid w:val="00297D57"/>
    <w:rsid w:val="002A005D"/>
    <w:rsid w:val="002A0275"/>
    <w:rsid w:val="002A0C6D"/>
    <w:rsid w:val="002A0DC3"/>
    <w:rsid w:val="002A113E"/>
    <w:rsid w:val="002A13AA"/>
    <w:rsid w:val="002A1658"/>
    <w:rsid w:val="002A1691"/>
    <w:rsid w:val="002A1C66"/>
    <w:rsid w:val="002A1C73"/>
    <w:rsid w:val="002A2277"/>
    <w:rsid w:val="002A2521"/>
    <w:rsid w:val="002A27A0"/>
    <w:rsid w:val="002A3751"/>
    <w:rsid w:val="002A38A0"/>
    <w:rsid w:val="002A3F2C"/>
    <w:rsid w:val="002A4093"/>
    <w:rsid w:val="002A4128"/>
    <w:rsid w:val="002A4668"/>
    <w:rsid w:val="002A48F7"/>
    <w:rsid w:val="002A4A88"/>
    <w:rsid w:val="002A5138"/>
    <w:rsid w:val="002A5147"/>
    <w:rsid w:val="002A552B"/>
    <w:rsid w:val="002A55E2"/>
    <w:rsid w:val="002A56EA"/>
    <w:rsid w:val="002A57FC"/>
    <w:rsid w:val="002A5875"/>
    <w:rsid w:val="002A59D9"/>
    <w:rsid w:val="002A6072"/>
    <w:rsid w:val="002A64C7"/>
    <w:rsid w:val="002A6761"/>
    <w:rsid w:val="002A6BD3"/>
    <w:rsid w:val="002A6DA7"/>
    <w:rsid w:val="002A72AF"/>
    <w:rsid w:val="002A72DE"/>
    <w:rsid w:val="002A75FA"/>
    <w:rsid w:val="002A7722"/>
    <w:rsid w:val="002A7C62"/>
    <w:rsid w:val="002A7FD3"/>
    <w:rsid w:val="002B0125"/>
    <w:rsid w:val="002B0601"/>
    <w:rsid w:val="002B0C0C"/>
    <w:rsid w:val="002B0D66"/>
    <w:rsid w:val="002B10C1"/>
    <w:rsid w:val="002B10D7"/>
    <w:rsid w:val="002B1B71"/>
    <w:rsid w:val="002B1C28"/>
    <w:rsid w:val="002B1D1D"/>
    <w:rsid w:val="002B2009"/>
    <w:rsid w:val="002B20ED"/>
    <w:rsid w:val="002B23C6"/>
    <w:rsid w:val="002B2526"/>
    <w:rsid w:val="002B28AE"/>
    <w:rsid w:val="002B2EDF"/>
    <w:rsid w:val="002B2FC0"/>
    <w:rsid w:val="002B2FD5"/>
    <w:rsid w:val="002B30EB"/>
    <w:rsid w:val="002B31A3"/>
    <w:rsid w:val="002B336E"/>
    <w:rsid w:val="002B34B2"/>
    <w:rsid w:val="002B38F1"/>
    <w:rsid w:val="002B3C01"/>
    <w:rsid w:val="002B3D58"/>
    <w:rsid w:val="002B400F"/>
    <w:rsid w:val="002B435F"/>
    <w:rsid w:val="002B43A2"/>
    <w:rsid w:val="002B43C9"/>
    <w:rsid w:val="002B5110"/>
    <w:rsid w:val="002B51FD"/>
    <w:rsid w:val="002B5479"/>
    <w:rsid w:val="002B5C09"/>
    <w:rsid w:val="002B602B"/>
    <w:rsid w:val="002B64DB"/>
    <w:rsid w:val="002B6B56"/>
    <w:rsid w:val="002B6C12"/>
    <w:rsid w:val="002B72BD"/>
    <w:rsid w:val="002B7E68"/>
    <w:rsid w:val="002B7FAB"/>
    <w:rsid w:val="002C002D"/>
    <w:rsid w:val="002C029E"/>
    <w:rsid w:val="002C02C7"/>
    <w:rsid w:val="002C0380"/>
    <w:rsid w:val="002C077D"/>
    <w:rsid w:val="002C0931"/>
    <w:rsid w:val="002C10CE"/>
    <w:rsid w:val="002C1246"/>
    <w:rsid w:val="002C1393"/>
    <w:rsid w:val="002C179E"/>
    <w:rsid w:val="002C1B55"/>
    <w:rsid w:val="002C1C98"/>
    <w:rsid w:val="002C1ED9"/>
    <w:rsid w:val="002C2AC0"/>
    <w:rsid w:val="002C362D"/>
    <w:rsid w:val="002C3BCC"/>
    <w:rsid w:val="002C420F"/>
    <w:rsid w:val="002C426A"/>
    <w:rsid w:val="002C47BE"/>
    <w:rsid w:val="002C48CD"/>
    <w:rsid w:val="002C4ACD"/>
    <w:rsid w:val="002C51FF"/>
    <w:rsid w:val="002C5267"/>
    <w:rsid w:val="002C5815"/>
    <w:rsid w:val="002C5863"/>
    <w:rsid w:val="002C5BCB"/>
    <w:rsid w:val="002C5C27"/>
    <w:rsid w:val="002C5EC5"/>
    <w:rsid w:val="002C6327"/>
    <w:rsid w:val="002C656E"/>
    <w:rsid w:val="002C686F"/>
    <w:rsid w:val="002C6B91"/>
    <w:rsid w:val="002C6BA2"/>
    <w:rsid w:val="002C6CA2"/>
    <w:rsid w:val="002C6F2A"/>
    <w:rsid w:val="002C70B9"/>
    <w:rsid w:val="002C716C"/>
    <w:rsid w:val="002C78F7"/>
    <w:rsid w:val="002C7C1C"/>
    <w:rsid w:val="002D02AE"/>
    <w:rsid w:val="002D06D3"/>
    <w:rsid w:val="002D074A"/>
    <w:rsid w:val="002D0A34"/>
    <w:rsid w:val="002D13A2"/>
    <w:rsid w:val="002D1513"/>
    <w:rsid w:val="002D1592"/>
    <w:rsid w:val="002D1932"/>
    <w:rsid w:val="002D194C"/>
    <w:rsid w:val="002D1A4A"/>
    <w:rsid w:val="002D202D"/>
    <w:rsid w:val="002D219F"/>
    <w:rsid w:val="002D2442"/>
    <w:rsid w:val="002D26ED"/>
    <w:rsid w:val="002D2901"/>
    <w:rsid w:val="002D2BDD"/>
    <w:rsid w:val="002D2D26"/>
    <w:rsid w:val="002D2F9B"/>
    <w:rsid w:val="002D3267"/>
    <w:rsid w:val="002D33E0"/>
    <w:rsid w:val="002D3400"/>
    <w:rsid w:val="002D3674"/>
    <w:rsid w:val="002D4119"/>
    <w:rsid w:val="002D424E"/>
    <w:rsid w:val="002D432D"/>
    <w:rsid w:val="002D4FCA"/>
    <w:rsid w:val="002D53FA"/>
    <w:rsid w:val="002D5439"/>
    <w:rsid w:val="002D5710"/>
    <w:rsid w:val="002D57DD"/>
    <w:rsid w:val="002D582F"/>
    <w:rsid w:val="002D5B8B"/>
    <w:rsid w:val="002D5BE6"/>
    <w:rsid w:val="002D655C"/>
    <w:rsid w:val="002D69C3"/>
    <w:rsid w:val="002D6EB1"/>
    <w:rsid w:val="002D7226"/>
    <w:rsid w:val="002D779F"/>
    <w:rsid w:val="002D77A7"/>
    <w:rsid w:val="002D7C5E"/>
    <w:rsid w:val="002E070D"/>
    <w:rsid w:val="002E073E"/>
    <w:rsid w:val="002E0DCF"/>
    <w:rsid w:val="002E1352"/>
    <w:rsid w:val="002E1417"/>
    <w:rsid w:val="002E1873"/>
    <w:rsid w:val="002E2774"/>
    <w:rsid w:val="002E27E7"/>
    <w:rsid w:val="002E29CE"/>
    <w:rsid w:val="002E2B15"/>
    <w:rsid w:val="002E30EE"/>
    <w:rsid w:val="002E3651"/>
    <w:rsid w:val="002E367B"/>
    <w:rsid w:val="002E43EB"/>
    <w:rsid w:val="002E44A8"/>
    <w:rsid w:val="002E4627"/>
    <w:rsid w:val="002E4B6E"/>
    <w:rsid w:val="002E4E4E"/>
    <w:rsid w:val="002E4FB6"/>
    <w:rsid w:val="002E5146"/>
    <w:rsid w:val="002E5748"/>
    <w:rsid w:val="002E57CF"/>
    <w:rsid w:val="002E595A"/>
    <w:rsid w:val="002E5991"/>
    <w:rsid w:val="002E5CE7"/>
    <w:rsid w:val="002E64B4"/>
    <w:rsid w:val="002E64FC"/>
    <w:rsid w:val="002E701E"/>
    <w:rsid w:val="002E7020"/>
    <w:rsid w:val="002E73C6"/>
    <w:rsid w:val="002E7CC8"/>
    <w:rsid w:val="002F0135"/>
    <w:rsid w:val="002F0446"/>
    <w:rsid w:val="002F0A87"/>
    <w:rsid w:val="002F0EA1"/>
    <w:rsid w:val="002F2242"/>
    <w:rsid w:val="002F244C"/>
    <w:rsid w:val="002F24CE"/>
    <w:rsid w:val="002F24D8"/>
    <w:rsid w:val="002F27FC"/>
    <w:rsid w:val="002F299B"/>
    <w:rsid w:val="002F2A3F"/>
    <w:rsid w:val="002F2C51"/>
    <w:rsid w:val="002F3890"/>
    <w:rsid w:val="002F3B20"/>
    <w:rsid w:val="002F4ABE"/>
    <w:rsid w:val="002F4AE9"/>
    <w:rsid w:val="002F51E1"/>
    <w:rsid w:val="002F561B"/>
    <w:rsid w:val="002F5B3D"/>
    <w:rsid w:val="002F697E"/>
    <w:rsid w:val="002F6A2E"/>
    <w:rsid w:val="002F6B4E"/>
    <w:rsid w:val="002F73AB"/>
    <w:rsid w:val="002F73AD"/>
    <w:rsid w:val="00300059"/>
    <w:rsid w:val="00300393"/>
    <w:rsid w:val="00300520"/>
    <w:rsid w:val="00300AE4"/>
    <w:rsid w:val="00300C62"/>
    <w:rsid w:val="003014D1"/>
    <w:rsid w:val="00301756"/>
    <w:rsid w:val="0030185F"/>
    <w:rsid w:val="00302229"/>
    <w:rsid w:val="003022A2"/>
    <w:rsid w:val="00302636"/>
    <w:rsid w:val="0030267A"/>
    <w:rsid w:val="00302715"/>
    <w:rsid w:val="00302957"/>
    <w:rsid w:val="00302C9E"/>
    <w:rsid w:val="003034DA"/>
    <w:rsid w:val="0030355A"/>
    <w:rsid w:val="00303866"/>
    <w:rsid w:val="00303CC6"/>
    <w:rsid w:val="00303CF1"/>
    <w:rsid w:val="0030453B"/>
    <w:rsid w:val="00304577"/>
    <w:rsid w:val="00304656"/>
    <w:rsid w:val="003048BD"/>
    <w:rsid w:val="00304ABA"/>
    <w:rsid w:val="00304D42"/>
    <w:rsid w:val="0030564B"/>
    <w:rsid w:val="00305A04"/>
    <w:rsid w:val="00305AD9"/>
    <w:rsid w:val="00305F70"/>
    <w:rsid w:val="00306641"/>
    <w:rsid w:val="003069A8"/>
    <w:rsid w:val="0030711A"/>
    <w:rsid w:val="003073A2"/>
    <w:rsid w:val="003078C4"/>
    <w:rsid w:val="00307E91"/>
    <w:rsid w:val="003102EC"/>
    <w:rsid w:val="00310786"/>
    <w:rsid w:val="003111E6"/>
    <w:rsid w:val="00311634"/>
    <w:rsid w:val="003117DF"/>
    <w:rsid w:val="00311D65"/>
    <w:rsid w:val="0031223E"/>
    <w:rsid w:val="00312ECF"/>
    <w:rsid w:val="00313BDB"/>
    <w:rsid w:val="00314148"/>
    <w:rsid w:val="00314648"/>
    <w:rsid w:val="0031470E"/>
    <w:rsid w:val="00314B94"/>
    <w:rsid w:val="0031590F"/>
    <w:rsid w:val="00315B98"/>
    <w:rsid w:val="00315BBF"/>
    <w:rsid w:val="00316376"/>
    <w:rsid w:val="003163DD"/>
    <w:rsid w:val="00316455"/>
    <w:rsid w:val="003168F4"/>
    <w:rsid w:val="00316FBB"/>
    <w:rsid w:val="00317A0A"/>
    <w:rsid w:val="00317AE6"/>
    <w:rsid w:val="00317CEC"/>
    <w:rsid w:val="0032048A"/>
    <w:rsid w:val="003206E0"/>
    <w:rsid w:val="003206F5"/>
    <w:rsid w:val="003209CB"/>
    <w:rsid w:val="00320BAD"/>
    <w:rsid w:val="00320D0B"/>
    <w:rsid w:val="00320FE8"/>
    <w:rsid w:val="0032121F"/>
    <w:rsid w:val="00321788"/>
    <w:rsid w:val="00321BE4"/>
    <w:rsid w:val="00322892"/>
    <w:rsid w:val="0032292D"/>
    <w:rsid w:val="0032298C"/>
    <w:rsid w:val="003237A6"/>
    <w:rsid w:val="0032395B"/>
    <w:rsid w:val="00323C16"/>
    <w:rsid w:val="00323C42"/>
    <w:rsid w:val="00323E89"/>
    <w:rsid w:val="00324107"/>
    <w:rsid w:val="00324521"/>
    <w:rsid w:val="003247C9"/>
    <w:rsid w:val="00324E8B"/>
    <w:rsid w:val="00325027"/>
    <w:rsid w:val="0032527A"/>
    <w:rsid w:val="00325376"/>
    <w:rsid w:val="003253C8"/>
    <w:rsid w:val="00325C4E"/>
    <w:rsid w:val="00325D50"/>
    <w:rsid w:val="00325E0B"/>
    <w:rsid w:val="00325E3B"/>
    <w:rsid w:val="00326A49"/>
    <w:rsid w:val="00326D45"/>
    <w:rsid w:val="0032718E"/>
    <w:rsid w:val="003271F0"/>
    <w:rsid w:val="00327AA4"/>
    <w:rsid w:val="00327D5E"/>
    <w:rsid w:val="003304C7"/>
    <w:rsid w:val="00330516"/>
    <w:rsid w:val="00330519"/>
    <w:rsid w:val="003309C5"/>
    <w:rsid w:val="00330CB0"/>
    <w:rsid w:val="003316AF"/>
    <w:rsid w:val="00331E19"/>
    <w:rsid w:val="00332332"/>
    <w:rsid w:val="0033241E"/>
    <w:rsid w:val="003324DE"/>
    <w:rsid w:val="003326CC"/>
    <w:rsid w:val="003327C5"/>
    <w:rsid w:val="003328E3"/>
    <w:rsid w:val="00332D03"/>
    <w:rsid w:val="0033305D"/>
    <w:rsid w:val="003339B9"/>
    <w:rsid w:val="00333F11"/>
    <w:rsid w:val="0033402E"/>
    <w:rsid w:val="0033461F"/>
    <w:rsid w:val="003349B3"/>
    <w:rsid w:val="00334CFD"/>
    <w:rsid w:val="00334E1E"/>
    <w:rsid w:val="00335004"/>
    <w:rsid w:val="0033521F"/>
    <w:rsid w:val="00335FB8"/>
    <w:rsid w:val="00336166"/>
    <w:rsid w:val="003361B1"/>
    <w:rsid w:val="00336E33"/>
    <w:rsid w:val="00336EBB"/>
    <w:rsid w:val="0033762D"/>
    <w:rsid w:val="003379BA"/>
    <w:rsid w:val="00340303"/>
    <w:rsid w:val="0034038D"/>
    <w:rsid w:val="0034089C"/>
    <w:rsid w:val="00340BEA"/>
    <w:rsid w:val="00340F89"/>
    <w:rsid w:val="00341B3D"/>
    <w:rsid w:val="00341B8F"/>
    <w:rsid w:val="00341CA3"/>
    <w:rsid w:val="00341E5D"/>
    <w:rsid w:val="003420C4"/>
    <w:rsid w:val="00342233"/>
    <w:rsid w:val="00342728"/>
    <w:rsid w:val="00342C76"/>
    <w:rsid w:val="00342D6B"/>
    <w:rsid w:val="00343340"/>
    <w:rsid w:val="00343361"/>
    <w:rsid w:val="00343912"/>
    <w:rsid w:val="00343C82"/>
    <w:rsid w:val="0034409F"/>
    <w:rsid w:val="00344407"/>
    <w:rsid w:val="00344B74"/>
    <w:rsid w:val="00344C48"/>
    <w:rsid w:val="00344F44"/>
    <w:rsid w:val="00344FE7"/>
    <w:rsid w:val="00345955"/>
    <w:rsid w:val="00345C33"/>
    <w:rsid w:val="00345FAA"/>
    <w:rsid w:val="00346459"/>
    <w:rsid w:val="0034649F"/>
    <w:rsid w:val="003468F1"/>
    <w:rsid w:val="00346C32"/>
    <w:rsid w:val="00347072"/>
    <w:rsid w:val="00347414"/>
    <w:rsid w:val="003475C1"/>
    <w:rsid w:val="00347782"/>
    <w:rsid w:val="003479AF"/>
    <w:rsid w:val="00350390"/>
    <w:rsid w:val="003508FF"/>
    <w:rsid w:val="00350B83"/>
    <w:rsid w:val="00350E61"/>
    <w:rsid w:val="003512E5"/>
    <w:rsid w:val="0035147C"/>
    <w:rsid w:val="00351B63"/>
    <w:rsid w:val="00352144"/>
    <w:rsid w:val="003523AB"/>
    <w:rsid w:val="00352581"/>
    <w:rsid w:val="00352EA7"/>
    <w:rsid w:val="00353DAF"/>
    <w:rsid w:val="0035474A"/>
    <w:rsid w:val="00354CC4"/>
    <w:rsid w:val="00354D0C"/>
    <w:rsid w:val="00354DAE"/>
    <w:rsid w:val="00355241"/>
    <w:rsid w:val="0035528E"/>
    <w:rsid w:val="0035578E"/>
    <w:rsid w:val="00355825"/>
    <w:rsid w:val="00355A16"/>
    <w:rsid w:val="00355B51"/>
    <w:rsid w:val="00356626"/>
    <w:rsid w:val="00357023"/>
    <w:rsid w:val="003574E3"/>
    <w:rsid w:val="003575E6"/>
    <w:rsid w:val="00357B13"/>
    <w:rsid w:val="00357E81"/>
    <w:rsid w:val="0036014A"/>
    <w:rsid w:val="00360153"/>
    <w:rsid w:val="00360316"/>
    <w:rsid w:val="00360AE9"/>
    <w:rsid w:val="00360F70"/>
    <w:rsid w:val="003610ED"/>
    <w:rsid w:val="00361DC0"/>
    <w:rsid w:val="00361F12"/>
    <w:rsid w:val="00362096"/>
    <w:rsid w:val="003620D8"/>
    <w:rsid w:val="00362421"/>
    <w:rsid w:val="00362C25"/>
    <w:rsid w:val="003630CC"/>
    <w:rsid w:val="0036312D"/>
    <w:rsid w:val="003634C1"/>
    <w:rsid w:val="00363BA7"/>
    <w:rsid w:val="0036427D"/>
    <w:rsid w:val="00364875"/>
    <w:rsid w:val="00364C1A"/>
    <w:rsid w:val="00365813"/>
    <w:rsid w:val="00365B22"/>
    <w:rsid w:val="00365B95"/>
    <w:rsid w:val="003661C5"/>
    <w:rsid w:val="003662E5"/>
    <w:rsid w:val="003666DC"/>
    <w:rsid w:val="00366883"/>
    <w:rsid w:val="00366B6A"/>
    <w:rsid w:val="00366D64"/>
    <w:rsid w:val="00367233"/>
    <w:rsid w:val="0036771C"/>
    <w:rsid w:val="0036792E"/>
    <w:rsid w:val="00367A5E"/>
    <w:rsid w:val="00367B65"/>
    <w:rsid w:val="00367BB1"/>
    <w:rsid w:val="00367D24"/>
    <w:rsid w:val="0037050D"/>
    <w:rsid w:val="003709D5"/>
    <w:rsid w:val="00370AA8"/>
    <w:rsid w:val="00370AE9"/>
    <w:rsid w:val="00370C38"/>
    <w:rsid w:val="00371254"/>
    <w:rsid w:val="003713AE"/>
    <w:rsid w:val="003715DE"/>
    <w:rsid w:val="0037198B"/>
    <w:rsid w:val="003719D1"/>
    <w:rsid w:val="0037277E"/>
    <w:rsid w:val="0037294B"/>
    <w:rsid w:val="003729AD"/>
    <w:rsid w:val="00372E11"/>
    <w:rsid w:val="00372FAB"/>
    <w:rsid w:val="0037308D"/>
    <w:rsid w:val="003730B9"/>
    <w:rsid w:val="00373885"/>
    <w:rsid w:val="00373EB0"/>
    <w:rsid w:val="00374017"/>
    <w:rsid w:val="003745F4"/>
    <w:rsid w:val="00374661"/>
    <w:rsid w:val="00374992"/>
    <w:rsid w:val="00374E6B"/>
    <w:rsid w:val="00375D55"/>
    <w:rsid w:val="00375FF5"/>
    <w:rsid w:val="0037627E"/>
    <w:rsid w:val="003762D9"/>
    <w:rsid w:val="00376449"/>
    <w:rsid w:val="003765F0"/>
    <w:rsid w:val="00376A21"/>
    <w:rsid w:val="00376DA8"/>
    <w:rsid w:val="003770B5"/>
    <w:rsid w:val="003771CB"/>
    <w:rsid w:val="0037766D"/>
    <w:rsid w:val="00377B1E"/>
    <w:rsid w:val="00377BFB"/>
    <w:rsid w:val="00377DA9"/>
    <w:rsid w:val="0038016B"/>
    <w:rsid w:val="0038022C"/>
    <w:rsid w:val="00380683"/>
    <w:rsid w:val="003809C8"/>
    <w:rsid w:val="00380F9F"/>
    <w:rsid w:val="00381607"/>
    <w:rsid w:val="00381643"/>
    <w:rsid w:val="003818C6"/>
    <w:rsid w:val="0038195D"/>
    <w:rsid w:val="00382698"/>
    <w:rsid w:val="003826DB"/>
    <w:rsid w:val="00382762"/>
    <w:rsid w:val="0038292B"/>
    <w:rsid w:val="00382D32"/>
    <w:rsid w:val="00382E6A"/>
    <w:rsid w:val="00382F7E"/>
    <w:rsid w:val="00383059"/>
    <w:rsid w:val="003834DF"/>
    <w:rsid w:val="00383A8F"/>
    <w:rsid w:val="00383C0F"/>
    <w:rsid w:val="00383CAB"/>
    <w:rsid w:val="00383D55"/>
    <w:rsid w:val="00383E25"/>
    <w:rsid w:val="00384120"/>
    <w:rsid w:val="0038419E"/>
    <w:rsid w:val="00384865"/>
    <w:rsid w:val="00384C56"/>
    <w:rsid w:val="00384CE5"/>
    <w:rsid w:val="003857F4"/>
    <w:rsid w:val="00385BC6"/>
    <w:rsid w:val="00385EF9"/>
    <w:rsid w:val="00386415"/>
    <w:rsid w:val="003865C8"/>
    <w:rsid w:val="00386C60"/>
    <w:rsid w:val="00386D01"/>
    <w:rsid w:val="00387529"/>
    <w:rsid w:val="00387CC1"/>
    <w:rsid w:val="0039035E"/>
    <w:rsid w:val="003903F6"/>
    <w:rsid w:val="00390620"/>
    <w:rsid w:val="0039065B"/>
    <w:rsid w:val="00390732"/>
    <w:rsid w:val="00390AEA"/>
    <w:rsid w:val="0039104A"/>
    <w:rsid w:val="0039143C"/>
    <w:rsid w:val="0039174F"/>
    <w:rsid w:val="0039199B"/>
    <w:rsid w:val="003921FB"/>
    <w:rsid w:val="00392300"/>
    <w:rsid w:val="0039255E"/>
    <w:rsid w:val="00392796"/>
    <w:rsid w:val="00392C21"/>
    <w:rsid w:val="00393210"/>
    <w:rsid w:val="0039331E"/>
    <w:rsid w:val="00393882"/>
    <w:rsid w:val="003946D6"/>
    <w:rsid w:val="0039479A"/>
    <w:rsid w:val="00394B90"/>
    <w:rsid w:val="0039578A"/>
    <w:rsid w:val="00395D20"/>
    <w:rsid w:val="00395D28"/>
    <w:rsid w:val="003962B1"/>
    <w:rsid w:val="003962EA"/>
    <w:rsid w:val="00396F81"/>
    <w:rsid w:val="003972DA"/>
    <w:rsid w:val="0039753D"/>
    <w:rsid w:val="003976A2"/>
    <w:rsid w:val="003978EB"/>
    <w:rsid w:val="00397951"/>
    <w:rsid w:val="00397BEA"/>
    <w:rsid w:val="003A073D"/>
    <w:rsid w:val="003A0CDC"/>
    <w:rsid w:val="003A0D57"/>
    <w:rsid w:val="003A0E08"/>
    <w:rsid w:val="003A1183"/>
    <w:rsid w:val="003A120F"/>
    <w:rsid w:val="003A1A56"/>
    <w:rsid w:val="003A1ED5"/>
    <w:rsid w:val="003A25AD"/>
    <w:rsid w:val="003A26E3"/>
    <w:rsid w:val="003A2CE5"/>
    <w:rsid w:val="003A2F62"/>
    <w:rsid w:val="003A2F68"/>
    <w:rsid w:val="003A33D8"/>
    <w:rsid w:val="003A3782"/>
    <w:rsid w:val="003A37C9"/>
    <w:rsid w:val="003A39AA"/>
    <w:rsid w:val="003A3C8A"/>
    <w:rsid w:val="003A3F32"/>
    <w:rsid w:val="003A40BC"/>
    <w:rsid w:val="003A4BD5"/>
    <w:rsid w:val="003A4BE5"/>
    <w:rsid w:val="003A4F03"/>
    <w:rsid w:val="003A4FAF"/>
    <w:rsid w:val="003A4FDF"/>
    <w:rsid w:val="003A5141"/>
    <w:rsid w:val="003A5689"/>
    <w:rsid w:val="003A56A2"/>
    <w:rsid w:val="003A5B95"/>
    <w:rsid w:val="003A6049"/>
    <w:rsid w:val="003A6B12"/>
    <w:rsid w:val="003A6D26"/>
    <w:rsid w:val="003A6E2C"/>
    <w:rsid w:val="003A715A"/>
    <w:rsid w:val="003A7594"/>
    <w:rsid w:val="003A7659"/>
    <w:rsid w:val="003A7B3A"/>
    <w:rsid w:val="003A7D64"/>
    <w:rsid w:val="003B0061"/>
    <w:rsid w:val="003B014D"/>
    <w:rsid w:val="003B0537"/>
    <w:rsid w:val="003B0D57"/>
    <w:rsid w:val="003B0E1F"/>
    <w:rsid w:val="003B169B"/>
    <w:rsid w:val="003B1A50"/>
    <w:rsid w:val="003B23DC"/>
    <w:rsid w:val="003B2A0B"/>
    <w:rsid w:val="003B2C6B"/>
    <w:rsid w:val="003B2E04"/>
    <w:rsid w:val="003B2FCA"/>
    <w:rsid w:val="003B36CB"/>
    <w:rsid w:val="003B37EE"/>
    <w:rsid w:val="003B3A4F"/>
    <w:rsid w:val="003B3C7C"/>
    <w:rsid w:val="003B3DE4"/>
    <w:rsid w:val="003B3F00"/>
    <w:rsid w:val="003B442D"/>
    <w:rsid w:val="003B45F2"/>
    <w:rsid w:val="003B4BAE"/>
    <w:rsid w:val="003B4DE1"/>
    <w:rsid w:val="003B4F0F"/>
    <w:rsid w:val="003B4F75"/>
    <w:rsid w:val="003B5210"/>
    <w:rsid w:val="003B5364"/>
    <w:rsid w:val="003B5410"/>
    <w:rsid w:val="003B55B3"/>
    <w:rsid w:val="003B56ED"/>
    <w:rsid w:val="003B5A9C"/>
    <w:rsid w:val="003B5BC4"/>
    <w:rsid w:val="003B5DF7"/>
    <w:rsid w:val="003B5E5E"/>
    <w:rsid w:val="003B5F5B"/>
    <w:rsid w:val="003B60A5"/>
    <w:rsid w:val="003B61F9"/>
    <w:rsid w:val="003B6275"/>
    <w:rsid w:val="003B6519"/>
    <w:rsid w:val="003B6568"/>
    <w:rsid w:val="003B6AC6"/>
    <w:rsid w:val="003B755C"/>
    <w:rsid w:val="003B7E25"/>
    <w:rsid w:val="003B7ECB"/>
    <w:rsid w:val="003C010A"/>
    <w:rsid w:val="003C0C11"/>
    <w:rsid w:val="003C12D1"/>
    <w:rsid w:val="003C12E3"/>
    <w:rsid w:val="003C1324"/>
    <w:rsid w:val="003C2148"/>
    <w:rsid w:val="003C2320"/>
    <w:rsid w:val="003C236F"/>
    <w:rsid w:val="003C27A5"/>
    <w:rsid w:val="003C2BDF"/>
    <w:rsid w:val="003C2DC1"/>
    <w:rsid w:val="003C2E43"/>
    <w:rsid w:val="003C2F9E"/>
    <w:rsid w:val="003C32C5"/>
    <w:rsid w:val="003C3604"/>
    <w:rsid w:val="003C3631"/>
    <w:rsid w:val="003C39C7"/>
    <w:rsid w:val="003C3AAC"/>
    <w:rsid w:val="003C404C"/>
    <w:rsid w:val="003C41CE"/>
    <w:rsid w:val="003C44AD"/>
    <w:rsid w:val="003C4624"/>
    <w:rsid w:val="003C49A2"/>
    <w:rsid w:val="003C4C7E"/>
    <w:rsid w:val="003C4FFE"/>
    <w:rsid w:val="003C5049"/>
    <w:rsid w:val="003C558A"/>
    <w:rsid w:val="003C55C6"/>
    <w:rsid w:val="003C55E3"/>
    <w:rsid w:val="003C5C3F"/>
    <w:rsid w:val="003C5E38"/>
    <w:rsid w:val="003C6397"/>
    <w:rsid w:val="003C6399"/>
    <w:rsid w:val="003C63C2"/>
    <w:rsid w:val="003C652A"/>
    <w:rsid w:val="003C665E"/>
    <w:rsid w:val="003C69FB"/>
    <w:rsid w:val="003C71DE"/>
    <w:rsid w:val="003C7209"/>
    <w:rsid w:val="003C730A"/>
    <w:rsid w:val="003C7384"/>
    <w:rsid w:val="003C767E"/>
    <w:rsid w:val="003C78AA"/>
    <w:rsid w:val="003C79C7"/>
    <w:rsid w:val="003C7B15"/>
    <w:rsid w:val="003C7DAE"/>
    <w:rsid w:val="003C7F87"/>
    <w:rsid w:val="003C7FC2"/>
    <w:rsid w:val="003D000D"/>
    <w:rsid w:val="003D006D"/>
    <w:rsid w:val="003D033A"/>
    <w:rsid w:val="003D051B"/>
    <w:rsid w:val="003D0A61"/>
    <w:rsid w:val="003D0FB8"/>
    <w:rsid w:val="003D1616"/>
    <w:rsid w:val="003D16EF"/>
    <w:rsid w:val="003D2023"/>
    <w:rsid w:val="003D21E7"/>
    <w:rsid w:val="003D23FD"/>
    <w:rsid w:val="003D2477"/>
    <w:rsid w:val="003D2826"/>
    <w:rsid w:val="003D2915"/>
    <w:rsid w:val="003D298E"/>
    <w:rsid w:val="003D2E40"/>
    <w:rsid w:val="003D2ECA"/>
    <w:rsid w:val="003D3467"/>
    <w:rsid w:val="003D3668"/>
    <w:rsid w:val="003D3A89"/>
    <w:rsid w:val="003D3AF3"/>
    <w:rsid w:val="003D42F1"/>
    <w:rsid w:val="003D4486"/>
    <w:rsid w:val="003D4D1D"/>
    <w:rsid w:val="003D4EDC"/>
    <w:rsid w:val="003D4FF9"/>
    <w:rsid w:val="003D507F"/>
    <w:rsid w:val="003D5530"/>
    <w:rsid w:val="003D560C"/>
    <w:rsid w:val="003D5961"/>
    <w:rsid w:val="003D5A56"/>
    <w:rsid w:val="003D5CE8"/>
    <w:rsid w:val="003D5E09"/>
    <w:rsid w:val="003D64A6"/>
    <w:rsid w:val="003D6C63"/>
    <w:rsid w:val="003D6D36"/>
    <w:rsid w:val="003D6ED6"/>
    <w:rsid w:val="003D751B"/>
    <w:rsid w:val="003D76E5"/>
    <w:rsid w:val="003D781E"/>
    <w:rsid w:val="003D7A02"/>
    <w:rsid w:val="003D7C32"/>
    <w:rsid w:val="003D7C90"/>
    <w:rsid w:val="003E06F6"/>
    <w:rsid w:val="003E079F"/>
    <w:rsid w:val="003E097D"/>
    <w:rsid w:val="003E0FBF"/>
    <w:rsid w:val="003E10D0"/>
    <w:rsid w:val="003E1131"/>
    <w:rsid w:val="003E137F"/>
    <w:rsid w:val="003E14C9"/>
    <w:rsid w:val="003E18C3"/>
    <w:rsid w:val="003E26ED"/>
    <w:rsid w:val="003E2A10"/>
    <w:rsid w:val="003E2D28"/>
    <w:rsid w:val="003E2FF0"/>
    <w:rsid w:val="003E337B"/>
    <w:rsid w:val="003E3AB7"/>
    <w:rsid w:val="003E4923"/>
    <w:rsid w:val="003E4D74"/>
    <w:rsid w:val="003E51A4"/>
    <w:rsid w:val="003E5319"/>
    <w:rsid w:val="003E58C2"/>
    <w:rsid w:val="003E5916"/>
    <w:rsid w:val="003E5A76"/>
    <w:rsid w:val="003E6376"/>
    <w:rsid w:val="003E6687"/>
    <w:rsid w:val="003E6B27"/>
    <w:rsid w:val="003E6B9D"/>
    <w:rsid w:val="003E72B1"/>
    <w:rsid w:val="003E764F"/>
    <w:rsid w:val="003E7A12"/>
    <w:rsid w:val="003E7AC5"/>
    <w:rsid w:val="003E7DC6"/>
    <w:rsid w:val="003F00DF"/>
    <w:rsid w:val="003F02CB"/>
    <w:rsid w:val="003F0522"/>
    <w:rsid w:val="003F0FD9"/>
    <w:rsid w:val="003F12EC"/>
    <w:rsid w:val="003F14FD"/>
    <w:rsid w:val="003F172A"/>
    <w:rsid w:val="003F1C3D"/>
    <w:rsid w:val="003F1FDA"/>
    <w:rsid w:val="003F23D3"/>
    <w:rsid w:val="003F25E9"/>
    <w:rsid w:val="003F2602"/>
    <w:rsid w:val="003F2678"/>
    <w:rsid w:val="003F2797"/>
    <w:rsid w:val="003F2FAE"/>
    <w:rsid w:val="003F33C3"/>
    <w:rsid w:val="003F37AB"/>
    <w:rsid w:val="003F387F"/>
    <w:rsid w:val="003F3ABA"/>
    <w:rsid w:val="003F3E96"/>
    <w:rsid w:val="003F452D"/>
    <w:rsid w:val="003F45D6"/>
    <w:rsid w:val="003F4BFE"/>
    <w:rsid w:val="003F4F25"/>
    <w:rsid w:val="003F5BE6"/>
    <w:rsid w:val="003F60FD"/>
    <w:rsid w:val="003F6D16"/>
    <w:rsid w:val="003F6D25"/>
    <w:rsid w:val="003F6F5A"/>
    <w:rsid w:val="003F7603"/>
    <w:rsid w:val="003F788F"/>
    <w:rsid w:val="003F797D"/>
    <w:rsid w:val="003F7A45"/>
    <w:rsid w:val="0040000C"/>
    <w:rsid w:val="004001E8"/>
    <w:rsid w:val="00400302"/>
    <w:rsid w:val="004009D9"/>
    <w:rsid w:val="00400F52"/>
    <w:rsid w:val="0040139D"/>
    <w:rsid w:val="00401764"/>
    <w:rsid w:val="0040189C"/>
    <w:rsid w:val="00401C21"/>
    <w:rsid w:val="0040205C"/>
    <w:rsid w:val="00402A89"/>
    <w:rsid w:val="00403293"/>
    <w:rsid w:val="0040338B"/>
    <w:rsid w:val="004035DD"/>
    <w:rsid w:val="004038B3"/>
    <w:rsid w:val="0040398A"/>
    <w:rsid w:val="00403CA0"/>
    <w:rsid w:val="00403E2F"/>
    <w:rsid w:val="00404BDC"/>
    <w:rsid w:val="00404D7B"/>
    <w:rsid w:val="00404E4D"/>
    <w:rsid w:val="00405871"/>
    <w:rsid w:val="00405CD9"/>
    <w:rsid w:val="0040653F"/>
    <w:rsid w:val="00406651"/>
    <w:rsid w:val="00406703"/>
    <w:rsid w:val="00406B25"/>
    <w:rsid w:val="00406BCD"/>
    <w:rsid w:val="0040736D"/>
    <w:rsid w:val="00407382"/>
    <w:rsid w:val="0040745B"/>
    <w:rsid w:val="0040758D"/>
    <w:rsid w:val="00407E97"/>
    <w:rsid w:val="00410065"/>
    <w:rsid w:val="00411FC4"/>
    <w:rsid w:val="0041234E"/>
    <w:rsid w:val="0041253D"/>
    <w:rsid w:val="00412813"/>
    <w:rsid w:val="004129C0"/>
    <w:rsid w:val="00412EE0"/>
    <w:rsid w:val="0041338E"/>
    <w:rsid w:val="004133C3"/>
    <w:rsid w:val="00413660"/>
    <w:rsid w:val="0041378A"/>
    <w:rsid w:val="004137F1"/>
    <w:rsid w:val="0041384B"/>
    <w:rsid w:val="004138A4"/>
    <w:rsid w:val="00413C32"/>
    <w:rsid w:val="00413FDF"/>
    <w:rsid w:val="00414055"/>
    <w:rsid w:val="004143E8"/>
    <w:rsid w:val="004144CF"/>
    <w:rsid w:val="0041463A"/>
    <w:rsid w:val="0041476E"/>
    <w:rsid w:val="00414823"/>
    <w:rsid w:val="004152CD"/>
    <w:rsid w:val="0041555C"/>
    <w:rsid w:val="00415A63"/>
    <w:rsid w:val="00415AC4"/>
    <w:rsid w:val="00415ED1"/>
    <w:rsid w:val="0041620C"/>
    <w:rsid w:val="00416BBD"/>
    <w:rsid w:val="00416C06"/>
    <w:rsid w:val="00416C36"/>
    <w:rsid w:val="004172A8"/>
    <w:rsid w:val="0041733C"/>
    <w:rsid w:val="0041772B"/>
    <w:rsid w:val="004179DB"/>
    <w:rsid w:val="004179EA"/>
    <w:rsid w:val="00417D4E"/>
    <w:rsid w:val="004200C3"/>
    <w:rsid w:val="00420212"/>
    <w:rsid w:val="00420865"/>
    <w:rsid w:val="00420A55"/>
    <w:rsid w:val="00420A5C"/>
    <w:rsid w:val="00420E60"/>
    <w:rsid w:val="0042178F"/>
    <w:rsid w:val="0042190C"/>
    <w:rsid w:val="004219A7"/>
    <w:rsid w:val="00422049"/>
    <w:rsid w:val="00422232"/>
    <w:rsid w:val="0042226E"/>
    <w:rsid w:val="004222F3"/>
    <w:rsid w:val="00423192"/>
    <w:rsid w:val="00423459"/>
    <w:rsid w:val="00423816"/>
    <w:rsid w:val="00423B70"/>
    <w:rsid w:val="00423BE9"/>
    <w:rsid w:val="00423D75"/>
    <w:rsid w:val="0042453A"/>
    <w:rsid w:val="0042465E"/>
    <w:rsid w:val="00424683"/>
    <w:rsid w:val="004246C9"/>
    <w:rsid w:val="00424B98"/>
    <w:rsid w:val="00424B9C"/>
    <w:rsid w:val="00425006"/>
    <w:rsid w:val="004255E5"/>
    <w:rsid w:val="00425DEC"/>
    <w:rsid w:val="004263BC"/>
    <w:rsid w:val="004270FE"/>
    <w:rsid w:val="0042793F"/>
    <w:rsid w:val="00427D7C"/>
    <w:rsid w:val="00430378"/>
    <w:rsid w:val="00430858"/>
    <w:rsid w:val="00430BD9"/>
    <w:rsid w:val="0043106B"/>
    <w:rsid w:val="0043119A"/>
    <w:rsid w:val="004312B6"/>
    <w:rsid w:val="0043178A"/>
    <w:rsid w:val="004317C7"/>
    <w:rsid w:val="00431A22"/>
    <w:rsid w:val="0043230A"/>
    <w:rsid w:val="0043233C"/>
    <w:rsid w:val="00432422"/>
    <w:rsid w:val="004324FB"/>
    <w:rsid w:val="00432B97"/>
    <w:rsid w:val="004334FB"/>
    <w:rsid w:val="004336E6"/>
    <w:rsid w:val="004337C6"/>
    <w:rsid w:val="0043393D"/>
    <w:rsid w:val="00433D25"/>
    <w:rsid w:val="00433D3E"/>
    <w:rsid w:val="00433F16"/>
    <w:rsid w:val="00434140"/>
    <w:rsid w:val="00434275"/>
    <w:rsid w:val="004346A9"/>
    <w:rsid w:val="00434904"/>
    <w:rsid w:val="00434B5B"/>
    <w:rsid w:val="00434B6E"/>
    <w:rsid w:val="00434EAB"/>
    <w:rsid w:val="00435761"/>
    <w:rsid w:val="00435AD6"/>
    <w:rsid w:val="004362B0"/>
    <w:rsid w:val="00436464"/>
    <w:rsid w:val="0043651B"/>
    <w:rsid w:val="004367C1"/>
    <w:rsid w:val="00436EBA"/>
    <w:rsid w:val="00436F1D"/>
    <w:rsid w:val="00436F32"/>
    <w:rsid w:val="00436F50"/>
    <w:rsid w:val="004373A2"/>
    <w:rsid w:val="0043769C"/>
    <w:rsid w:val="004376DB"/>
    <w:rsid w:val="004376EE"/>
    <w:rsid w:val="00437764"/>
    <w:rsid w:val="00437925"/>
    <w:rsid w:val="00437AA7"/>
    <w:rsid w:val="00437ABF"/>
    <w:rsid w:val="00437E05"/>
    <w:rsid w:val="00437E4C"/>
    <w:rsid w:val="00440608"/>
    <w:rsid w:val="004406EE"/>
    <w:rsid w:val="00440855"/>
    <w:rsid w:val="00440F2E"/>
    <w:rsid w:val="00441251"/>
    <w:rsid w:val="00441324"/>
    <w:rsid w:val="004413AD"/>
    <w:rsid w:val="004414B8"/>
    <w:rsid w:val="0044178A"/>
    <w:rsid w:val="004418A6"/>
    <w:rsid w:val="00441A2F"/>
    <w:rsid w:val="00441F70"/>
    <w:rsid w:val="004425FA"/>
    <w:rsid w:val="004426B8"/>
    <w:rsid w:val="004428CE"/>
    <w:rsid w:val="00442EC7"/>
    <w:rsid w:val="00442F62"/>
    <w:rsid w:val="00443120"/>
    <w:rsid w:val="00443D7E"/>
    <w:rsid w:val="00443E53"/>
    <w:rsid w:val="00443E6D"/>
    <w:rsid w:val="0044411D"/>
    <w:rsid w:val="004442B5"/>
    <w:rsid w:val="00444A3B"/>
    <w:rsid w:val="00444C15"/>
    <w:rsid w:val="00444DE6"/>
    <w:rsid w:val="00444FE2"/>
    <w:rsid w:val="00445674"/>
    <w:rsid w:val="00445828"/>
    <w:rsid w:val="00445954"/>
    <w:rsid w:val="00445DC2"/>
    <w:rsid w:val="00445F43"/>
    <w:rsid w:val="004467D3"/>
    <w:rsid w:val="004468E5"/>
    <w:rsid w:val="00446B0F"/>
    <w:rsid w:val="00446DC5"/>
    <w:rsid w:val="00446E09"/>
    <w:rsid w:val="00446EBD"/>
    <w:rsid w:val="00447030"/>
    <w:rsid w:val="00447884"/>
    <w:rsid w:val="00447B74"/>
    <w:rsid w:val="00447E6B"/>
    <w:rsid w:val="00447EB2"/>
    <w:rsid w:val="00447F8E"/>
    <w:rsid w:val="00450AEA"/>
    <w:rsid w:val="00450FDD"/>
    <w:rsid w:val="0045175C"/>
    <w:rsid w:val="00451C3D"/>
    <w:rsid w:val="00452298"/>
    <w:rsid w:val="004526DA"/>
    <w:rsid w:val="00452C33"/>
    <w:rsid w:val="00452C7B"/>
    <w:rsid w:val="00452CD6"/>
    <w:rsid w:val="0045334B"/>
    <w:rsid w:val="0045456C"/>
    <w:rsid w:val="004545B7"/>
    <w:rsid w:val="00454FF5"/>
    <w:rsid w:val="004551A9"/>
    <w:rsid w:val="0045595B"/>
    <w:rsid w:val="004559AE"/>
    <w:rsid w:val="00455D79"/>
    <w:rsid w:val="00455F0E"/>
    <w:rsid w:val="00456453"/>
    <w:rsid w:val="00456B6B"/>
    <w:rsid w:val="00456BE5"/>
    <w:rsid w:val="00456DFE"/>
    <w:rsid w:val="004573E5"/>
    <w:rsid w:val="00457544"/>
    <w:rsid w:val="00457999"/>
    <w:rsid w:val="00457A73"/>
    <w:rsid w:val="00457E4A"/>
    <w:rsid w:val="00457F43"/>
    <w:rsid w:val="00460642"/>
    <w:rsid w:val="00460A31"/>
    <w:rsid w:val="00460B3B"/>
    <w:rsid w:val="00460B68"/>
    <w:rsid w:val="00461CC8"/>
    <w:rsid w:val="00462038"/>
    <w:rsid w:val="0046286D"/>
    <w:rsid w:val="004629AB"/>
    <w:rsid w:val="00463171"/>
    <w:rsid w:val="004633E0"/>
    <w:rsid w:val="0046387D"/>
    <w:rsid w:val="004638DB"/>
    <w:rsid w:val="004642B4"/>
    <w:rsid w:val="0046486E"/>
    <w:rsid w:val="00464A42"/>
    <w:rsid w:val="00464CAE"/>
    <w:rsid w:val="00464E42"/>
    <w:rsid w:val="0046502C"/>
    <w:rsid w:val="004650E4"/>
    <w:rsid w:val="004655C6"/>
    <w:rsid w:val="00465634"/>
    <w:rsid w:val="004656BF"/>
    <w:rsid w:val="00465D17"/>
    <w:rsid w:val="004664DB"/>
    <w:rsid w:val="0046658D"/>
    <w:rsid w:val="00466FB5"/>
    <w:rsid w:val="004703E1"/>
    <w:rsid w:val="004709B2"/>
    <w:rsid w:val="00470BAF"/>
    <w:rsid w:val="00470C96"/>
    <w:rsid w:val="00470D00"/>
    <w:rsid w:val="00471B00"/>
    <w:rsid w:val="00472AE1"/>
    <w:rsid w:val="00472EA9"/>
    <w:rsid w:val="00473157"/>
    <w:rsid w:val="00473176"/>
    <w:rsid w:val="004734B6"/>
    <w:rsid w:val="004734C5"/>
    <w:rsid w:val="0047364B"/>
    <w:rsid w:val="0047374E"/>
    <w:rsid w:val="00473B3D"/>
    <w:rsid w:val="00473E7E"/>
    <w:rsid w:val="00473E90"/>
    <w:rsid w:val="00473EBB"/>
    <w:rsid w:val="004741F7"/>
    <w:rsid w:val="004742BB"/>
    <w:rsid w:val="004744DB"/>
    <w:rsid w:val="0047477B"/>
    <w:rsid w:val="0047497B"/>
    <w:rsid w:val="00474C6B"/>
    <w:rsid w:val="00475321"/>
    <w:rsid w:val="0047565B"/>
    <w:rsid w:val="0047634F"/>
    <w:rsid w:val="00476358"/>
    <w:rsid w:val="00476B07"/>
    <w:rsid w:val="00476C35"/>
    <w:rsid w:val="00476FD3"/>
    <w:rsid w:val="00477808"/>
    <w:rsid w:val="004779D0"/>
    <w:rsid w:val="00477C19"/>
    <w:rsid w:val="00477DBB"/>
    <w:rsid w:val="004801E0"/>
    <w:rsid w:val="00480BB7"/>
    <w:rsid w:val="00480EE3"/>
    <w:rsid w:val="004812FB"/>
    <w:rsid w:val="004816CA"/>
    <w:rsid w:val="004817BE"/>
    <w:rsid w:val="00481E5F"/>
    <w:rsid w:val="00481E92"/>
    <w:rsid w:val="004826AF"/>
    <w:rsid w:val="0048272F"/>
    <w:rsid w:val="00482D54"/>
    <w:rsid w:val="00483271"/>
    <w:rsid w:val="004835C2"/>
    <w:rsid w:val="00483859"/>
    <w:rsid w:val="00483B46"/>
    <w:rsid w:val="00483D3B"/>
    <w:rsid w:val="004845F1"/>
    <w:rsid w:val="004850B3"/>
    <w:rsid w:val="004857E7"/>
    <w:rsid w:val="00486130"/>
    <w:rsid w:val="004865A8"/>
    <w:rsid w:val="00486ADC"/>
    <w:rsid w:val="00486B96"/>
    <w:rsid w:val="00486C58"/>
    <w:rsid w:val="0048777D"/>
    <w:rsid w:val="004879AF"/>
    <w:rsid w:val="00487D18"/>
    <w:rsid w:val="00490038"/>
    <w:rsid w:val="00490059"/>
    <w:rsid w:val="00490162"/>
    <w:rsid w:val="004904F7"/>
    <w:rsid w:val="00490A5D"/>
    <w:rsid w:val="00491030"/>
    <w:rsid w:val="004910AC"/>
    <w:rsid w:val="004914D8"/>
    <w:rsid w:val="004919E8"/>
    <w:rsid w:val="00491E18"/>
    <w:rsid w:val="00491F91"/>
    <w:rsid w:val="00491FF6"/>
    <w:rsid w:val="00492145"/>
    <w:rsid w:val="004928CE"/>
    <w:rsid w:val="00492A2F"/>
    <w:rsid w:val="00492BA1"/>
    <w:rsid w:val="00492D7E"/>
    <w:rsid w:val="00493540"/>
    <w:rsid w:val="00493607"/>
    <w:rsid w:val="004939E4"/>
    <w:rsid w:val="00493D36"/>
    <w:rsid w:val="00493E35"/>
    <w:rsid w:val="00494AD6"/>
    <w:rsid w:val="00495120"/>
    <w:rsid w:val="00495E67"/>
    <w:rsid w:val="004963F9"/>
    <w:rsid w:val="0049698A"/>
    <w:rsid w:val="00496B4E"/>
    <w:rsid w:val="00496C1D"/>
    <w:rsid w:val="00496DE2"/>
    <w:rsid w:val="00497448"/>
    <w:rsid w:val="004975AA"/>
    <w:rsid w:val="00497935"/>
    <w:rsid w:val="004A034A"/>
    <w:rsid w:val="004A0476"/>
    <w:rsid w:val="004A07D7"/>
    <w:rsid w:val="004A0A69"/>
    <w:rsid w:val="004A0F9E"/>
    <w:rsid w:val="004A10D4"/>
    <w:rsid w:val="004A1130"/>
    <w:rsid w:val="004A1219"/>
    <w:rsid w:val="004A1A77"/>
    <w:rsid w:val="004A1DAA"/>
    <w:rsid w:val="004A23D2"/>
    <w:rsid w:val="004A25A0"/>
    <w:rsid w:val="004A285D"/>
    <w:rsid w:val="004A2D1D"/>
    <w:rsid w:val="004A302B"/>
    <w:rsid w:val="004A3242"/>
    <w:rsid w:val="004A3838"/>
    <w:rsid w:val="004A4467"/>
    <w:rsid w:val="004A4957"/>
    <w:rsid w:val="004A5258"/>
    <w:rsid w:val="004A5467"/>
    <w:rsid w:val="004A5AE2"/>
    <w:rsid w:val="004A5BB1"/>
    <w:rsid w:val="004A5CB1"/>
    <w:rsid w:val="004A5E3E"/>
    <w:rsid w:val="004A5EAA"/>
    <w:rsid w:val="004A638D"/>
    <w:rsid w:val="004A64EC"/>
    <w:rsid w:val="004A695F"/>
    <w:rsid w:val="004A697B"/>
    <w:rsid w:val="004A6A35"/>
    <w:rsid w:val="004A6EA6"/>
    <w:rsid w:val="004A7550"/>
    <w:rsid w:val="004A7966"/>
    <w:rsid w:val="004A7A54"/>
    <w:rsid w:val="004B0239"/>
    <w:rsid w:val="004B0379"/>
    <w:rsid w:val="004B0A69"/>
    <w:rsid w:val="004B0AFA"/>
    <w:rsid w:val="004B0D1E"/>
    <w:rsid w:val="004B0E2E"/>
    <w:rsid w:val="004B1604"/>
    <w:rsid w:val="004B1701"/>
    <w:rsid w:val="004B1804"/>
    <w:rsid w:val="004B18CC"/>
    <w:rsid w:val="004B2609"/>
    <w:rsid w:val="004B2722"/>
    <w:rsid w:val="004B2F3D"/>
    <w:rsid w:val="004B32A0"/>
    <w:rsid w:val="004B36C1"/>
    <w:rsid w:val="004B3A60"/>
    <w:rsid w:val="004B3FCD"/>
    <w:rsid w:val="004B4C62"/>
    <w:rsid w:val="004B4D15"/>
    <w:rsid w:val="004B5064"/>
    <w:rsid w:val="004B5078"/>
    <w:rsid w:val="004B5096"/>
    <w:rsid w:val="004B51DA"/>
    <w:rsid w:val="004B54EF"/>
    <w:rsid w:val="004B592E"/>
    <w:rsid w:val="004B5CE2"/>
    <w:rsid w:val="004B5DAC"/>
    <w:rsid w:val="004B6147"/>
    <w:rsid w:val="004B6184"/>
    <w:rsid w:val="004B6634"/>
    <w:rsid w:val="004B67BB"/>
    <w:rsid w:val="004B67F1"/>
    <w:rsid w:val="004B6812"/>
    <w:rsid w:val="004B7293"/>
    <w:rsid w:val="004B7DD1"/>
    <w:rsid w:val="004C0096"/>
    <w:rsid w:val="004C00A3"/>
    <w:rsid w:val="004C00F4"/>
    <w:rsid w:val="004C037B"/>
    <w:rsid w:val="004C082A"/>
    <w:rsid w:val="004C0830"/>
    <w:rsid w:val="004C085B"/>
    <w:rsid w:val="004C0BDA"/>
    <w:rsid w:val="004C1472"/>
    <w:rsid w:val="004C165E"/>
    <w:rsid w:val="004C1BF9"/>
    <w:rsid w:val="004C1C3E"/>
    <w:rsid w:val="004C1F22"/>
    <w:rsid w:val="004C23BD"/>
    <w:rsid w:val="004C2498"/>
    <w:rsid w:val="004C331E"/>
    <w:rsid w:val="004C333F"/>
    <w:rsid w:val="004C33BC"/>
    <w:rsid w:val="004C3D19"/>
    <w:rsid w:val="004C3FC0"/>
    <w:rsid w:val="004C42C9"/>
    <w:rsid w:val="004C4D54"/>
    <w:rsid w:val="004C5B42"/>
    <w:rsid w:val="004C5ECB"/>
    <w:rsid w:val="004C6672"/>
    <w:rsid w:val="004C68B6"/>
    <w:rsid w:val="004C74F1"/>
    <w:rsid w:val="004D039F"/>
    <w:rsid w:val="004D04F6"/>
    <w:rsid w:val="004D0ED5"/>
    <w:rsid w:val="004D12A8"/>
    <w:rsid w:val="004D1906"/>
    <w:rsid w:val="004D1C16"/>
    <w:rsid w:val="004D203B"/>
    <w:rsid w:val="004D240F"/>
    <w:rsid w:val="004D2434"/>
    <w:rsid w:val="004D2710"/>
    <w:rsid w:val="004D29CC"/>
    <w:rsid w:val="004D2AB8"/>
    <w:rsid w:val="004D2D7A"/>
    <w:rsid w:val="004D37B3"/>
    <w:rsid w:val="004D391B"/>
    <w:rsid w:val="004D3E11"/>
    <w:rsid w:val="004D4043"/>
    <w:rsid w:val="004D4304"/>
    <w:rsid w:val="004D470B"/>
    <w:rsid w:val="004D4CD1"/>
    <w:rsid w:val="004D4E73"/>
    <w:rsid w:val="004D503B"/>
    <w:rsid w:val="004D50AB"/>
    <w:rsid w:val="004D514C"/>
    <w:rsid w:val="004D524E"/>
    <w:rsid w:val="004D5266"/>
    <w:rsid w:val="004D54B7"/>
    <w:rsid w:val="004D60DF"/>
    <w:rsid w:val="004D6786"/>
    <w:rsid w:val="004D69E1"/>
    <w:rsid w:val="004D7869"/>
    <w:rsid w:val="004D7EE4"/>
    <w:rsid w:val="004E0137"/>
    <w:rsid w:val="004E11CF"/>
    <w:rsid w:val="004E121B"/>
    <w:rsid w:val="004E18E7"/>
    <w:rsid w:val="004E1E29"/>
    <w:rsid w:val="004E1ECE"/>
    <w:rsid w:val="004E1EF5"/>
    <w:rsid w:val="004E23F7"/>
    <w:rsid w:val="004E24D1"/>
    <w:rsid w:val="004E280E"/>
    <w:rsid w:val="004E2A73"/>
    <w:rsid w:val="004E2B5D"/>
    <w:rsid w:val="004E3268"/>
    <w:rsid w:val="004E33F8"/>
    <w:rsid w:val="004E368A"/>
    <w:rsid w:val="004E3801"/>
    <w:rsid w:val="004E39C9"/>
    <w:rsid w:val="004E417F"/>
    <w:rsid w:val="004E41A1"/>
    <w:rsid w:val="004E4391"/>
    <w:rsid w:val="004E46F5"/>
    <w:rsid w:val="004E4CA8"/>
    <w:rsid w:val="004E4D78"/>
    <w:rsid w:val="004E4E20"/>
    <w:rsid w:val="004E500B"/>
    <w:rsid w:val="004E5153"/>
    <w:rsid w:val="004E5C65"/>
    <w:rsid w:val="004E687B"/>
    <w:rsid w:val="004E70F3"/>
    <w:rsid w:val="004E713A"/>
    <w:rsid w:val="004E7649"/>
    <w:rsid w:val="004E79EC"/>
    <w:rsid w:val="004E7AD7"/>
    <w:rsid w:val="004E7B2E"/>
    <w:rsid w:val="004E7BDD"/>
    <w:rsid w:val="004F01D5"/>
    <w:rsid w:val="004F0439"/>
    <w:rsid w:val="004F0738"/>
    <w:rsid w:val="004F0A17"/>
    <w:rsid w:val="004F115C"/>
    <w:rsid w:val="004F13A0"/>
    <w:rsid w:val="004F1718"/>
    <w:rsid w:val="004F17D0"/>
    <w:rsid w:val="004F1BB6"/>
    <w:rsid w:val="004F2044"/>
    <w:rsid w:val="004F20DC"/>
    <w:rsid w:val="004F23BA"/>
    <w:rsid w:val="004F33A6"/>
    <w:rsid w:val="004F35B2"/>
    <w:rsid w:val="004F35D6"/>
    <w:rsid w:val="004F3982"/>
    <w:rsid w:val="004F3A47"/>
    <w:rsid w:val="004F3AE1"/>
    <w:rsid w:val="004F3C71"/>
    <w:rsid w:val="004F3CDC"/>
    <w:rsid w:val="004F4305"/>
    <w:rsid w:val="004F4537"/>
    <w:rsid w:val="004F4797"/>
    <w:rsid w:val="004F5068"/>
    <w:rsid w:val="004F51E9"/>
    <w:rsid w:val="004F54F5"/>
    <w:rsid w:val="004F551A"/>
    <w:rsid w:val="004F5C06"/>
    <w:rsid w:val="004F5FCC"/>
    <w:rsid w:val="004F639A"/>
    <w:rsid w:val="004F63CD"/>
    <w:rsid w:val="004F63D5"/>
    <w:rsid w:val="004F64E4"/>
    <w:rsid w:val="004F662E"/>
    <w:rsid w:val="004F6A3A"/>
    <w:rsid w:val="004F6D13"/>
    <w:rsid w:val="004F6D20"/>
    <w:rsid w:val="004F6E61"/>
    <w:rsid w:val="004F71AC"/>
    <w:rsid w:val="004F75B7"/>
    <w:rsid w:val="004F783D"/>
    <w:rsid w:val="004F798E"/>
    <w:rsid w:val="005004E2"/>
    <w:rsid w:val="005009D1"/>
    <w:rsid w:val="00500AD1"/>
    <w:rsid w:val="005012E6"/>
    <w:rsid w:val="00501B88"/>
    <w:rsid w:val="0050246A"/>
    <w:rsid w:val="005025AD"/>
    <w:rsid w:val="005029B4"/>
    <w:rsid w:val="005033B1"/>
    <w:rsid w:val="0050348C"/>
    <w:rsid w:val="005039C8"/>
    <w:rsid w:val="00503A7E"/>
    <w:rsid w:val="00503ADE"/>
    <w:rsid w:val="00503BA8"/>
    <w:rsid w:val="00504660"/>
    <w:rsid w:val="00504D6A"/>
    <w:rsid w:val="00505BCC"/>
    <w:rsid w:val="00505CD4"/>
    <w:rsid w:val="00506869"/>
    <w:rsid w:val="00506974"/>
    <w:rsid w:val="00506E52"/>
    <w:rsid w:val="005072C5"/>
    <w:rsid w:val="005078D1"/>
    <w:rsid w:val="00510003"/>
    <w:rsid w:val="00510174"/>
    <w:rsid w:val="005104D5"/>
    <w:rsid w:val="0051091F"/>
    <w:rsid w:val="00510AC0"/>
    <w:rsid w:val="00511028"/>
    <w:rsid w:val="0051115B"/>
    <w:rsid w:val="00511482"/>
    <w:rsid w:val="00511611"/>
    <w:rsid w:val="005117FB"/>
    <w:rsid w:val="00511A63"/>
    <w:rsid w:val="00511A77"/>
    <w:rsid w:val="00511AC5"/>
    <w:rsid w:val="00512305"/>
    <w:rsid w:val="00512844"/>
    <w:rsid w:val="00512B6C"/>
    <w:rsid w:val="00512C52"/>
    <w:rsid w:val="00512FFF"/>
    <w:rsid w:val="00513075"/>
    <w:rsid w:val="0051350B"/>
    <w:rsid w:val="00513592"/>
    <w:rsid w:val="00513851"/>
    <w:rsid w:val="00513D9B"/>
    <w:rsid w:val="00514053"/>
    <w:rsid w:val="00514152"/>
    <w:rsid w:val="0051436F"/>
    <w:rsid w:val="0051498D"/>
    <w:rsid w:val="00514D56"/>
    <w:rsid w:val="00514F71"/>
    <w:rsid w:val="005158B6"/>
    <w:rsid w:val="005158C0"/>
    <w:rsid w:val="005158ED"/>
    <w:rsid w:val="005159D9"/>
    <w:rsid w:val="00515A24"/>
    <w:rsid w:val="00515DD3"/>
    <w:rsid w:val="00515E0B"/>
    <w:rsid w:val="00515ED5"/>
    <w:rsid w:val="00516275"/>
    <w:rsid w:val="00516523"/>
    <w:rsid w:val="005166CD"/>
    <w:rsid w:val="00516705"/>
    <w:rsid w:val="005169BC"/>
    <w:rsid w:val="00516B0E"/>
    <w:rsid w:val="00517A06"/>
    <w:rsid w:val="00517BD2"/>
    <w:rsid w:val="00517CD1"/>
    <w:rsid w:val="00517FA7"/>
    <w:rsid w:val="0052026F"/>
    <w:rsid w:val="005203C5"/>
    <w:rsid w:val="0052042A"/>
    <w:rsid w:val="00520AA1"/>
    <w:rsid w:val="005213EA"/>
    <w:rsid w:val="00521578"/>
    <w:rsid w:val="00521BA2"/>
    <w:rsid w:val="0052217F"/>
    <w:rsid w:val="00522204"/>
    <w:rsid w:val="0052237E"/>
    <w:rsid w:val="0052269D"/>
    <w:rsid w:val="00522E94"/>
    <w:rsid w:val="00522EEE"/>
    <w:rsid w:val="005231EC"/>
    <w:rsid w:val="005233DC"/>
    <w:rsid w:val="00523E4B"/>
    <w:rsid w:val="005241BC"/>
    <w:rsid w:val="00524468"/>
    <w:rsid w:val="00524DEF"/>
    <w:rsid w:val="00524EDE"/>
    <w:rsid w:val="0052534A"/>
    <w:rsid w:val="005255A6"/>
    <w:rsid w:val="005255B4"/>
    <w:rsid w:val="00526648"/>
    <w:rsid w:val="005266F3"/>
    <w:rsid w:val="0052770D"/>
    <w:rsid w:val="00527EBA"/>
    <w:rsid w:val="00527FDA"/>
    <w:rsid w:val="00530135"/>
    <w:rsid w:val="005302FC"/>
    <w:rsid w:val="005307F9"/>
    <w:rsid w:val="00530B8F"/>
    <w:rsid w:val="005315C8"/>
    <w:rsid w:val="005315E4"/>
    <w:rsid w:val="005316DB"/>
    <w:rsid w:val="00531966"/>
    <w:rsid w:val="00532066"/>
    <w:rsid w:val="005321A2"/>
    <w:rsid w:val="0053222A"/>
    <w:rsid w:val="00532396"/>
    <w:rsid w:val="00532402"/>
    <w:rsid w:val="00532417"/>
    <w:rsid w:val="00532418"/>
    <w:rsid w:val="0053254C"/>
    <w:rsid w:val="00532933"/>
    <w:rsid w:val="00532A29"/>
    <w:rsid w:val="00532BC4"/>
    <w:rsid w:val="00533380"/>
    <w:rsid w:val="005337F7"/>
    <w:rsid w:val="00533A0B"/>
    <w:rsid w:val="00533C23"/>
    <w:rsid w:val="00533C90"/>
    <w:rsid w:val="00534950"/>
    <w:rsid w:val="00534A0C"/>
    <w:rsid w:val="00534B75"/>
    <w:rsid w:val="00534E2E"/>
    <w:rsid w:val="005351E4"/>
    <w:rsid w:val="00535465"/>
    <w:rsid w:val="005355A6"/>
    <w:rsid w:val="0053561B"/>
    <w:rsid w:val="00535AC6"/>
    <w:rsid w:val="00535BD2"/>
    <w:rsid w:val="00535FD3"/>
    <w:rsid w:val="005360FC"/>
    <w:rsid w:val="005363F4"/>
    <w:rsid w:val="00536F72"/>
    <w:rsid w:val="00537690"/>
    <w:rsid w:val="00537A6F"/>
    <w:rsid w:val="00537B0E"/>
    <w:rsid w:val="00537EFF"/>
    <w:rsid w:val="00540565"/>
    <w:rsid w:val="00540AA0"/>
    <w:rsid w:val="0054113C"/>
    <w:rsid w:val="0054195C"/>
    <w:rsid w:val="00541BCD"/>
    <w:rsid w:val="00541CAA"/>
    <w:rsid w:val="00542522"/>
    <w:rsid w:val="00542AA2"/>
    <w:rsid w:val="00542B06"/>
    <w:rsid w:val="00542B7D"/>
    <w:rsid w:val="00542BCC"/>
    <w:rsid w:val="00542E14"/>
    <w:rsid w:val="00542FA8"/>
    <w:rsid w:val="00543058"/>
    <w:rsid w:val="00543BA1"/>
    <w:rsid w:val="00543FFA"/>
    <w:rsid w:val="00544148"/>
    <w:rsid w:val="00544398"/>
    <w:rsid w:val="0054463A"/>
    <w:rsid w:val="00544845"/>
    <w:rsid w:val="005448C9"/>
    <w:rsid w:val="00544B14"/>
    <w:rsid w:val="0054518F"/>
    <w:rsid w:val="00545300"/>
    <w:rsid w:val="0054571A"/>
    <w:rsid w:val="005457D4"/>
    <w:rsid w:val="0054591C"/>
    <w:rsid w:val="00545B9B"/>
    <w:rsid w:val="00545CBC"/>
    <w:rsid w:val="00545DF4"/>
    <w:rsid w:val="00545FB6"/>
    <w:rsid w:val="0054633A"/>
    <w:rsid w:val="005463A2"/>
    <w:rsid w:val="0054677C"/>
    <w:rsid w:val="005469A6"/>
    <w:rsid w:val="00546B77"/>
    <w:rsid w:val="00547AA9"/>
    <w:rsid w:val="00550112"/>
    <w:rsid w:val="0055100A"/>
    <w:rsid w:val="005516B3"/>
    <w:rsid w:val="00551800"/>
    <w:rsid w:val="00551AE2"/>
    <w:rsid w:val="00551B81"/>
    <w:rsid w:val="00551C21"/>
    <w:rsid w:val="0055250F"/>
    <w:rsid w:val="00552BF6"/>
    <w:rsid w:val="005534FA"/>
    <w:rsid w:val="00553CA4"/>
    <w:rsid w:val="00554897"/>
    <w:rsid w:val="005550CA"/>
    <w:rsid w:val="0055522B"/>
    <w:rsid w:val="00555647"/>
    <w:rsid w:val="00555785"/>
    <w:rsid w:val="00555BDF"/>
    <w:rsid w:val="00555D4A"/>
    <w:rsid w:val="00555FBA"/>
    <w:rsid w:val="00556368"/>
    <w:rsid w:val="005564C5"/>
    <w:rsid w:val="0055742C"/>
    <w:rsid w:val="00557471"/>
    <w:rsid w:val="005578D0"/>
    <w:rsid w:val="00557AA6"/>
    <w:rsid w:val="0056021B"/>
    <w:rsid w:val="00560BA8"/>
    <w:rsid w:val="005610E1"/>
    <w:rsid w:val="005618E0"/>
    <w:rsid w:val="005619AA"/>
    <w:rsid w:val="00561B6E"/>
    <w:rsid w:val="00562394"/>
    <w:rsid w:val="005626C6"/>
    <w:rsid w:val="00562BE1"/>
    <w:rsid w:val="00562CE4"/>
    <w:rsid w:val="00563106"/>
    <w:rsid w:val="00563255"/>
    <w:rsid w:val="00563563"/>
    <w:rsid w:val="005635AA"/>
    <w:rsid w:val="00563762"/>
    <w:rsid w:val="00563B60"/>
    <w:rsid w:val="00563C9E"/>
    <w:rsid w:val="005640B5"/>
    <w:rsid w:val="005644F1"/>
    <w:rsid w:val="0056462D"/>
    <w:rsid w:val="00564A38"/>
    <w:rsid w:val="00564B47"/>
    <w:rsid w:val="00564B73"/>
    <w:rsid w:val="00564E65"/>
    <w:rsid w:val="00564E90"/>
    <w:rsid w:val="00564F88"/>
    <w:rsid w:val="00565212"/>
    <w:rsid w:val="005652AF"/>
    <w:rsid w:val="005652C6"/>
    <w:rsid w:val="00565929"/>
    <w:rsid w:val="00565AF7"/>
    <w:rsid w:val="00565E5B"/>
    <w:rsid w:val="00565E87"/>
    <w:rsid w:val="00566273"/>
    <w:rsid w:val="005662BC"/>
    <w:rsid w:val="005665DB"/>
    <w:rsid w:val="00566A09"/>
    <w:rsid w:val="00566A47"/>
    <w:rsid w:val="00566ACF"/>
    <w:rsid w:val="00566AE8"/>
    <w:rsid w:val="00566DA7"/>
    <w:rsid w:val="00567CE3"/>
    <w:rsid w:val="0057069F"/>
    <w:rsid w:val="00570776"/>
    <w:rsid w:val="00570FAD"/>
    <w:rsid w:val="00570FE4"/>
    <w:rsid w:val="00571B29"/>
    <w:rsid w:val="00571E28"/>
    <w:rsid w:val="0057277D"/>
    <w:rsid w:val="00572ACB"/>
    <w:rsid w:val="00572CEF"/>
    <w:rsid w:val="00572E2C"/>
    <w:rsid w:val="00573117"/>
    <w:rsid w:val="0057350C"/>
    <w:rsid w:val="00573BD3"/>
    <w:rsid w:val="00573D00"/>
    <w:rsid w:val="00573E67"/>
    <w:rsid w:val="00573F30"/>
    <w:rsid w:val="00574AA0"/>
    <w:rsid w:val="00574FCC"/>
    <w:rsid w:val="00575587"/>
    <w:rsid w:val="00575AAB"/>
    <w:rsid w:val="005769B5"/>
    <w:rsid w:val="00576CC9"/>
    <w:rsid w:val="00577116"/>
    <w:rsid w:val="00577515"/>
    <w:rsid w:val="005775E2"/>
    <w:rsid w:val="00577816"/>
    <w:rsid w:val="00577A1C"/>
    <w:rsid w:val="00577B64"/>
    <w:rsid w:val="005800B7"/>
    <w:rsid w:val="005802D0"/>
    <w:rsid w:val="005804DF"/>
    <w:rsid w:val="005807D8"/>
    <w:rsid w:val="00580CE8"/>
    <w:rsid w:val="00580D6B"/>
    <w:rsid w:val="00581383"/>
    <w:rsid w:val="00581737"/>
    <w:rsid w:val="00581C48"/>
    <w:rsid w:val="00581FC5"/>
    <w:rsid w:val="005820A6"/>
    <w:rsid w:val="0058212D"/>
    <w:rsid w:val="00582229"/>
    <w:rsid w:val="005822C5"/>
    <w:rsid w:val="00582516"/>
    <w:rsid w:val="00582A00"/>
    <w:rsid w:val="00582C63"/>
    <w:rsid w:val="0058361C"/>
    <w:rsid w:val="00583778"/>
    <w:rsid w:val="0058383C"/>
    <w:rsid w:val="005838B8"/>
    <w:rsid w:val="0058391D"/>
    <w:rsid w:val="0058398E"/>
    <w:rsid w:val="00583C90"/>
    <w:rsid w:val="00584376"/>
    <w:rsid w:val="00584505"/>
    <w:rsid w:val="00584604"/>
    <w:rsid w:val="005846A8"/>
    <w:rsid w:val="005847E6"/>
    <w:rsid w:val="00584806"/>
    <w:rsid w:val="00584831"/>
    <w:rsid w:val="00584A09"/>
    <w:rsid w:val="00584A21"/>
    <w:rsid w:val="00584AB8"/>
    <w:rsid w:val="00584D83"/>
    <w:rsid w:val="005852EB"/>
    <w:rsid w:val="00585768"/>
    <w:rsid w:val="00585A42"/>
    <w:rsid w:val="00585F27"/>
    <w:rsid w:val="00586120"/>
    <w:rsid w:val="00586531"/>
    <w:rsid w:val="00586A0A"/>
    <w:rsid w:val="00586B96"/>
    <w:rsid w:val="00586E21"/>
    <w:rsid w:val="00586EA5"/>
    <w:rsid w:val="00586F35"/>
    <w:rsid w:val="0058704D"/>
    <w:rsid w:val="00587430"/>
    <w:rsid w:val="0058746A"/>
    <w:rsid w:val="005874A3"/>
    <w:rsid w:val="00587C9D"/>
    <w:rsid w:val="00587D7C"/>
    <w:rsid w:val="00587DC2"/>
    <w:rsid w:val="00590003"/>
    <w:rsid w:val="00590176"/>
    <w:rsid w:val="00590567"/>
    <w:rsid w:val="00590750"/>
    <w:rsid w:val="00590BDF"/>
    <w:rsid w:val="00590F26"/>
    <w:rsid w:val="005913B3"/>
    <w:rsid w:val="00591656"/>
    <w:rsid w:val="00592157"/>
    <w:rsid w:val="005929EA"/>
    <w:rsid w:val="005929EC"/>
    <w:rsid w:val="00592CF7"/>
    <w:rsid w:val="00592EB2"/>
    <w:rsid w:val="00592F94"/>
    <w:rsid w:val="005934AC"/>
    <w:rsid w:val="0059365F"/>
    <w:rsid w:val="00593788"/>
    <w:rsid w:val="0059391A"/>
    <w:rsid w:val="00593A5A"/>
    <w:rsid w:val="00593C45"/>
    <w:rsid w:val="0059453A"/>
    <w:rsid w:val="00594AE8"/>
    <w:rsid w:val="00594B4B"/>
    <w:rsid w:val="00594BDC"/>
    <w:rsid w:val="005953E3"/>
    <w:rsid w:val="0059564B"/>
    <w:rsid w:val="005956AF"/>
    <w:rsid w:val="00595C9E"/>
    <w:rsid w:val="005960EF"/>
    <w:rsid w:val="005961D5"/>
    <w:rsid w:val="005962B7"/>
    <w:rsid w:val="00596420"/>
    <w:rsid w:val="005969C4"/>
    <w:rsid w:val="005969EC"/>
    <w:rsid w:val="005972A7"/>
    <w:rsid w:val="00597639"/>
    <w:rsid w:val="0059772F"/>
    <w:rsid w:val="00597DBA"/>
    <w:rsid w:val="005A02B1"/>
    <w:rsid w:val="005A057F"/>
    <w:rsid w:val="005A059E"/>
    <w:rsid w:val="005A05B4"/>
    <w:rsid w:val="005A06B0"/>
    <w:rsid w:val="005A0A58"/>
    <w:rsid w:val="005A0C38"/>
    <w:rsid w:val="005A0F4F"/>
    <w:rsid w:val="005A0FCF"/>
    <w:rsid w:val="005A176F"/>
    <w:rsid w:val="005A179A"/>
    <w:rsid w:val="005A183D"/>
    <w:rsid w:val="005A1A1F"/>
    <w:rsid w:val="005A1AF5"/>
    <w:rsid w:val="005A1D6F"/>
    <w:rsid w:val="005A242A"/>
    <w:rsid w:val="005A26CC"/>
    <w:rsid w:val="005A2B28"/>
    <w:rsid w:val="005A31F6"/>
    <w:rsid w:val="005A39B7"/>
    <w:rsid w:val="005A3AAC"/>
    <w:rsid w:val="005A4ACE"/>
    <w:rsid w:val="005A4E51"/>
    <w:rsid w:val="005A4FD2"/>
    <w:rsid w:val="005A5104"/>
    <w:rsid w:val="005A52C4"/>
    <w:rsid w:val="005A5975"/>
    <w:rsid w:val="005A59E3"/>
    <w:rsid w:val="005A663A"/>
    <w:rsid w:val="005A69B8"/>
    <w:rsid w:val="005A6B60"/>
    <w:rsid w:val="005A6DB1"/>
    <w:rsid w:val="005A729F"/>
    <w:rsid w:val="005A7396"/>
    <w:rsid w:val="005A73F3"/>
    <w:rsid w:val="005A7824"/>
    <w:rsid w:val="005A7E09"/>
    <w:rsid w:val="005A7F44"/>
    <w:rsid w:val="005B0359"/>
    <w:rsid w:val="005B08FF"/>
    <w:rsid w:val="005B0F65"/>
    <w:rsid w:val="005B1334"/>
    <w:rsid w:val="005B19CD"/>
    <w:rsid w:val="005B2C14"/>
    <w:rsid w:val="005B2C54"/>
    <w:rsid w:val="005B37F0"/>
    <w:rsid w:val="005B3B48"/>
    <w:rsid w:val="005B4580"/>
    <w:rsid w:val="005B489D"/>
    <w:rsid w:val="005B4A6E"/>
    <w:rsid w:val="005B4C2D"/>
    <w:rsid w:val="005B5739"/>
    <w:rsid w:val="005B5791"/>
    <w:rsid w:val="005B6005"/>
    <w:rsid w:val="005B6213"/>
    <w:rsid w:val="005B62F3"/>
    <w:rsid w:val="005B6590"/>
    <w:rsid w:val="005B7047"/>
    <w:rsid w:val="005B711D"/>
    <w:rsid w:val="005B7276"/>
    <w:rsid w:val="005B785B"/>
    <w:rsid w:val="005B7BD0"/>
    <w:rsid w:val="005B7BEE"/>
    <w:rsid w:val="005B7D6D"/>
    <w:rsid w:val="005C0072"/>
    <w:rsid w:val="005C009B"/>
    <w:rsid w:val="005C01D9"/>
    <w:rsid w:val="005C0ACF"/>
    <w:rsid w:val="005C0C7B"/>
    <w:rsid w:val="005C0D5D"/>
    <w:rsid w:val="005C118D"/>
    <w:rsid w:val="005C126B"/>
    <w:rsid w:val="005C18B8"/>
    <w:rsid w:val="005C1B14"/>
    <w:rsid w:val="005C1F09"/>
    <w:rsid w:val="005C216F"/>
    <w:rsid w:val="005C244F"/>
    <w:rsid w:val="005C2625"/>
    <w:rsid w:val="005C26BE"/>
    <w:rsid w:val="005C29F5"/>
    <w:rsid w:val="005C2E8B"/>
    <w:rsid w:val="005C3959"/>
    <w:rsid w:val="005C3ADC"/>
    <w:rsid w:val="005C4A8B"/>
    <w:rsid w:val="005C4D91"/>
    <w:rsid w:val="005C6369"/>
    <w:rsid w:val="005C7170"/>
    <w:rsid w:val="005C743D"/>
    <w:rsid w:val="005D05B7"/>
    <w:rsid w:val="005D17FB"/>
    <w:rsid w:val="005D1956"/>
    <w:rsid w:val="005D1973"/>
    <w:rsid w:val="005D1E51"/>
    <w:rsid w:val="005D2225"/>
    <w:rsid w:val="005D24BC"/>
    <w:rsid w:val="005D26BD"/>
    <w:rsid w:val="005D28C6"/>
    <w:rsid w:val="005D2D22"/>
    <w:rsid w:val="005D34C9"/>
    <w:rsid w:val="005D34D5"/>
    <w:rsid w:val="005D37C7"/>
    <w:rsid w:val="005D41AA"/>
    <w:rsid w:val="005D45C9"/>
    <w:rsid w:val="005D4771"/>
    <w:rsid w:val="005D47AD"/>
    <w:rsid w:val="005D47E4"/>
    <w:rsid w:val="005D485D"/>
    <w:rsid w:val="005D4955"/>
    <w:rsid w:val="005D4DAC"/>
    <w:rsid w:val="005D51CD"/>
    <w:rsid w:val="005D5337"/>
    <w:rsid w:val="005D53B1"/>
    <w:rsid w:val="005D53BB"/>
    <w:rsid w:val="005D562A"/>
    <w:rsid w:val="005D5685"/>
    <w:rsid w:val="005D5831"/>
    <w:rsid w:val="005D589A"/>
    <w:rsid w:val="005D5ADE"/>
    <w:rsid w:val="005D5DC7"/>
    <w:rsid w:val="005D60F5"/>
    <w:rsid w:val="005D6411"/>
    <w:rsid w:val="005D6595"/>
    <w:rsid w:val="005D68E0"/>
    <w:rsid w:val="005D6C85"/>
    <w:rsid w:val="005D6D4E"/>
    <w:rsid w:val="005D707A"/>
    <w:rsid w:val="005D7268"/>
    <w:rsid w:val="005D7480"/>
    <w:rsid w:val="005D7556"/>
    <w:rsid w:val="005D78D0"/>
    <w:rsid w:val="005D7CCD"/>
    <w:rsid w:val="005D7D5E"/>
    <w:rsid w:val="005E0545"/>
    <w:rsid w:val="005E0829"/>
    <w:rsid w:val="005E08C6"/>
    <w:rsid w:val="005E08F5"/>
    <w:rsid w:val="005E0CA4"/>
    <w:rsid w:val="005E10A1"/>
    <w:rsid w:val="005E1164"/>
    <w:rsid w:val="005E11A1"/>
    <w:rsid w:val="005E12A3"/>
    <w:rsid w:val="005E1625"/>
    <w:rsid w:val="005E18E3"/>
    <w:rsid w:val="005E20EE"/>
    <w:rsid w:val="005E29DC"/>
    <w:rsid w:val="005E2C13"/>
    <w:rsid w:val="005E2DA3"/>
    <w:rsid w:val="005E3316"/>
    <w:rsid w:val="005E33FF"/>
    <w:rsid w:val="005E3455"/>
    <w:rsid w:val="005E365F"/>
    <w:rsid w:val="005E3A8B"/>
    <w:rsid w:val="005E3D47"/>
    <w:rsid w:val="005E3D69"/>
    <w:rsid w:val="005E413B"/>
    <w:rsid w:val="005E4150"/>
    <w:rsid w:val="005E4453"/>
    <w:rsid w:val="005E473D"/>
    <w:rsid w:val="005E4916"/>
    <w:rsid w:val="005E50A7"/>
    <w:rsid w:val="005E50F0"/>
    <w:rsid w:val="005E58E1"/>
    <w:rsid w:val="005E63B9"/>
    <w:rsid w:val="005E653B"/>
    <w:rsid w:val="005E6D07"/>
    <w:rsid w:val="005E6F38"/>
    <w:rsid w:val="005E6F3B"/>
    <w:rsid w:val="005E7606"/>
    <w:rsid w:val="005E7E61"/>
    <w:rsid w:val="005E7F69"/>
    <w:rsid w:val="005F00AF"/>
    <w:rsid w:val="005F00B0"/>
    <w:rsid w:val="005F0960"/>
    <w:rsid w:val="005F0CB7"/>
    <w:rsid w:val="005F0EF2"/>
    <w:rsid w:val="005F1083"/>
    <w:rsid w:val="005F1784"/>
    <w:rsid w:val="005F17B1"/>
    <w:rsid w:val="005F2955"/>
    <w:rsid w:val="005F3115"/>
    <w:rsid w:val="005F31C7"/>
    <w:rsid w:val="005F3411"/>
    <w:rsid w:val="005F3517"/>
    <w:rsid w:val="005F3752"/>
    <w:rsid w:val="005F380F"/>
    <w:rsid w:val="005F40C3"/>
    <w:rsid w:val="005F4128"/>
    <w:rsid w:val="005F42F9"/>
    <w:rsid w:val="005F4347"/>
    <w:rsid w:val="005F435C"/>
    <w:rsid w:val="005F49A9"/>
    <w:rsid w:val="005F4ABE"/>
    <w:rsid w:val="005F4C78"/>
    <w:rsid w:val="005F4F1D"/>
    <w:rsid w:val="005F5735"/>
    <w:rsid w:val="005F5A1F"/>
    <w:rsid w:val="005F65BC"/>
    <w:rsid w:val="005F6645"/>
    <w:rsid w:val="005F67A3"/>
    <w:rsid w:val="005F6C8C"/>
    <w:rsid w:val="005F6CE5"/>
    <w:rsid w:val="005F6D92"/>
    <w:rsid w:val="005F7012"/>
    <w:rsid w:val="005F7017"/>
    <w:rsid w:val="005F7175"/>
    <w:rsid w:val="005F7A87"/>
    <w:rsid w:val="005F7AD7"/>
    <w:rsid w:val="005F7DD2"/>
    <w:rsid w:val="006004F3"/>
    <w:rsid w:val="00600653"/>
    <w:rsid w:val="00600996"/>
    <w:rsid w:val="0060184C"/>
    <w:rsid w:val="00601E0D"/>
    <w:rsid w:val="006020F1"/>
    <w:rsid w:val="006022C7"/>
    <w:rsid w:val="00602778"/>
    <w:rsid w:val="00602D87"/>
    <w:rsid w:val="00602F91"/>
    <w:rsid w:val="00603232"/>
    <w:rsid w:val="006036B2"/>
    <w:rsid w:val="00603754"/>
    <w:rsid w:val="00603E5C"/>
    <w:rsid w:val="00603F06"/>
    <w:rsid w:val="0060439D"/>
    <w:rsid w:val="006043A8"/>
    <w:rsid w:val="00604AA3"/>
    <w:rsid w:val="00604BBE"/>
    <w:rsid w:val="00605492"/>
    <w:rsid w:val="0060605D"/>
    <w:rsid w:val="00606236"/>
    <w:rsid w:val="00606886"/>
    <w:rsid w:val="00606B99"/>
    <w:rsid w:val="00606CB7"/>
    <w:rsid w:val="00607705"/>
    <w:rsid w:val="00607B52"/>
    <w:rsid w:val="00607F14"/>
    <w:rsid w:val="006109BB"/>
    <w:rsid w:val="0061106D"/>
    <w:rsid w:val="0061109B"/>
    <w:rsid w:val="0061134E"/>
    <w:rsid w:val="006113BD"/>
    <w:rsid w:val="006113CC"/>
    <w:rsid w:val="006117B4"/>
    <w:rsid w:val="00611953"/>
    <w:rsid w:val="00611C90"/>
    <w:rsid w:val="00611F6C"/>
    <w:rsid w:val="00612578"/>
    <w:rsid w:val="0061258B"/>
    <w:rsid w:val="006127BF"/>
    <w:rsid w:val="006128F8"/>
    <w:rsid w:val="00612A80"/>
    <w:rsid w:val="00612F0B"/>
    <w:rsid w:val="006130A6"/>
    <w:rsid w:val="0061356B"/>
    <w:rsid w:val="006137F8"/>
    <w:rsid w:val="006137FE"/>
    <w:rsid w:val="0061394D"/>
    <w:rsid w:val="00613C48"/>
    <w:rsid w:val="00613E3B"/>
    <w:rsid w:val="00613F1E"/>
    <w:rsid w:val="00614695"/>
    <w:rsid w:val="00614A56"/>
    <w:rsid w:val="00614CC2"/>
    <w:rsid w:val="00615085"/>
    <w:rsid w:val="0061540E"/>
    <w:rsid w:val="00615C24"/>
    <w:rsid w:val="00615D1F"/>
    <w:rsid w:val="00616442"/>
    <w:rsid w:val="006164D9"/>
    <w:rsid w:val="006164F3"/>
    <w:rsid w:val="00616661"/>
    <w:rsid w:val="00616747"/>
    <w:rsid w:val="00616BDB"/>
    <w:rsid w:val="00616C25"/>
    <w:rsid w:val="00616CE0"/>
    <w:rsid w:val="00616D73"/>
    <w:rsid w:val="00617728"/>
    <w:rsid w:val="006177F6"/>
    <w:rsid w:val="00617B24"/>
    <w:rsid w:val="00617D7E"/>
    <w:rsid w:val="00617F8D"/>
    <w:rsid w:val="0062124C"/>
    <w:rsid w:val="0062157E"/>
    <w:rsid w:val="006216D5"/>
    <w:rsid w:val="006218CE"/>
    <w:rsid w:val="006219C5"/>
    <w:rsid w:val="00621AEC"/>
    <w:rsid w:val="00622144"/>
    <w:rsid w:val="006231ED"/>
    <w:rsid w:val="0062388A"/>
    <w:rsid w:val="006238CC"/>
    <w:rsid w:val="006243E7"/>
    <w:rsid w:val="006245CA"/>
    <w:rsid w:val="00624EEE"/>
    <w:rsid w:val="00624F7C"/>
    <w:rsid w:val="00625077"/>
    <w:rsid w:val="00625DC4"/>
    <w:rsid w:val="00626112"/>
    <w:rsid w:val="006262C6"/>
    <w:rsid w:val="0062643E"/>
    <w:rsid w:val="00626D56"/>
    <w:rsid w:val="00627100"/>
    <w:rsid w:val="00627384"/>
    <w:rsid w:val="006276AF"/>
    <w:rsid w:val="00627745"/>
    <w:rsid w:val="006277FF"/>
    <w:rsid w:val="0062791F"/>
    <w:rsid w:val="00627B83"/>
    <w:rsid w:val="00627E57"/>
    <w:rsid w:val="00631C65"/>
    <w:rsid w:val="00631E20"/>
    <w:rsid w:val="00632A22"/>
    <w:rsid w:val="00632C95"/>
    <w:rsid w:val="006332A7"/>
    <w:rsid w:val="006336AF"/>
    <w:rsid w:val="00633874"/>
    <w:rsid w:val="00633889"/>
    <w:rsid w:val="006339D0"/>
    <w:rsid w:val="00633EAA"/>
    <w:rsid w:val="006340C6"/>
    <w:rsid w:val="006341ED"/>
    <w:rsid w:val="00634454"/>
    <w:rsid w:val="0063447D"/>
    <w:rsid w:val="00634937"/>
    <w:rsid w:val="00634AF6"/>
    <w:rsid w:val="00634D37"/>
    <w:rsid w:val="00635016"/>
    <w:rsid w:val="0063506E"/>
    <w:rsid w:val="006354C2"/>
    <w:rsid w:val="0063573E"/>
    <w:rsid w:val="00636005"/>
    <w:rsid w:val="006360B8"/>
    <w:rsid w:val="006360F9"/>
    <w:rsid w:val="00636168"/>
    <w:rsid w:val="00636241"/>
    <w:rsid w:val="006362D3"/>
    <w:rsid w:val="00636812"/>
    <w:rsid w:val="00636BBD"/>
    <w:rsid w:val="0063767F"/>
    <w:rsid w:val="00637827"/>
    <w:rsid w:val="00637D54"/>
    <w:rsid w:val="00640005"/>
    <w:rsid w:val="006400A0"/>
    <w:rsid w:val="00640498"/>
    <w:rsid w:val="006405D7"/>
    <w:rsid w:val="00640834"/>
    <w:rsid w:val="006416F0"/>
    <w:rsid w:val="00641707"/>
    <w:rsid w:val="00641B8D"/>
    <w:rsid w:val="00641BA2"/>
    <w:rsid w:val="00642092"/>
    <w:rsid w:val="006421AD"/>
    <w:rsid w:val="0064283F"/>
    <w:rsid w:val="00642A9B"/>
    <w:rsid w:val="00642D02"/>
    <w:rsid w:val="00642EB6"/>
    <w:rsid w:val="0064301A"/>
    <w:rsid w:val="006435FD"/>
    <w:rsid w:val="00643AA2"/>
    <w:rsid w:val="00643BDB"/>
    <w:rsid w:val="00643DE7"/>
    <w:rsid w:val="00644900"/>
    <w:rsid w:val="006449E0"/>
    <w:rsid w:val="00644DFE"/>
    <w:rsid w:val="00644ED1"/>
    <w:rsid w:val="00645360"/>
    <w:rsid w:val="006455AE"/>
    <w:rsid w:val="006457D8"/>
    <w:rsid w:val="00645B7E"/>
    <w:rsid w:val="00645D75"/>
    <w:rsid w:val="00645DBA"/>
    <w:rsid w:val="006461EB"/>
    <w:rsid w:val="006467A3"/>
    <w:rsid w:val="00646CCB"/>
    <w:rsid w:val="006471E1"/>
    <w:rsid w:val="0064734F"/>
    <w:rsid w:val="006475B9"/>
    <w:rsid w:val="00647C50"/>
    <w:rsid w:val="00647D2A"/>
    <w:rsid w:val="00647D74"/>
    <w:rsid w:val="006500A7"/>
    <w:rsid w:val="00650265"/>
    <w:rsid w:val="006503F5"/>
    <w:rsid w:val="006504E2"/>
    <w:rsid w:val="00650FEF"/>
    <w:rsid w:val="006511C7"/>
    <w:rsid w:val="006512F6"/>
    <w:rsid w:val="0065169A"/>
    <w:rsid w:val="006516A8"/>
    <w:rsid w:val="006517D6"/>
    <w:rsid w:val="0065193C"/>
    <w:rsid w:val="00652167"/>
    <w:rsid w:val="00652396"/>
    <w:rsid w:val="00652DEF"/>
    <w:rsid w:val="00653332"/>
    <w:rsid w:val="00653422"/>
    <w:rsid w:val="00653476"/>
    <w:rsid w:val="006534CF"/>
    <w:rsid w:val="0065370B"/>
    <w:rsid w:val="00653EA6"/>
    <w:rsid w:val="0065404E"/>
    <w:rsid w:val="006540D0"/>
    <w:rsid w:val="006540FC"/>
    <w:rsid w:val="006544F2"/>
    <w:rsid w:val="00654D04"/>
    <w:rsid w:val="00655518"/>
    <w:rsid w:val="00655BCB"/>
    <w:rsid w:val="00655F5B"/>
    <w:rsid w:val="0065646A"/>
    <w:rsid w:val="006565CD"/>
    <w:rsid w:val="00656770"/>
    <w:rsid w:val="00656B4A"/>
    <w:rsid w:val="00656B78"/>
    <w:rsid w:val="00657024"/>
    <w:rsid w:val="006575CD"/>
    <w:rsid w:val="006578EA"/>
    <w:rsid w:val="00657AA5"/>
    <w:rsid w:val="00657B78"/>
    <w:rsid w:val="00657C90"/>
    <w:rsid w:val="0066003A"/>
    <w:rsid w:val="00660633"/>
    <w:rsid w:val="0066082F"/>
    <w:rsid w:val="006609D4"/>
    <w:rsid w:val="00660B05"/>
    <w:rsid w:val="00660E90"/>
    <w:rsid w:val="006611BE"/>
    <w:rsid w:val="00661248"/>
    <w:rsid w:val="00661277"/>
    <w:rsid w:val="00661430"/>
    <w:rsid w:val="00661D96"/>
    <w:rsid w:val="00661E48"/>
    <w:rsid w:val="00662122"/>
    <w:rsid w:val="006621A9"/>
    <w:rsid w:val="006628A0"/>
    <w:rsid w:val="00662E06"/>
    <w:rsid w:val="0066382F"/>
    <w:rsid w:val="006638A6"/>
    <w:rsid w:val="00663988"/>
    <w:rsid w:val="0066433A"/>
    <w:rsid w:val="00664451"/>
    <w:rsid w:val="006645CA"/>
    <w:rsid w:val="00664AEE"/>
    <w:rsid w:val="00664B59"/>
    <w:rsid w:val="00664BEE"/>
    <w:rsid w:val="00664CBC"/>
    <w:rsid w:val="00664D95"/>
    <w:rsid w:val="0066517F"/>
    <w:rsid w:val="00665353"/>
    <w:rsid w:val="00666221"/>
    <w:rsid w:val="006665C4"/>
    <w:rsid w:val="006666CE"/>
    <w:rsid w:val="006669DB"/>
    <w:rsid w:val="00666DA4"/>
    <w:rsid w:val="006671C9"/>
    <w:rsid w:val="0066761D"/>
    <w:rsid w:val="0066762D"/>
    <w:rsid w:val="00667634"/>
    <w:rsid w:val="00667C8A"/>
    <w:rsid w:val="00667ED5"/>
    <w:rsid w:val="00670501"/>
    <w:rsid w:val="00670855"/>
    <w:rsid w:val="00670B9E"/>
    <w:rsid w:val="00670BBD"/>
    <w:rsid w:val="00670BEE"/>
    <w:rsid w:val="00670D0F"/>
    <w:rsid w:val="00670DCE"/>
    <w:rsid w:val="00670F29"/>
    <w:rsid w:val="00670F9D"/>
    <w:rsid w:val="006716EC"/>
    <w:rsid w:val="00672825"/>
    <w:rsid w:val="0067295B"/>
    <w:rsid w:val="00672A42"/>
    <w:rsid w:val="00672B92"/>
    <w:rsid w:val="00672DD7"/>
    <w:rsid w:val="00673092"/>
    <w:rsid w:val="0067398F"/>
    <w:rsid w:val="00673C4F"/>
    <w:rsid w:val="0067423D"/>
    <w:rsid w:val="00674B54"/>
    <w:rsid w:val="006751ED"/>
    <w:rsid w:val="006751F0"/>
    <w:rsid w:val="00675A29"/>
    <w:rsid w:val="00675E7A"/>
    <w:rsid w:val="00675EF9"/>
    <w:rsid w:val="00676167"/>
    <w:rsid w:val="006762C1"/>
    <w:rsid w:val="006768A0"/>
    <w:rsid w:val="00676D1E"/>
    <w:rsid w:val="00676F7A"/>
    <w:rsid w:val="00677025"/>
    <w:rsid w:val="0067702C"/>
    <w:rsid w:val="00677172"/>
    <w:rsid w:val="00677637"/>
    <w:rsid w:val="00677F91"/>
    <w:rsid w:val="0068009E"/>
    <w:rsid w:val="0068014B"/>
    <w:rsid w:val="006807EC"/>
    <w:rsid w:val="00680991"/>
    <w:rsid w:val="00680E0A"/>
    <w:rsid w:val="00681108"/>
    <w:rsid w:val="00681688"/>
    <w:rsid w:val="00681D9D"/>
    <w:rsid w:val="0068227D"/>
    <w:rsid w:val="006822C1"/>
    <w:rsid w:val="00682346"/>
    <w:rsid w:val="006825BB"/>
    <w:rsid w:val="00682A3E"/>
    <w:rsid w:val="00682F54"/>
    <w:rsid w:val="00683084"/>
    <w:rsid w:val="0068336A"/>
    <w:rsid w:val="00683988"/>
    <w:rsid w:val="006839C4"/>
    <w:rsid w:val="0068426D"/>
    <w:rsid w:val="0068481E"/>
    <w:rsid w:val="00684AA5"/>
    <w:rsid w:val="00684DA6"/>
    <w:rsid w:val="00684FBB"/>
    <w:rsid w:val="00685310"/>
    <w:rsid w:val="0068569E"/>
    <w:rsid w:val="00685B0A"/>
    <w:rsid w:val="00686A94"/>
    <w:rsid w:val="00686F3B"/>
    <w:rsid w:val="00687341"/>
    <w:rsid w:val="00687611"/>
    <w:rsid w:val="00687FB5"/>
    <w:rsid w:val="006902BA"/>
    <w:rsid w:val="006902EB"/>
    <w:rsid w:val="0069037C"/>
    <w:rsid w:val="00690EB0"/>
    <w:rsid w:val="006910C3"/>
    <w:rsid w:val="00691133"/>
    <w:rsid w:val="00691AD0"/>
    <w:rsid w:val="00691BCD"/>
    <w:rsid w:val="00691D8B"/>
    <w:rsid w:val="0069207C"/>
    <w:rsid w:val="00692305"/>
    <w:rsid w:val="006928BA"/>
    <w:rsid w:val="006929A8"/>
    <w:rsid w:val="00692C58"/>
    <w:rsid w:val="0069313E"/>
    <w:rsid w:val="00693C16"/>
    <w:rsid w:val="006941C5"/>
    <w:rsid w:val="006943A3"/>
    <w:rsid w:val="0069492A"/>
    <w:rsid w:val="0069495B"/>
    <w:rsid w:val="00694A7C"/>
    <w:rsid w:val="00694A90"/>
    <w:rsid w:val="00694C07"/>
    <w:rsid w:val="00694CA9"/>
    <w:rsid w:val="006951A5"/>
    <w:rsid w:val="006954B0"/>
    <w:rsid w:val="0069567D"/>
    <w:rsid w:val="00695E0E"/>
    <w:rsid w:val="00696680"/>
    <w:rsid w:val="006967E0"/>
    <w:rsid w:val="00696BC5"/>
    <w:rsid w:val="00696C25"/>
    <w:rsid w:val="00696FCD"/>
    <w:rsid w:val="0069764B"/>
    <w:rsid w:val="00697D72"/>
    <w:rsid w:val="00697DDD"/>
    <w:rsid w:val="00697F54"/>
    <w:rsid w:val="006A06A3"/>
    <w:rsid w:val="006A0A11"/>
    <w:rsid w:val="006A0C5B"/>
    <w:rsid w:val="006A0EEF"/>
    <w:rsid w:val="006A11A6"/>
    <w:rsid w:val="006A11E4"/>
    <w:rsid w:val="006A121F"/>
    <w:rsid w:val="006A1BC4"/>
    <w:rsid w:val="006A21E5"/>
    <w:rsid w:val="006A21F4"/>
    <w:rsid w:val="006A22C1"/>
    <w:rsid w:val="006A28B6"/>
    <w:rsid w:val="006A2D65"/>
    <w:rsid w:val="006A300A"/>
    <w:rsid w:val="006A359D"/>
    <w:rsid w:val="006A36AE"/>
    <w:rsid w:val="006A38CF"/>
    <w:rsid w:val="006A3B7B"/>
    <w:rsid w:val="006A3DD4"/>
    <w:rsid w:val="006A4A8C"/>
    <w:rsid w:val="006A4F9B"/>
    <w:rsid w:val="006A5031"/>
    <w:rsid w:val="006A5658"/>
    <w:rsid w:val="006A579F"/>
    <w:rsid w:val="006A57FB"/>
    <w:rsid w:val="006A61AA"/>
    <w:rsid w:val="006A6377"/>
    <w:rsid w:val="006A6C5B"/>
    <w:rsid w:val="006A7950"/>
    <w:rsid w:val="006A7D15"/>
    <w:rsid w:val="006B03DF"/>
    <w:rsid w:val="006B0587"/>
    <w:rsid w:val="006B061A"/>
    <w:rsid w:val="006B0F57"/>
    <w:rsid w:val="006B1017"/>
    <w:rsid w:val="006B12A7"/>
    <w:rsid w:val="006B1390"/>
    <w:rsid w:val="006B1499"/>
    <w:rsid w:val="006B157C"/>
    <w:rsid w:val="006B162E"/>
    <w:rsid w:val="006B17AD"/>
    <w:rsid w:val="006B1847"/>
    <w:rsid w:val="006B19C4"/>
    <w:rsid w:val="006B1C99"/>
    <w:rsid w:val="006B1CAE"/>
    <w:rsid w:val="006B204A"/>
    <w:rsid w:val="006B2954"/>
    <w:rsid w:val="006B2A89"/>
    <w:rsid w:val="006B3551"/>
    <w:rsid w:val="006B3C78"/>
    <w:rsid w:val="006B3FF7"/>
    <w:rsid w:val="006B40F4"/>
    <w:rsid w:val="006B4337"/>
    <w:rsid w:val="006B4774"/>
    <w:rsid w:val="006B47BE"/>
    <w:rsid w:val="006B4829"/>
    <w:rsid w:val="006B53A4"/>
    <w:rsid w:val="006B5481"/>
    <w:rsid w:val="006B59E3"/>
    <w:rsid w:val="006B5D8F"/>
    <w:rsid w:val="006B61D0"/>
    <w:rsid w:val="006B62D9"/>
    <w:rsid w:val="006B6E64"/>
    <w:rsid w:val="006B7096"/>
    <w:rsid w:val="006B767C"/>
    <w:rsid w:val="006B79CB"/>
    <w:rsid w:val="006B7F05"/>
    <w:rsid w:val="006C04E7"/>
    <w:rsid w:val="006C069F"/>
    <w:rsid w:val="006C0907"/>
    <w:rsid w:val="006C10E5"/>
    <w:rsid w:val="006C1FD2"/>
    <w:rsid w:val="006C20D0"/>
    <w:rsid w:val="006C28F0"/>
    <w:rsid w:val="006C2E24"/>
    <w:rsid w:val="006C32D8"/>
    <w:rsid w:val="006C35BE"/>
    <w:rsid w:val="006C39D5"/>
    <w:rsid w:val="006C3B47"/>
    <w:rsid w:val="006C3BDD"/>
    <w:rsid w:val="006C3E21"/>
    <w:rsid w:val="006C44F0"/>
    <w:rsid w:val="006C4525"/>
    <w:rsid w:val="006C4717"/>
    <w:rsid w:val="006C548C"/>
    <w:rsid w:val="006C5726"/>
    <w:rsid w:val="006C58DA"/>
    <w:rsid w:val="006C5DC5"/>
    <w:rsid w:val="006C607C"/>
    <w:rsid w:val="006C6147"/>
    <w:rsid w:val="006C6364"/>
    <w:rsid w:val="006C642F"/>
    <w:rsid w:val="006C647D"/>
    <w:rsid w:val="006C668E"/>
    <w:rsid w:val="006C67C5"/>
    <w:rsid w:val="006C67CF"/>
    <w:rsid w:val="006C69B2"/>
    <w:rsid w:val="006C6A64"/>
    <w:rsid w:val="006C730B"/>
    <w:rsid w:val="006C7548"/>
    <w:rsid w:val="006C7B7A"/>
    <w:rsid w:val="006C7FC1"/>
    <w:rsid w:val="006D06D3"/>
    <w:rsid w:val="006D1003"/>
    <w:rsid w:val="006D11D6"/>
    <w:rsid w:val="006D163F"/>
    <w:rsid w:val="006D17AB"/>
    <w:rsid w:val="006D17B1"/>
    <w:rsid w:val="006D209B"/>
    <w:rsid w:val="006D2420"/>
    <w:rsid w:val="006D2602"/>
    <w:rsid w:val="006D2944"/>
    <w:rsid w:val="006D2BB9"/>
    <w:rsid w:val="006D3175"/>
    <w:rsid w:val="006D3280"/>
    <w:rsid w:val="006D3472"/>
    <w:rsid w:val="006D3550"/>
    <w:rsid w:val="006D35A6"/>
    <w:rsid w:val="006D36F5"/>
    <w:rsid w:val="006D374C"/>
    <w:rsid w:val="006D3AC0"/>
    <w:rsid w:val="006D3D8F"/>
    <w:rsid w:val="006D3E5D"/>
    <w:rsid w:val="006D466B"/>
    <w:rsid w:val="006D4759"/>
    <w:rsid w:val="006D4849"/>
    <w:rsid w:val="006D48BE"/>
    <w:rsid w:val="006D4B29"/>
    <w:rsid w:val="006D4F5A"/>
    <w:rsid w:val="006D52DC"/>
    <w:rsid w:val="006D5332"/>
    <w:rsid w:val="006D5460"/>
    <w:rsid w:val="006D54F5"/>
    <w:rsid w:val="006D5BAB"/>
    <w:rsid w:val="006D6DD3"/>
    <w:rsid w:val="006D7828"/>
    <w:rsid w:val="006D7FA2"/>
    <w:rsid w:val="006E0038"/>
    <w:rsid w:val="006E0125"/>
    <w:rsid w:val="006E0197"/>
    <w:rsid w:val="006E04C4"/>
    <w:rsid w:val="006E0CFD"/>
    <w:rsid w:val="006E1253"/>
    <w:rsid w:val="006E1338"/>
    <w:rsid w:val="006E1592"/>
    <w:rsid w:val="006E15C8"/>
    <w:rsid w:val="006E1614"/>
    <w:rsid w:val="006E1622"/>
    <w:rsid w:val="006E1BEA"/>
    <w:rsid w:val="006E1E35"/>
    <w:rsid w:val="006E2007"/>
    <w:rsid w:val="006E245B"/>
    <w:rsid w:val="006E249C"/>
    <w:rsid w:val="006E2680"/>
    <w:rsid w:val="006E2822"/>
    <w:rsid w:val="006E2A83"/>
    <w:rsid w:val="006E2E7D"/>
    <w:rsid w:val="006E3CAC"/>
    <w:rsid w:val="006E44EC"/>
    <w:rsid w:val="006E4C29"/>
    <w:rsid w:val="006E4DBD"/>
    <w:rsid w:val="006E4EA2"/>
    <w:rsid w:val="006E5545"/>
    <w:rsid w:val="006E5D4C"/>
    <w:rsid w:val="006E6041"/>
    <w:rsid w:val="006E6049"/>
    <w:rsid w:val="006E6419"/>
    <w:rsid w:val="006E695F"/>
    <w:rsid w:val="006E6ED9"/>
    <w:rsid w:val="006E719C"/>
    <w:rsid w:val="006E7271"/>
    <w:rsid w:val="006E76A3"/>
    <w:rsid w:val="006E7B09"/>
    <w:rsid w:val="006E7BA8"/>
    <w:rsid w:val="006E7ED0"/>
    <w:rsid w:val="006E7FD1"/>
    <w:rsid w:val="006F0138"/>
    <w:rsid w:val="006F0480"/>
    <w:rsid w:val="006F0553"/>
    <w:rsid w:val="006F0583"/>
    <w:rsid w:val="006F0889"/>
    <w:rsid w:val="006F0DD8"/>
    <w:rsid w:val="006F10BB"/>
    <w:rsid w:val="006F127E"/>
    <w:rsid w:val="006F15F0"/>
    <w:rsid w:val="006F179F"/>
    <w:rsid w:val="006F1A7B"/>
    <w:rsid w:val="006F2133"/>
    <w:rsid w:val="006F22B9"/>
    <w:rsid w:val="006F2609"/>
    <w:rsid w:val="006F2B36"/>
    <w:rsid w:val="006F3123"/>
    <w:rsid w:val="006F32E8"/>
    <w:rsid w:val="006F446C"/>
    <w:rsid w:val="006F4BAD"/>
    <w:rsid w:val="006F4C36"/>
    <w:rsid w:val="006F51D6"/>
    <w:rsid w:val="006F5232"/>
    <w:rsid w:val="006F59AB"/>
    <w:rsid w:val="006F5B61"/>
    <w:rsid w:val="006F61CA"/>
    <w:rsid w:val="006F658F"/>
    <w:rsid w:val="006F6A40"/>
    <w:rsid w:val="006F6B5E"/>
    <w:rsid w:val="006F6BF0"/>
    <w:rsid w:val="006F6F3F"/>
    <w:rsid w:val="006F70E1"/>
    <w:rsid w:val="006F7301"/>
    <w:rsid w:val="006F7AA6"/>
    <w:rsid w:val="006F7B37"/>
    <w:rsid w:val="006F7BB6"/>
    <w:rsid w:val="00700038"/>
    <w:rsid w:val="0070050E"/>
    <w:rsid w:val="00700D7D"/>
    <w:rsid w:val="00701C61"/>
    <w:rsid w:val="00702087"/>
    <w:rsid w:val="007024B9"/>
    <w:rsid w:val="007028BD"/>
    <w:rsid w:val="00702929"/>
    <w:rsid w:val="00702C18"/>
    <w:rsid w:val="00702DC4"/>
    <w:rsid w:val="0070330F"/>
    <w:rsid w:val="00703351"/>
    <w:rsid w:val="00703D71"/>
    <w:rsid w:val="00703DCE"/>
    <w:rsid w:val="00704532"/>
    <w:rsid w:val="00704754"/>
    <w:rsid w:val="00704AA2"/>
    <w:rsid w:val="00704C4A"/>
    <w:rsid w:val="00704EFC"/>
    <w:rsid w:val="0070507B"/>
    <w:rsid w:val="0070543F"/>
    <w:rsid w:val="0070555E"/>
    <w:rsid w:val="00705E66"/>
    <w:rsid w:val="00706047"/>
    <w:rsid w:val="0070633E"/>
    <w:rsid w:val="007073F3"/>
    <w:rsid w:val="00707ABF"/>
    <w:rsid w:val="00707F9A"/>
    <w:rsid w:val="0071061B"/>
    <w:rsid w:val="00710A1C"/>
    <w:rsid w:val="00710AC1"/>
    <w:rsid w:val="00710E84"/>
    <w:rsid w:val="007111FD"/>
    <w:rsid w:val="00711290"/>
    <w:rsid w:val="00711489"/>
    <w:rsid w:val="007114B5"/>
    <w:rsid w:val="0071190A"/>
    <w:rsid w:val="00711B79"/>
    <w:rsid w:val="00711C32"/>
    <w:rsid w:val="00712386"/>
    <w:rsid w:val="0071239A"/>
    <w:rsid w:val="00712607"/>
    <w:rsid w:val="007126C3"/>
    <w:rsid w:val="007129FF"/>
    <w:rsid w:val="0071309D"/>
    <w:rsid w:val="0071314E"/>
    <w:rsid w:val="0071326B"/>
    <w:rsid w:val="007135DD"/>
    <w:rsid w:val="00713717"/>
    <w:rsid w:val="00713CEF"/>
    <w:rsid w:val="00714233"/>
    <w:rsid w:val="007143A4"/>
    <w:rsid w:val="007147E9"/>
    <w:rsid w:val="007149EF"/>
    <w:rsid w:val="00715192"/>
    <w:rsid w:val="007152F9"/>
    <w:rsid w:val="00715F47"/>
    <w:rsid w:val="007162D2"/>
    <w:rsid w:val="00716310"/>
    <w:rsid w:val="007165ED"/>
    <w:rsid w:val="00716F0E"/>
    <w:rsid w:val="00716F5A"/>
    <w:rsid w:val="00717404"/>
    <w:rsid w:val="00717F5C"/>
    <w:rsid w:val="007200F4"/>
    <w:rsid w:val="00720508"/>
    <w:rsid w:val="00720CFB"/>
    <w:rsid w:val="00720DBC"/>
    <w:rsid w:val="00720F9E"/>
    <w:rsid w:val="007216AD"/>
    <w:rsid w:val="00721979"/>
    <w:rsid w:val="00721C39"/>
    <w:rsid w:val="00721E0E"/>
    <w:rsid w:val="00721E59"/>
    <w:rsid w:val="00721F48"/>
    <w:rsid w:val="00721FE3"/>
    <w:rsid w:val="007222C0"/>
    <w:rsid w:val="00722492"/>
    <w:rsid w:val="00723718"/>
    <w:rsid w:val="00723804"/>
    <w:rsid w:val="007239DF"/>
    <w:rsid w:val="007239F0"/>
    <w:rsid w:val="00723A5B"/>
    <w:rsid w:val="007240B5"/>
    <w:rsid w:val="00724C16"/>
    <w:rsid w:val="00724DB0"/>
    <w:rsid w:val="00724FFA"/>
    <w:rsid w:val="0072515F"/>
    <w:rsid w:val="00725667"/>
    <w:rsid w:val="00725D10"/>
    <w:rsid w:val="007266AB"/>
    <w:rsid w:val="007266C9"/>
    <w:rsid w:val="00726F37"/>
    <w:rsid w:val="00727412"/>
    <w:rsid w:val="00727574"/>
    <w:rsid w:val="007276AA"/>
    <w:rsid w:val="00727945"/>
    <w:rsid w:val="00727D6A"/>
    <w:rsid w:val="007300AE"/>
    <w:rsid w:val="007307F0"/>
    <w:rsid w:val="007308A7"/>
    <w:rsid w:val="00730A2B"/>
    <w:rsid w:val="007313DB"/>
    <w:rsid w:val="007314D9"/>
    <w:rsid w:val="007318B3"/>
    <w:rsid w:val="00731F81"/>
    <w:rsid w:val="0073224D"/>
    <w:rsid w:val="00732821"/>
    <w:rsid w:val="00732B14"/>
    <w:rsid w:val="00732BF8"/>
    <w:rsid w:val="00732CB5"/>
    <w:rsid w:val="00732FFC"/>
    <w:rsid w:val="0073324D"/>
    <w:rsid w:val="00733251"/>
    <w:rsid w:val="00733268"/>
    <w:rsid w:val="007335A5"/>
    <w:rsid w:val="007335E3"/>
    <w:rsid w:val="007344D8"/>
    <w:rsid w:val="00734701"/>
    <w:rsid w:val="007349B7"/>
    <w:rsid w:val="00734BA5"/>
    <w:rsid w:val="007352A1"/>
    <w:rsid w:val="007355BF"/>
    <w:rsid w:val="0073564E"/>
    <w:rsid w:val="00735AD3"/>
    <w:rsid w:val="00735D01"/>
    <w:rsid w:val="00736681"/>
    <w:rsid w:val="0073687D"/>
    <w:rsid w:val="00736F50"/>
    <w:rsid w:val="007371D8"/>
    <w:rsid w:val="00737B4A"/>
    <w:rsid w:val="00737DEF"/>
    <w:rsid w:val="00740010"/>
    <w:rsid w:val="00740792"/>
    <w:rsid w:val="00740FC8"/>
    <w:rsid w:val="0074116E"/>
    <w:rsid w:val="00741435"/>
    <w:rsid w:val="0074144B"/>
    <w:rsid w:val="00741ED9"/>
    <w:rsid w:val="007420DA"/>
    <w:rsid w:val="007428FB"/>
    <w:rsid w:val="00742B09"/>
    <w:rsid w:val="00742EEF"/>
    <w:rsid w:val="0074320A"/>
    <w:rsid w:val="0074324C"/>
    <w:rsid w:val="00743672"/>
    <w:rsid w:val="007436D9"/>
    <w:rsid w:val="00743D92"/>
    <w:rsid w:val="0074432D"/>
    <w:rsid w:val="00744734"/>
    <w:rsid w:val="00744952"/>
    <w:rsid w:val="007452E4"/>
    <w:rsid w:val="007456E9"/>
    <w:rsid w:val="007459DD"/>
    <w:rsid w:val="00745A08"/>
    <w:rsid w:val="00745CDE"/>
    <w:rsid w:val="00745D6A"/>
    <w:rsid w:val="00745E43"/>
    <w:rsid w:val="00745EE1"/>
    <w:rsid w:val="00745F11"/>
    <w:rsid w:val="0074665A"/>
    <w:rsid w:val="00746E70"/>
    <w:rsid w:val="00747176"/>
    <w:rsid w:val="0074747A"/>
    <w:rsid w:val="00747490"/>
    <w:rsid w:val="00750192"/>
    <w:rsid w:val="007504A5"/>
    <w:rsid w:val="007505C2"/>
    <w:rsid w:val="00751158"/>
    <w:rsid w:val="007513C1"/>
    <w:rsid w:val="00751892"/>
    <w:rsid w:val="00751C2D"/>
    <w:rsid w:val="00752816"/>
    <w:rsid w:val="00752D52"/>
    <w:rsid w:val="0075322A"/>
    <w:rsid w:val="0075377E"/>
    <w:rsid w:val="00753CB8"/>
    <w:rsid w:val="007542D4"/>
    <w:rsid w:val="00754CFD"/>
    <w:rsid w:val="00754F18"/>
    <w:rsid w:val="007552AF"/>
    <w:rsid w:val="00755374"/>
    <w:rsid w:val="00755481"/>
    <w:rsid w:val="00755516"/>
    <w:rsid w:val="00755553"/>
    <w:rsid w:val="00755678"/>
    <w:rsid w:val="00755DFE"/>
    <w:rsid w:val="0075625C"/>
    <w:rsid w:val="007568F1"/>
    <w:rsid w:val="007575DC"/>
    <w:rsid w:val="007575E8"/>
    <w:rsid w:val="007602A0"/>
    <w:rsid w:val="007604E1"/>
    <w:rsid w:val="00760725"/>
    <w:rsid w:val="00761385"/>
    <w:rsid w:val="00761730"/>
    <w:rsid w:val="0076181A"/>
    <w:rsid w:val="007619C2"/>
    <w:rsid w:val="007619DE"/>
    <w:rsid w:val="00761B35"/>
    <w:rsid w:val="00761B5A"/>
    <w:rsid w:val="00761F2A"/>
    <w:rsid w:val="0076201F"/>
    <w:rsid w:val="00762372"/>
    <w:rsid w:val="00762837"/>
    <w:rsid w:val="00762AA6"/>
    <w:rsid w:val="00762D57"/>
    <w:rsid w:val="0076318A"/>
    <w:rsid w:val="007637C1"/>
    <w:rsid w:val="0076397D"/>
    <w:rsid w:val="00763A76"/>
    <w:rsid w:val="0076416B"/>
    <w:rsid w:val="00764E4B"/>
    <w:rsid w:val="007653D8"/>
    <w:rsid w:val="00765643"/>
    <w:rsid w:val="00765708"/>
    <w:rsid w:val="00765917"/>
    <w:rsid w:val="007659BA"/>
    <w:rsid w:val="007659EB"/>
    <w:rsid w:val="00765E87"/>
    <w:rsid w:val="007660E3"/>
    <w:rsid w:val="00766384"/>
    <w:rsid w:val="007664FC"/>
    <w:rsid w:val="00766931"/>
    <w:rsid w:val="007669E5"/>
    <w:rsid w:val="00766EC6"/>
    <w:rsid w:val="00767779"/>
    <w:rsid w:val="007678A0"/>
    <w:rsid w:val="00767A1F"/>
    <w:rsid w:val="00767AE4"/>
    <w:rsid w:val="00767BBB"/>
    <w:rsid w:val="00770172"/>
    <w:rsid w:val="00770D87"/>
    <w:rsid w:val="0077105B"/>
    <w:rsid w:val="00771C67"/>
    <w:rsid w:val="00771FEF"/>
    <w:rsid w:val="00772594"/>
    <w:rsid w:val="0077261B"/>
    <w:rsid w:val="00772C12"/>
    <w:rsid w:val="0077321D"/>
    <w:rsid w:val="007735F8"/>
    <w:rsid w:val="00773854"/>
    <w:rsid w:val="00773DB6"/>
    <w:rsid w:val="007740A5"/>
    <w:rsid w:val="007740F7"/>
    <w:rsid w:val="0077410C"/>
    <w:rsid w:val="0077443C"/>
    <w:rsid w:val="00774746"/>
    <w:rsid w:val="00774C25"/>
    <w:rsid w:val="00774FDB"/>
    <w:rsid w:val="0077559D"/>
    <w:rsid w:val="00775AA8"/>
    <w:rsid w:val="00775B75"/>
    <w:rsid w:val="00775E64"/>
    <w:rsid w:val="00776D2B"/>
    <w:rsid w:val="00776E2C"/>
    <w:rsid w:val="007772EF"/>
    <w:rsid w:val="00777432"/>
    <w:rsid w:val="00777986"/>
    <w:rsid w:val="00777BFE"/>
    <w:rsid w:val="00780897"/>
    <w:rsid w:val="007815ED"/>
    <w:rsid w:val="0078192A"/>
    <w:rsid w:val="00781C68"/>
    <w:rsid w:val="00781E69"/>
    <w:rsid w:val="007821C1"/>
    <w:rsid w:val="00782D62"/>
    <w:rsid w:val="007838FF"/>
    <w:rsid w:val="00783EBB"/>
    <w:rsid w:val="0078438B"/>
    <w:rsid w:val="0078451D"/>
    <w:rsid w:val="00784A2B"/>
    <w:rsid w:val="00784CAD"/>
    <w:rsid w:val="00784D68"/>
    <w:rsid w:val="007851A8"/>
    <w:rsid w:val="0078531C"/>
    <w:rsid w:val="0078544D"/>
    <w:rsid w:val="00785788"/>
    <w:rsid w:val="00785862"/>
    <w:rsid w:val="0078649D"/>
    <w:rsid w:val="007864C1"/>
    <w:rsid w:val="007865A6"/>
    <w:rsid w:val="00786A09"/>
    <w:rsid w:val="00786EAA"/>
    <w:rsid w:val="007871CA"/>
    <w:rsid w:val="007874F6"/>
    <w:rsid w:val="00787A69"/>
    <w:rsid w:val="00787EEF"/>
    <w:rsid w:val="0079034C"/>
    <w:rsid w:val="0079040F"/>
    <w:rsid w:val="0079062A"/>
    <w:rsid w:val="00790899"/>
    <w:rsid w:val="00791007"/>
    <w:rsid w:val="007912F9"/>
    <w:rsid w:val="00791DD8"/>
    <w:rsid w:val="00792041"/>
    <w:rsid w:val="00792444"/>
    <w:rsid w:val="007924E3"/>
    <w:rsid w:val="0079273F"/>
    <w:rsid w:val="00792899"/>
    <w:rsid w:val="00792BAF"/>
    <w:rsid w:val="00792D5D"/>
    <w:rsid w:val="007930B2"/>
    <w:rsid w:val="007930F4"/>
    <w:rsid w:val="00793975"/>
    <w:rsid w:val="007943EE"/>
    <w:rsid w:val="00794469"/>
    <w:rsid w:val="00795383"/>
    <w:rsid w:val="0079692E"/>
    <w:rsid w:val="00796942"/>
    <w:rsid w:val="00796A34"/>
    <w:rsid w:val="00797011"/>
    <w:rsid w:val="007974B5"/>
    <w:rsid w:val="00797AB1"/>
    <w:rsid w:val="00797BC8"/>
    <w:rsid w:val="00797F59"/>
    <w:rsid w:val="007A0036"/>
    <w:rsid w:val="007A0284"/>
    <w:rsid w:val="007A02BC"/>
    <w:rsid w:val="007A05D5"/>
    <w:rsid w:val="007A069F"/>
    <w:rsid w:val="007A08D1"/>
    <w:rsid w:val="007A0C74"/>
    <w:rsid w:val="007A0E8E"/>
    <w:rsid w:val="007A128E"/>
    <w:rsid w:val="007A14A3"/>
    <w:rsid w:val="007A1DCB"/>
    <w:rsid w:val="007A20B9"/>
    <w:rsid w:val="007A235A"/>
    <w:rsid w:val="007A28AB"/>
    <w:rsid w:val="007A28EC"/>
    <w:rsid w:val="007A2A3A"/>
    <w:rsid w:val="007A2D8C"/>
    <w:rsid w:val="007A34AE"/>
    <w:rsid w:val="007A35CD"/>
    <w:rsid w:val="007A3A9B"/>
    <w:rsid w:val="007A3AD9"/>
    <w:rsid w:val="007A3B98"/>
    <w:rsid w:val="007A3E1C"/>
    <w:rsid w:val="007A43DE"/>
    <w:rsid w:val="007A4682"/>
    <w:rsid w:val="007A47C1"/>
    <w:rsid w:val="007A48A3"/>
    <w:rsid w:val="007A4CC8"/>
    <w:rsid w:val="007A4DFF"/>
    <w:rsid w:val="007A54C5"/>
    <w:rsid w:val="007A5B1C"/>
    <w:rsid w:val="007A5D40"/>
    <w:rsid w:val="007A62BB"/>
    <w:rsid w:val="007A63C1"/>
    <w:rsid w:val="007A6501"/>
    <w:rsid w:val="007A65BD"/>
    <w:rsid w:val="007A67B3"/>
    <w:rsid w:val="007A6FCF"/>
    <w:rsid w:val="007A736E"/>
    <w:rsid w:val="007A77E8"/>
    <w:rsid w:val="007A7857"/>
    <w:rsid w:val="007B01E9"/>
    <w:rsid w:val="007B0265"/>
    <w:rsid w:val="007B0DAA"/>
    <w:rsid w:val="007B0EF2"/>
    <w:rsid w:val="007B10A8"/>
    <w:rsid w:val="007B1429"/>
    <w:rsid w:val="007B1811"/>
    <w:rsid w:val="007B21C2"/>
    <w:rsid w:val="007B225A"/>
    <w:rsid w:val="007B2492"/>
    <w:rsid w:val="007B2504"/>
    <w:rsid w:val="007B2F5E"/>
    <w:rsid w:val="007B32BA"/>
    <w:rsid w:val="007B3B23"/>
    <w:rsid w:val="007B4164"/>
    <w:rsid w:val="007B42CE"/>
    <w:rsid w:val="007B556F"/>
    <w:rsid w:val="007B55D6"/>
    <w:rsid w:val="007B55E8"/>
    <w:rsid w:val="007B59C2"/>
    <w:rsid w:val="007B5B27"/>
    <w:rsid w:val="007B5D6B"/>
    <w:rsid w:val="007B5F5F"/>
    <w:rsid w:val="007B63FA"/>
    <w:rsid w:val="007B6524"/>
    <w:rsid w:val="007B7166"/>
    <w:rsid w:val="007B7278"/>
    <w:rsid w:val="007B73AA"/>
    <w:rsid w:val="007B7420"/>
    <w:rsid w:val="007B79E7"/>
    <w:rsid w:val="007B79F1"/>
    <w:rsid w:val="007B7B93"/>
    <w:rsid w:val="007B7F02"/>
    <w:rsid w:val="007B7F30"/>
    <w:rsid w:val="007C04A5"/>
    <w:rsid w:val="007C07F7"/>
    <w:rsid w:val="007C0FAA"/>
    <w:rsid w:val="007C15AB"/>
    <w:rsid w:val="007C16B2"/>
    <w:rsid w:val="007C1AA6"/>
    <w:rsid w:val="007C2536"/>
    <w:rsid w:val="007C2C3F"/>
    <w:rsid w:val="007C2CAF"/>
    <w:rsid w:val="007C2DBD"/>
    <w:rsid w:val="007C35C9"/>
    <w:rsid w:val="007C3A2E"/>
    <w:rsid w:val="007C3A5D"/>
    <w:rsid w:val="007C3CF5"/>
    <w:rsid w:val="007C4012"/>
    <w:rsid w:val="007C4633"/>
    <w:rsid w:val="007C4CA0"/>
    <w:rsid w:val="007C4DF0"/>
    <w:rsid w:val="007C5F2F"/>
    <w:rsid w:val="007C5F78"/>
    <w:rsid w:val="007C6163"/>
    <w:rsid w:val="007C6177"/>
    <w:rsid w:val="007C65F9"/>
    <w:rsid w:val="007C7529"/>
    <w:rsid w:val="007C762F"/>
    <w:rsid w:val="007C7A1B"/>
    <w:rsid w:val="007C7C71"/>
    <w:rsid w:val="007C7CA6"/>
    <w:rsid w:val="007C7D00"/>
    <w:rsid w:val="007C7E05"/>
    <w:rsid w:val="007D01FD"/>
    <w:rsid w:val="007D0289"/>
    <w:rsid w:val="007D0382"/>
    <w:rsid w:val="007D06B1"/>
    <w:rsid w:val="007D120C"/>
    <w:rsid w:val="007D14CF"/>
    <w:rsid w:val="007D16FA"/>
    <w:rsid w:val="007D1855"/>
    <w:rsid w:val="007D193D"/>
    <w:rsid w:val="007D1EA4"/>
    <w:rsid w:val="007D2332"/>
    <w:rsid w:val="007D24BA"/>
    <w:rsid w:val="007D2579"/>
    <w:rsid w:val="007D2656"/>
    <w:rsid w:val="007D2940"/>
    <w:rsid w:val="007D2D22"/>
    <w:rsid w:val="007D3125"/>
    <w:rsid w:val="007D3B5C"/>
    <w:rsid w:val="007D3D59"/>
    <w:rsid w:val="007D4266"/>
    <w:rsid w:val="007D43EC"/>
    <w:rsid w:val="007D4529"/>
    <w:rsid w:val="007D45C3"/>
    <w:rsid w:val="007D46BA"/>
    <w:rsid w:val="007D46FC"/>
    <w:rsid w:val="007D4886"/>
    <w:rsid w:val="007D4971"/>
    <w:rsid w:val="007D4ABA"/>
    <w:rsid w:val="007D4F32"/>
    <w:rsid w:val="007D5037"/>
    <w:rsid w:val="007D54B3"/>
    <w:rsid w:val="007D57E8"/>
    <w:rsid w:val="007D5C6F"/>
    <w:rsid w:val="007D5F20"/>
    <w:rsid w:val="007D6142"/>
    <w:rsid w:val="007D61F3"/>
    <w:rsid w:val="007D6740"/>
    <w:rsid w:val="007D6ACF"/>
    <w:rsid w:val="007D6BCD"/>
    <w:rsid w:val="007D702F"/>
    <w:rsid w:val="007D73D7"/>
    <w:rsid w:val="007D7D67"/>
    <w:rsid w:val="007E01ED"/>
    <w:rsid w:val="007E0D0E"/>
    <w:rsid w:val="007E113E"/>
    <w:rsid w:val="007E1314"/>
    <w:rsid w:val="007E13FF"/>
    <w:rsid w:val="007E2120"/>
    <w:rsid w:val="007E2130"/>
    <w:rsid w:val="007E237C"/>
    <w:rsid w:val="007E260F"/>
    <w:rsid w:val="007E2FCF"/>
    <w:rsid w:val="007E3C41"/>
    <w:rsid w:val="007E3C8C"/>
    <w:rsid w:val="007E3F39"/>
    <w:rsid w:val="007E418F"/>
    <w:rsid w:val="007E44B7"/>
    <w:rsid w:val="007E47F6"/>
    <w:rsid w:val="007E5EAC"/>
    <w:rsid w:val="007E5EC6"/>
    <w:rsid w:val="007E613A"/>
    <w:rsid w:val="007E6291"/>
    <w:rsid w:val="007E7408"/>
    <w:rsid w:val="007E7AE8"/>
    <w:rsid w:val="007E7C36"/>
    <w:rsid w:val="007F05D4"/>
    <w:rsid w:val="007F0E97"/>
    <w:rsid w:val="007F109F"/>
    <w:rsid w:val="007F1200"/>
    <w:rsid w:val="007F167E"/>
    <w:rsid w:val="007F16D4"/>
    <w:rsid w:val="007F1A02"/>
    <w:rsid w:val="007F2273"/>
    <w:rsid w:val="007F2285"/>
    <w:rsid w:val="007F261E"/>
    <w:rsid w:val="007F262C"/>
    <w:rsid w:val="007F2B77"/>
    <w:rsid w:val="007F2C37"/>
    <w:rsid w:val="007F3B8F"/>
    <w:rsid w:val="007F45FE"/>
    <w:rsid w:val="007F4AC8"/>
    <w:rsid w:val="007F4C18"/>
    <w:rsid w:val="007F4E4C"/>
    <w:rsid w:val="007F6156"/>
    <w:rsid w:val="007F6379"/>
    <w:rsid w:val="007F648B"/>
    <w:rsid w:val="007F6657"/>
    <w:rsid w:val="007F6805"/>
    <w:rsid w:val="007F6B57"/>
    <w:rsid w:val="007F6C13"/>
    <w:rsid w:val="007F7043"/>
    <w:rsid w:val="007F7190"/>
    <w:rsid w:val="007F72C9"/>
    <w:rsid w:val="007F744F"/>
    <w:rsid w:val="007F7A92"/>
    <w:rsid w:val="00800A3E"/>
    <w:rsid w:val="00800C44"/>
    <w:rsid w:val="00800CDA"/>
    <w:rsid w:val="00800D86"/>
    <w:rsid w:val="00800EA0"/>
    <w:rsid w:val="0080117E"/>
    <w:rsid w:val="008013C4"/>
    <w:rsid w:val="008014E9"/>
    <w:rsid w:val="0080160E"/>
    <w:rsid w:val="00801802"/>
    <w:rsid w:val="00801C6C"/>
    <w:rsid w:val="00801D40"/>
    <w:rsid w:val="00801E11"/>
    <w:rsid w:val="00801EAB"/>
    <w:rsid w:val="00802064"/>
    <w:rsid w:val="008024AA"/>
    <w:rsid w:val="00802FC4"/>
    <w:rsid w:val="00803ADC"/>
    <w:rsid w:val="00803E8D"/>
    <w:rsid w:val="0080410C"/>
    <w:rsid w:val="0080446C"/>
    <w:rsid w:val="008044AA"/>
    <w:rsid w:val="008058D7"/>
    <w:rsid w:val="00805D04"/>
    <w:rsid w:val="00805E7F"/>
    <w:rsid w:val="00806081"/>
    <w:rsid w:val="0080637B"/>
    <w:rsid w:val="00806819"/>
    <w:rsid w:val="00807036"/>
    <w:rsid w:val="0080755F"/>
    <w:rsid w:val="0080760E"/>
    <w:rsid w:val="0080764B"/>
    <w:rsid w:val="008077E2"/>
    <w:rsid w:val="00807C7C"/>
    <w:rsid w:val="00810386"/>
    <w:rsid w:val="008115DE"/>
    <w:rsid w:val="008118BE"/>
    <w:rsid w:val="00811CCA"/>
    <w:rsid w:val="00811EE5"/>
    <w:rsid w:val="00811EF9"/>
    <w:rsid w:val="008120EE"/>
    <w:rsid w:val="00812296"/>
    <w:rsid w:val="0081272F"/>
    <w:rsid w:val="00812A22"/>
    <w:rsid w:val="00813256"/>
    <w:rsid w:val="00813950"/>
    <w:rsid w:val="008140BB"/>
    <w:rsid w:val="00814138"/>
    <w:rsid w:val="0081419D"/>
    <w:rsid w:val="00815261"/>
    <w:rsid w:val="00815348"/>
    <w:rsid w:val="0081564B"/>
    <w:rsid w:val="0081572D"/>
    <w:rsid w:val="00815B1A"/>
    <w:rsid w:val="00815BDA"/>
    <w:rsid w:val="008162D4"/>
    <w:rsid w:val="00816332"/>
    <w:rsid w:val="008167D6"/>
    <w:rsid w:val="00816CA6"/>
    <w:rsid w:val="00816DCD"/>
    <w:rsid w:val="00816F39"/>
    <w:rsid w:val="00816FD8"/>
    <w:rsid w:val="00816FFA"/>
    <w:rsid w:val="0081722D"/>
    <w:rsid w:val="00817513"/>
    <w:rsid w:val="00817E9A"/>
    <w:rsid w:val="00817EA6"/>
    <w:rsid w:val="00817EF0"/>
    <w:rsid w:val="008200F3"/>
    <w:rsid w:val="008203CF"/>
    <w:rsid w:val="008205DB"/>
    <w:rsid w:val="0082114F"/>
    <w:rsid w:val="00821663"/>
    <w:rsid w:val="008219AF"/>
    <w:rsid w:val="00821CF6"/>
    <w:rsid w:val="008222E0"/>
    <w:rsid w:val="00822D87"/>
    <w:rsid w:val="008231F9"/>
    <w:rsid w:val="0082356F"/>
    <w:rsid w:val="0082358D"/>
    <w:rsid w:val="008236D2"/>
    <w:rsid w:val="0082374B"/>
    <w:rsid w:val="00823CDA"/>
    <w:rsid w:val="00824072"/>
    <w:rsid w:val="0082413A"/>
    <w:rsid w:val="00824508"/>
    <w:rsid w:val="0082454E"/>
    <w:rsid w:val="0082518B"/>
    <w:rsid w:val="00826469"/>
    <w:rsid w:val="008264C2"/>
    <w:rsid w:val="00826C10"/>
    <w:rsid w:val="00826C96"/>
    <w:rsid w:val="00826DF0"/>
    <w:rsid w:val="0082725D"/>
    <w:rsid w:val="008275D0"/>
    <w:rsid w:val="0082772E"/>
    <w:rsid w:val="00830052"/>
    <w:rsid w:val="00830080"/>
    <w:rsid w:val="008302CC"/>
    <w:rsid w:val="00830A0D"/>
    <w:rsid w:val="00830C70"/>
    <w:rsid w:val="008311BD"/>
    <w:rsid w:val="008315B7"/>
    <w:rsid w:val="00831779"/>
    <w:rsid w:val="00831923"/>
    <w:rsid w:val="00831A40"/>
    <w:rsid w:val="00831B61"/>
    <w:rsid w:val="00831CE6"/>
    <w:rsid w:val="00831F58"/>
    <w:rsid w:val="00832044"/>
    <w:rsid w:val="008325B8"/>
    <w:rsid w:val="008326F6"/>
    <w:rsid w:val="0083296B"/>
    <w:rsid w:val="008329A9"/>
    <w:rsid w:val="008334F6"/>
    <w:rsid w:val="00833A9F"/>
    <w:rsid w:val="00833D24"/>
    <w:rsid w:val="00833E52"/>
    <w:rsid w:val="00833ED5"/>
    <w:rsid w:val="00834730"/>
    <w:rsid w:val="0083475D"/>
    <w:rsid w:val="008348F3"/>
    <w:rsid w:val="00834C6B"/>
    <w:rsid w:val="008351BD"/>
    <w:rsid w:val="00835CA0"/>
    <w:rsid w:val="00835D55"/>
    <w:rsid w:val="00835DE8"/>
    <w:rsid w:val="0083646E"/>
    <w:rsid w:val="0083720E"/>
    <w:rsid w:val="008376DB"/>
    <w:rsid w:val="0083774D"/>
    <w:rsid w:val="00837B3C"/>
    <w:rsid w:val="00837E2F"/>
    <w:rsid w:val="008402F2"/>
    <w:rsid w:val="0084050F"/>
    <w:rsid w:val="00840C10"/>
    <w:rsid w:val="00840CF5"/>
    <w:rsid w:val="00840E91"/>
    <w:rsid w:val="00840F0C"/>
    <w:rsid w:val="008410BE"/>
    <w:rsid w:val="00841211"/>
    <w:rsid w:val="008413CD"/>
    <w:rsid w:val="008416DD"/>
    <w:rsid w:val="008419EA"/>
    <w:rsid w:val="00841A8D"/>
    <w:rsid w:val="008422A9"/>
    <w:rsid w:val="00842CC4"/>
    <w:rsid w:val="00842F2F"/>
    <w:rsid w:val="008438AF"/>
    <w:rsid w:val="00843B03"/>
    <w:rsid w:val="00843C94"/>
    <w:rsid w:val="00844BBD"/>
    <w:rsid w:val="00844C51"/>
    <w:rsid w:val="00845809"/>
    <w:rsid w:val="00845D05"/>
    <w:rsid w:val="008465C4"/>
    <w:rsid w:val="00846694"/>
    <w:rsid w:val="008471EB"/>
    <w:rsid w:val="00847300"/>
    <w:rsid w:val="00847436"/>
    <w:rsid w:val="00847590"/>
    <w:rsid w:val="008475A0"/>
    <w:rsid w:val="008475B5"/>
    <w:rsid w:val="0084769B"/>
    <w:rsid w:val="00847B76"/>
    <w:rsid w:val="00847E48"/>
    <w:rsid w:val="00850CA7"/>
    <w:rsid w:val="00850EF5"/>
    <w:rsid w:val="008517B6"/>
    <w:rsid w:val="00851F99"/>
    <w:rsid w:val="00852428"/>
    <w:rsid w:val="00852858"/>
    <w:rsid w:val="00852B24"/>
    <w:rsid w:val="00852CAE"/>
    <w:rsid w:val="00852D6D"/>
    <w:rsid w:val="00852EDF"/>
    <w:rsid w:val="00853444"/>
    <w:rsid w:val="008534E6"/>
    <w:rsid w:val="008536B8"/>
    <w:rsid w:val="008537D9"/>
    <w:rsid w:val="0085389A"/>
    <w:rsid w:val="00854075"/>
    <w:rsid w:val="008549A6"/>
    <w:rsid w:val="008549DE"/>
    <w:rsid w:val="00855A18"/>
    <w:rsid w:val="00855DD9"/>
    <w:rsid w:val="008565A6"/>
    <w:rsid w:val="00856A2D"/>
    <w:rsid w:val="00856AF6"/>
    <w:rsid w:val="00856DC4"/>
    <w:rsid w:val="0085707D"/>
    <w:rsid w:val="008572A0"/>
    <w:rsid w:val="0085730B"/>
    <w:rsid w:val="00857596"/>
    <w:rsid w:val="00857A80"/>
    <w:rsid w:val="00857A96"/>
    <w:rsid w:val="00857B28"/>
    <w:rsid w:val="00860317"/>
    <w:rsid w:val="008603FA"/>
    <w:rsid w:val="00860B89"/>
    <w:rsid w:val="0086166B"/>
    <w:rsid w:val="00861A2B"/>
    <w:rsid w:val="00861B19"/>
    <w:rsid w:val="008628EA"/>
    <w:rsid w:val="00862949"/>
    <w:rsid w:val="00862DA5"/>
    <w:rsid w:val="008639F3"/>
    <w:rsid w:val="00863DF2"/>
    <w:rsid w:val="00863FB2"/>
    <w:rsid w:val="008641C5"/>
    <w:rsid w:val="00864E63"/>
    <w:rsid w:val="00864EFD"/>
    <w:rsid w:val="0086523C"/>
    <w:rsid w:val="0086535C"/>
    <w:rsid w:val="00865C9B"/>
    <w:rsid w:val="0086624C"/>
    <w:rsid w:val="008664B3"/>
    <w:rsid w:val="0086687C"/>
    <w:rsid w:val="00866CC6"/>
    <w:rsid w:val="00866EC0"/>
    <w:rsid w:val="00867047"/>
    <w:rsid w:val="0086711E"/>
    <w:rsid w:val="0086791E"/>
    <w:rsid w:val="008679CB"/>
    <w:rsid w:val="00867EB0"/>
    <w:rsid w:val="00870487"/>
    <w:rsid w:val="008706AE"/>
    <w:rsid w:val="0087171C"/>
    <w:rsid w:val="008718F2"/>
    <w:rsid w:val="00871AD3"/>
    <w:rsid w:val="00872220"/>
    <w:rsid w:val="0087223E"/>
    <w:rsid w:val="008725F3"/>
    <w:rsid w:val="008726B8"/>
    <w:rsid w:val="008733E0"/>
    <w:rsid w:val="00873539"/>
    <w:rsid w:val="008737DA"/>
    <w:rsid w:val="00873827"/>
    <w:rsid w:val="0087419B"/>
    <w:rsid w:val="008743BB"/>
    <w:rsid w:val="00874644"/>
    <w:rsid w:val="00874730"/>
    <w:rsid w:val="00875C0D"/>
    <w:rsid w:val="00875EF1"/>
    <w:rsid w:val="00875FCC"/>
    <w:rsid w:val="00876025"/>
    <w:rsid w:val="008760F3"/>
    <w:rsid w:val="00876482"/>
    <w:rsid w:val="0087675C"/>
    <w:rsid w:val="00877191"/>
    <w:rsid w:val="008773F4"/>
    <w:rsid w:val="00877421"/>
    <w:rsid w:val="00877433"/>
    <w:rsid w:val="008774A9"/>
    <w:rsid w:val="008774CB"/>
    <w:rsid w:val="008779FF"/>
    <w:rsid w:val="0088039B"/>
    <w:rsid w:val="008803E8"/>
    <w:rsid w:val="00880B6F"/>
    <w:rsid w:val="0088142E"/>
    <w:rsid w:val="00881AFF"/>
    <w:rsid w:val="00881B49"/>
    <w:rsid w:val="00882366"/>
    <w:rsid w:val="0088251A"/>
    <w:rsid w:val="00882692"/>
    <w:rsid w:val="008828FA"/>
    <w:rsid w:val="00882A68"/>
    <w:rsid w:val="00882C58"/>
    <w:rsid w:val="00882F04"/>
    <w:rsid w:val="00882FDE"/>
    <w:rsid w:val="00883035"/>
    <w:rsid w:val="008831BD"/>
    <w:rsid w:val="00883214"/>
    <w:rsid w:val="0088328C"/>
    <w:rsid w:val="008834FB"/>
    <w:rsid w:val="008835A8"/>
    <w:rsid w:val="0088374E"/>
    <w:rsid w:val="00884080"/>
    <w:rsid w:val="00884218"/>
    <w:rsid w:val="0088422E"/>
    <w:rsid w:val="0088425A"/>
    <w:rsid w:val="00884BEA"/>
    <w:rsid w:val="00884C0E"/>
    <w:rsid w:val="00884CB4"/>
    <w:rsid w:val="00884E51"/>
    <w:rsid w:val="008852E3"/>
    <w:rsid w:val="00885CAE"/>
    <w:rsid w:val="00885E17"/>
    <w:rsid w:val="00885FC2"/>
    <w:rsid w:val="008860CC"/>
    <w:rsid w:val="00886CB7"/>
    <w:rsid w:val="008870B3"/>
    <w:rsid w:val="0088780F"/>
    <w:rsid w:val="00887A91"/>
    <w:rsid w:val="00887CEB"/>
    <w:rsid w:val="0089017C"/>
    <w:rsid w:val="008903FB"/>
    <w:rsid w:val="00890BEB"/>
    <w:rsid w:val="00891346"/>
    <w:rsid w:val="00891CDA"/>
    <w:rsid w:val="00891D6F"/>
    <w:rsid w:val="00892841"/>
    <w:rsid w:val="00892898"/>
    <w:rsid w:val="008928C6"/>
    <w:rsid w:val="008929C9"/>
    <w:rsid w:val="00892B50"/>
    <w:rsid w:val="008930A4"/>
    <w:rsid w:val="00893101"/>
    <w:rsid w:val="00893225"/>
    <w:rsid w:val="00893A94"/>
    <w:rsid w:val="00893B13"/>
    <w:rsid w:val="00893C8C"/>
    <w:rsid w:val="00894417"/>
    <w:rsid w:val="0089449E"/>
    <w:rsid w:val="0089456A"/>
    <w:rsid w:val="0089468A"/>
    <w:rsid w:val="008949EF"/>
    <w:rsid w:val="008952F3"/>
    <w:rsid w:val="0089548F"/>
    <w:rsid w:val="00895527"/>
    <w:rsid w:val="008955A8"/>
    <w:rsid w:val="00895AC7"/>
    <w:rsid w:val="00895E29"/>
    <w:rsid w:val="0089647F"/>
    <w:rsid w:val="00896AE9"/>
    <w:rsid w:val="00896D1E"/>
    <w:rsid w:val="00896FAD"/>
    <w:rsid w:val="0089786D"/>
    <w:rsid w:val="00897936"/>
    <w:rsid w:val="008A00D2"/>
    <w:rsid w:val="008A0357"/>
    <w:rsid w:val="008A03E2"/>
    <w:rsid w:val="008A08FD"/>
    <w:rsid w:val="008A1526"/>
    <w:rsid w:val="008A15DB"/>
    <w:rsid w:val="008A17A1"/>
    <w:rsid w:val="008A1977"/>
    <w:rsid w:val="008A1CA2"/>
    <w:rsid w:val="008A1D4D"/>
    <w:rsid w:val="008A1DD4"/>
    <w:rsid w:val="008A1DD5"/>
    <w:rsid w:val="008A1FDD"/>
    <w:rsid w:val="008A201A"/>
    <w:rsid w:val="008A2465"/>
    <w:rsid w:val="008A256C"/>
    <w:rsid w:val="008A2852"/>
    <w:rsid w:val="008A2AF4"/>
    <w:rsid w:val="008A2C28"/>
    <w:rsid w:val="008A2C4D"/>
    <w:rsid w:val="008A2DD7"/>
    <w:rsid w:val="008A351C"/>
    <w:rsid w:val="008A3B35"/>
    <w:rsid w:val="008A40A1"/>
    <w:rsid w:val="008A4139"/>
    <w:rsid w:val="008A4323"/>
    <w:rsid w:val="008A45C1"/>
    <w:rsid w:val="008A46D1"/>
    <w:rsid w:val="008A4964"/>
    <w:rsid w:val="008A4C3C"/>
    <w:rsid w:val="008A4DF9"/>
    <w:rsid w:val="008A4E5C"/>
    <w:rsid w:val="008A517C"/>
    <w:rsid w:val="008A51D1"/>
    <w:rsid w:val="008A52C8"/>
    <w:rsid w:val="008A5AEF"/>
    <w:rsid w:val="008A5E56"/>
    <w:rsid w:val="008A63B9"/>
    <w:rsid w:val="008A70F4"/>
    <w:rsid w:val="008A7697"/>
    <w:rsid w:val="008A7745"/>
    <w:rsid w:val="008A7B18"/>
    <w:rsid w:val="008A7E9E"/>
    <w:rsid w:val="008A7EB5"/>
    <w:rsid w:val="008B0487"/>
    <w:rsid w:val="008B0646"/>
    <w:rsid w:val="008B0CB1"/>
    <w:rsid w:val="008B0EC4"/>
    <w:rsid w:val="008B18D4"/>
    <w:rsid w:val="008B1940"/>
    <w:rsid w:val="008B1E65"/>
    <w:rsid w:val="008B1FEE"/>
    <w:rsid w:val="008B23DC"/>
    <w:rsid w:val="008B2817"/>
    <w:rsid w:val="008B2867"/>
    <w:rsid w:val="008B2B54"/>
    <w:rsid w:val="008B2CA0"/>
    <w:rsid w:val="008B2CB4"/>
    <w:rsid w:val="008B2DC6"/>
    <w:rsid w:val="008B307A"/>
    <w:rsid w:val="008B36AD"/>
    <w:rsid w:val="008B4358"/>
    <w:rsid w:val="008B44C4"/>
    <w:rsid w:val="008B468E"/>
    <w:rsid w:val="008B4972"/>
    <w:rsid w:val="008B512F"/>
    <w:rsid w:val="008B517D"/>
    <w:rsid w:val="008B55BE"/>
    <w:rsid w:val="008B57AA"/>
    <w:rsid w:val="008B57E8"/>
    <w:rsid w:val="008B58AF"/>
    <w:rsid w:val="008B597B"/>
    <w:rsid w:val="008B5F6C"/>
    <w:rsid w:val="008B62C9"/>
    <w:rsid w:val="008B6862"/>
    <w:rsid w:val="008B6F06"/>
    <w:rsid w:val="008B70BC"/>
    <w:rsid w:val="008B7E06"/>
    <w:rsid w:val="008B7EF2"/>
    <w:rsid w:val="008C0444"/>
    <w:rsid w:val="008C04B3"/>
    <w:rsid w:val="008C0588"/>
    <w:rsid w:val="008C0F1A"/>
    <w:rsid w:val="008C102A"/>
    <w:rsid w:val="008C103B"/>
    <w:rsid w:val="008C137C"/>
    <w:rsid w:val="008C157A"/>
    <w:rsid w:val="008C179F"/>
    <w:rsid w:val="008C1B8A"/>
    <w:rsid w:val="008C1D02"/>
    <w:rsid w:val="008C1FD7"/>
    <w:rsid w:val="008C20A0"/>
    <w:rsid w:val="008C21B7"/>
    <w:rsid w:val="008C22F1"/>
    <w:rsid w:val="008C2379"/>
    <w:rsid w:val="008C2575"/>
    <w:rsid w:val="008C2661"/>
    <w:rsid w:val="008C2734"/>
    <w:rsid w:val="008C28F3"/>
    <w:rsid w:val="008C33C8"/>
    <w:rsid w:val="008C3519"/>
    <w:rsid w:val="008C377C"/>
    <w:rsid w:val="008C38C0"/>
    <w:rsid w:val="008C41AD"/>
    <w:rsid w:val="008C4550"/>
    <w:rsid w:val="008C456F"/>
    <w:rsid w:val="008C4E2E"/>
    <w:rsid w:val="008C5555"/>
    <w:rsid w:val="008C5B89"/>
    <w:rsid w:val="008C5E3C"/>
    <w:rsid w:val="008C63A2"/>
    <w:rsid w:val="008C6B23"/>
    <w:rsid w:val="008C6CE9"/>
    <w:rsid w:val="008C7013"/>
    <w:rsid w:val="008C7394"/>
    <w:rsid w:val="008C73EC"/>
    <w:rsid w:val="008C75A7"/>
    <w:rsid w:val="008C792A"/>
    <w:rsid w:val="008C7B89"/>
    <w:rsid w:val="008C7F97"/>
    <w:rsid w:val="008D01B9"/>
    <w:rsid w:val="008D03EA"/>
    <w:rsid w:val="008D03FB"/>
    <w:rsid w:val="008D0D3F"/>
    <w:rsid w:val="008D0E74"/>
    <w:rsid w:val="008D146A"/>
    <w:rsid w:val="008D1809"/>
    <w:rsid w:val="008D18B0"/>
    <w:rsid w:val="008D1D76"/>
    <w:rsid w:val="008D2747"/>
    <w:rsid w:val="008D390E"/>
    <w:rsid w:val="008D3EF1"/>
    <w:rsid w:val="008D3F17"/>
    <w:rsid w:val="008D426D"/>
    <w:rsid w:val="008D4460"/>
    <w:rsid w:val="008D49CA"/>
    <w:rsid w:val="008D4D53"/>
    <w:rsid w:val="008D530E"/>
    <w:rsid w:val="008D5EF0"/>
    <w:rsid w:val="008D60EF"/>
    <w:rsid w:val="008D62ED"/>
    <w:rsid w:val="008D63BE"/>
    <w:rsid w:val="008D66EC"/>
    <w:rsid w:val="008D6A94"/>
    <w:rsid w:val="008D6B34"/>
    <w:rsid w:val="008D6DCA"/>
    <w:rsid w:val="008D6DE3"/>
    <w:rsid w:val="008D6F39"/>
    <w:rsid w:val="008D7025"/>
    <w:rsid w:val="008D78DE"/>
    <w:rsid w:val="008E015C"/>
    <w:rsid w:val="008E01E0"/>
    <w:rsid w:val="008E02E1"/>
    <w:rsid w:val="008E0610"/>
    <w:rsid w:val="008E0717"/>
    <w:rsid w:val="008E0B8B"/>
    <w:rsid w:val="008E0C83"/>
    <w:rsid w:val="008E0CC2"/>
    <w:rsid w:val="008E0EB6"/>
    <w:rsid w:val="008E10FC"/>
    <w:rsid w:val="008E1D6F"/>
    <w:rsid w:val="008E220F"/>
    <w:rsid w:val="008E267F"/>
    <w:rsid w:val="008E27DE"/>
    <w:rsid w:val="008E299C"/>
    <w:rsid w:val="008E2BCC"/>
    <w:rsid w:val="008E3077"/>
    <w:rsid w:val="008E30CF"/>
    <w:rsid w:val="008E369E"/>
    <w:rsid w:val="008E3771"/>
    <w:rsid w:val="008E383B"/>
    <w:rsid w:val="008E3E2C"/>
    <w:rsid w:val="008E4133"/>
    <w:rsid w:val="008E433C"/>
    <w:rsid w:val="008E481B"/>
    <w:rsid w:val="008E4CCB"/>
    <w:rsid w:val="008E4FFA"/>
    <w:rsid w:val="008E577C"/>
    <w:rsid w:val="008E5887"/>
    <w:rsid w:val="008E63E0"/>
    <w:rsid w:val="008E641A"/>
    <w:rsid w:val="008E70F6"/>
    <w:rsid w:val="008E7649"/>
    <w:rsid w:val="008E77F2"/>
    <w:rsid w:val="008E7D20"/>
    <w:rsid w:val="008F02E6"/>
    <w:rsid w:val="008F0E28"/>
    <w:rsid w:val="008F0F3C"/>
    <w:rsid w:val="008F10F8"/>
    <w:rsid w:val="008F1231"/>
    <w:rsid w:val="008F1300"/>
    <w:rsid w:val="008F1563"/>
    <w:rsid w:val="008F18CA"/>
    <w:rsid w:val="008F1AB0"/>
    <w:rsid w:val="008F1EA4"/>
    <w:rsid w:val="008F2666"/>
    <w:rsid w:val="008F286E"/>
    <w:rsid w:val="008F2B09"/>
    <w:rsid w:val="008F35B5"/>
    <w:rsid w:val="008F3778"/>
    <w:rsid w:val="008F3817"/>
    <w:rsid w:val="008F4146"/>
    <w:rsid w:val="008F45BE"/>
    <w:rsid w:val="008F4B49"/>
    <w:rsid w:val="008F4BE6"/>
    <w:rsid w:val="008F5026"/>
    <w:rsid w:val="008F5345"/>
    <w:rsid w:val="008F5464"/>
    <w:rsid w:val="008F54C1"/>
    <w:rsid w:val="008F54F0"/>
    <w:rsid w:val="008F5A6E"/>
    <w:rsid w:val="008F5CE6"/>
    <w:rsid w:val="008F60D5"/>
    <w:rsid w:val="008F6214"/>
    <w:rsid w:val="008F62A1"/>
    <w:rsid w:val="008F67C4"/>
    <w:rsid w:val="008F67CF"/>
    <w:rsid w:val="008F6DBC"/>
    <w:rsid w:val="008F6EE6"/>
    <w:rsid w:val="008F71BD"/>
    <w:rsid w:val="008F7378"/>
    <w:rsid w:val="008F773C"/>
    <w:rsid w:val="008F78D6"/>
    <w:rsid w:val="008F79A0"/>
    <w:rsid w:val="008F7B03"/>
    <w:rsid w:val="0090006C"/>
    <w:rsid w:val="00900B03"/>
    <w:rsid w:val="00901145"/>
    <w:rsid w:val="00901D4A"/>
    <w:rsid w:val="0090234B"/>
    <w:rsid w:val="009023F9"/>
    <w:rsid w:val="0090266F"/>
    <w:rsid w:val="0090345A"/>
    <w:rsid w:val="00903515"/>
    <w:rsid w:val="009035B4"/>
    <w:rsid w:val="00903BCA"/>
    <w:rsid w:val="00904598"/>
    <w:rsid w:val="0090527B"/>
    <w:rsid w:val="00905620"/>
    <w:rsid w:val="00905743"/>
    <w:rsid w:val="00905ECE"/>
    <w:rsid w:val="00906333"/>
    <w:rsid w:val="00906371"/>
    <w:rsid w:val="009067C5"/>
    <w:rsid w:val="009067ED"/>
    <w:rsid w:val="00906BCE"/>
    <w:rsid w:val="0090760B"/>
    <w:rsid w:val="00907659"/>
    <w:rsid w:val="0090785F"/>
    <w:rsid w:val="00907923"/>
    <w:rsid w:val="00907EBE"/>
    <w:rsid w:val="009101B1"/>
    <w:rsid w:val="0091063B"/>
    <w:rsid w:val="00911075"/>
    <w:rsid w:val="009113E6"/>
    <w:rsid w:val="0091177F"/>
    <w:rsid w:val="00911945"/>
    <w:rsid w:val="00911BD4"/>
    <w:rsid w:val="00911DAF"/>
    <w:rsid w:val="00912637"/>
    <w:rsid w:val="00912804"/>
    <w:rsid w:val="00912A27"/>
    <w:rsid w:val="00912A5B"/>
    <w:rsid w:val="00912A6C"/>
    <w:rsid w:val="00912DA6"/>
    <w:rsid w:val="00912DC5"/>
    <w:rsid w:val="009138B1"/>
    <w:rsid w:val="009139C5"/>
    <w:rsid w:val="00913CD1"/>
    <w:rsid w:val="00913D57"/>
    <w:rsid w:val="00913DE6"/>
    <w:rsid w:val="009144AF"/>
    <w:rsid w:val="009148D3"/>
    <w:rsid w:val="00914B4C"/>
    <w:rsid w:val="00915595"/>
    <w:rsid w:val="00915752"/>
    <w:rsid w:val="00915B47"/>
    <w:rsid w:val="00915BD7"/>
    <w:rsid w:val="00915D5A"/>
    <w:rsid w:val="00915E0D"/>
    <w:rsid w:val="00916472"/>
    <w:rsid w:val="0091685C"/>
    <w:rsid w:val="00916D7B"/>
    <w:rsid w:val="00916DF0"/>
    <w:rsid w:val="00916E29"/>
    <w:rsid w:val="0091705E"/>
    <w:rsid w:val="00917223"/>
    <w:rsid w:val="0092034C"/>
    <w:rsid w:val="009207E8"/>
    <w:rsid w:val="00920943"/>
    <w:rsid w:val="0092105F"/>
    <w:rsid w:val="009214A4"/>
    <w:rsid w:val="0092153C"/>
    <w:rsid w:val="009215E6"/>
    <w:rsid w:val="00921E3B"/>
    <w:rsid w:val="009221D3"/>
    <w:rsid w:val="009225DB"/>
    <w:rsid w:val="0092328E"/>
    <w:rsid w:val="0092330C"/>
    <w:rsid w:val="00923568"/>
    <w:rsid w:val="009237C2"/>
    <w:rsid w:val="0092380A"/>
    <w:rsid w:val="00923902"/>
    <w:rsid w:val="009239E8"/>
    <w:rsid w:val="00923A12"/>
    <w:rsid w:val="00923BA6"/>
    <w:rsid w:val="00923F5A"/>
    <w:rsid w:val="00924235"/>
    <w:rsid w:val="0092476E"/>
    <w:rsid w:val="00925205"/>
    <w:rsid w:val="009253D8"/>
    <w:rsid w:val="009257EF"/>
    <w:rsid w:val="00926664"/>
    <w:rsid w:val="009267EF"/>
    <w:rsid w:val="009268FC"/>
    <w:rsid w:val="00926A7D"/>
    <w:rsid w:val="00926F3B"/>
    <w:rsid w:val="009272DD"/>
    <w:rsid w:val="009278CF"/>
    <w:rsid w:val="00927921"/>
    <w:rsid w:val="009279CD"/>
    <w:rsid w:val="00927A35"/>
    <w:rsid w:val="00927C3C"/>
    <w:rsid w:val="00927E1F"/>
    <w:rsid w:val="00930096"/>
    <w:rsid w:val="00930D87"/>
    <w:rsid w:val="00931089"/>
    <w:rsid w:val="0093111B"/>
    <w:rsid w:val="0093178B"/>
    <w:rsid w:val="0093218B"/>
    <w:rsid w:val="00932612"/>
    <w:rsid w:val="0093266A"/>
    <w:rsid w:val="0093278B"/>
    <w:rsid w:val="00932822"/>
    <w:rsid w:val="00932828"/>
    <w:rsid w:val="009332E8"/>
    <w:rsid w:val="00933575"/>
    <w:rsid w:val="009338F8"/>
    <w:rsid w:val="00933DEB"/>
    <w:rsid w:val="00933EF0"/>
    <w:rsid w:val="009346B6"/>
    <w:rsid w:val="009348D9"/>
    <w:rsid w:val="00934C4D"/>
    <w:rsid w:val="00934C4F"/>
    <w:rsid w:val="009350C6"/>
    <w:rsid w:val="00935349"/>
    <w:rsid w:val="009353FA"/>
    <w:rsid w:val="009354D9"/>
    <w:rsid w:val="009358FB"/>
    <w:rsid w:val="00935FEA"/>
    <w:rsid w:val="009365A5"/>
    <w:rsid w:val="00936F59"/>
    <w:rsid w:val="009370CE"/>
    <w:rsid w:val="00937272"/>
    <w:rsid w:val="00937317"/>
    <w:rsid w:val="009377C0"/>
    <w:rsid w:val="00937A05"/>
    <w:rsid w:val="00937A99"/>
    <w:rsid w:val="009400BF"/>
    <w:rsid w:val="009409B6"/>
    <w:rsid w:val="00940B15"/>
    <w:rsid w:val="00940ED8"/>
    <w:rsid w:val="00941464"/>
    <w:rsid w:val="009414D7"/>
    <w:rsid w:val="009419CD"/>
    <w:rsid w:val="00941CB7"/>
    <w:rsid w:val="00942428"/>
    <w:rsid w:val="009429C4"/>
    <w:rsid w:val="00942C22"/>
    <w:rsid w:val="00942D96"/>
    <w:rsid w:val="00943159"/>
    <w:rsid w:val="009434B9"/>
    <w:rsid w:val="009434CE"/>
    <w:rsid w:val="009435BC"/>
    <w:rsid w:val="00943BC3"/>
    <w:rsid w:val="009444C2"/>
    <w:rsid w:val="00944673"/>
    <w:rsid w:val="00944751"/>
    <w:rsid w:val="009447E3"/>
    <w:rsid w:val="00944A91"/>
    <w:rsid w:val="0094500A"/>
    <w:rsid w:val="0094597B"/>
    <w:rsid w:val="00945F66"/>
    <w:rsid w:val="009462F5"/>
    <w:rsid w:val="0094635A"/>
    <w:rsid w:val="00946462"/>
    <w:rsid w:val="00946606"/>
    <w:rsid w:val="0094682C"/>
    <w:rsid w:val="009470DE"/>
    <w:rsid w:val="00947464"/>
    <w:rsid w:val="00947777"/>
    <w:rsid w:val="00947907"/>
    <w:rsid w:val="00947A68"/>
    <w:rsid w:val="00947D22"/>
    <w:rsid w:val="00950670"/>
    <w:rsid w:val="0095190D"/>
    <w:rsid w:val="00952349"/>
    <w:rsid w:val="009529A0"/>
    <w:rsid w:val="00952E84"/>
    <w:rsid w:val="009530AE"/>
    <w:rsid w:val="00953574"/>
    <w:rsid w:val="0095371E"/>
    <w:rsid w:val="00953A30"/>
    <w:rsid w:val="0095418D"/>
    <w:rsid w:val="009543FF"/>
    <w:rsid w:val="00954A20"/>
    <w:rsid w:val="009551A2"/>
    <w:rsid w:val="009554F2"/>
    <w:rsid w:val="0095563D"/>
    <w:rsid w:val="0095568E"/>
    <w:rsid w:val="00955C65"/>
    <w:rsid w:val="00955E81"/>
    <w:rsid w:val="009564D1"/>
    <w:rsid w:val="00957622"/>
    <w:rsid w:val="00957CF8"/>
    <w:rsid w:val="00957EC2"/>
    <w:rsid w:val="0096028C"/>
    <w:rsid w:val="00960563"/>
    <w:rsid w:val="00960791"/>
    <w:rsid w:val="00960A3D"/>
    <w:rsid w:val="00960EA8"/>
    <w:rsid w:val="00960FA5"/>
    <w:rsid w:val="00961218"/>
    <w:rsid w:val="009613C1"/>
    <w:rsid w:val="009614F1"/>
    <w:rsid w:val="0096165E"/>
    <w:rsid w:val="009616E2"/>
    <w:rsid w:val="00961B9C"/>
    <w:rsid w:val="009622F3"/>
    <w:rsid w:val="00962304"/>
    <w:rsid w:val="00962B6C"/>
    <w:rsid w:val="0096301A"/>
    <w:rsid w:val="0096313F"/>
    <w:rsid w:val="00963479"/>
    <w:rsid w:val="00964337"/>
    <w:rsid w:val="00964389"/>
    <w:rsid w:val="00964467"/>
    <w:rsid w:val="009650EF"/>
    <w:rsid w:val="00965331"/>
    <w:rsid w:val="00966052"/>
    <w:rsid w:val="009661D0"/>
    <w:rsid w:val="00966C36"/>
    <w:rsid w:val="00967139"/>
    <w:rsid w:val="0096727A"/>
    <w:rsid w:val="00967773"/>
    <w:rsid w:val="0096781B"/>
    <w:rsid w:val="00967D09"/>
    <w:rsid w:val="00970377"/>
    <w:rsid w:val="00970392"/>
    <w:rsid w:val="00970FC6"/>
    <w:rsid w:val="0097157E"/>
    <w:rsid w:val="00971A21"/>
    <w:rsid w:val="00972054"/>
    <w:rsid w:val="00972C44"/>
    <w:rsid w:val="009733AE"/>
    <w:rsid w:val="00973545"/>
    <w:rsid w:val="00973CBA"/>
    <w:rsid w:val="00973F8E"/>
    <w:rsid w:val="0097465C"/>
    <w:rsid w:val="009746F4"/>
    <w:rsid w:val="00975A9A"/>
    <w:rsid w:val="0097673A"/>
    <w:rsid w:val="00976F7F"/>
    <w:rsid w:val="009770CC"/>
    <w:rsid w:val="009776BB"/>
    <w:rsid w:val="00977ABA"/>
    <w:rsid w:val="00980128"/>
    <w:rsid w:val="009801FC"/>
    <w:rsid w:val="0098098C"/>
    <w:rsid w:val="00980EBD"/>
    <w:rsid w:val="00981344"/>
    <w:rsid w:val="00982439"/>
    <w:rsid w:val="009826D9"/>
    <w:rsid w:val="00982E4F"/>
    <w:rsid w:val="009833E2"/>
    <w:rsid w:val="00983533"/>
    <w:rsid w:val="0098373B"/>
    <w:rsid w:val="0098393E"/>
    <w:rsid w:val="00983943"/>
    <w:rsid w:val="00983BF4"/>
    <w:rsid w:val="00983EBA"/>
    <w:rsid w:val="00983F8E"/>
    <w:rsid w:val="00984696"/>
    <w:rsid w:val="009846F6"/>
    <w:rsid w:val="00984892"/>
    <w:rsid w:val="00984D31"/>
    <w:rsid w:val="00984D7A"/>
    <w:rsid w:val="00984EE1"/>
    <w:rsid w:val="00984F46"/>
    <w:rsid w:val="009850B8"/>
    <w:rsid w:val="00985C15"/>
    <w:rsid w:val="00985F89"/>
    <w:rsid w:val="00986457"/>
    <w:rsid w:val="00986530"/>
    <w:rsid w:val="00986A78"/>
    <w:rsid w:val="00987332"/>
    <w:rsid w:val="0098777E"/>
    <w:rsid w:val="00987B7F"/>
    <w:rsid w:val="00987C13"/>
    <w:rsid w:val="0099008A"/>
    <w:rsid w:val="00990411"/>
    <w:rsid w:val="00990413"/>
    <w:rsid w:val="009906A4"/>
    <w:rsid w:val="00990EE0"/>
    <w:rsid w:val="00990FC4"/>
    <w:rsid w:val="009911FD"/>
    <w:rsid w:val="0099178E"/>
    <w:rsid w:val="00991CCA"/>
    <w:rsid w:val="00992C96"/>
    <w:rsid w:val="00993226"/>
    <w:rsid w:val="0099322F"/>
    <w:rsid w:val="00993A68"/>
    <w:rsid w:val="00993DE6"/>
    <w:rsid w:val="009945B3"/>
    <w:rsid w:val="00994831"/>
    <w:rsid w:val="00994CC6"/>
    <w:rsid w:val="00995180"/>
    <w:rsid w:val="00995427"/>
    <w:rsid w:val="0099549A"/>
    <w:rsid w:val="00995CEA"/>
    <w:rsid w:val="00995D5B"/>
    <w:rsid w:val="00995F52"/>
    <w:rsid w:val="009964BA"/>
    <w:rsid w:val="0099653D"/>
    <w:rsid w:val="009967CC"/>
    <w:rsid w:val="0099693C"/>
    <w:rsid w:val="00996DE6"/>
    <w:rsid w:val="00997235"/>
    <w:rsid w:val="00997540"/>
    <w:rsid w:val="009976BD"/>
    <w:rsid w:val="00997F4F"/>
    <w:rsid w:val="009A09B7"/>
    <w:rsid w:val="009A0A62"/>
    <w:rsid w:val="009A0ECF"/>
    <w:rsid w:val="009A1119"/>
    <w:rsid w:val="009A1369"/>
    <w:rsid w:val="009A1547"/>
    <w:rsid w:val="009A177E"/>
    <w:rsid w:val="009A1843"/>
    <w:rsid w:val="009A1A84"/>
    <w:rsid w:val="009A28BA"/>
    <w:rsid w:val="009A2FDC"/>
    <w:rsid w:val="009A35B0"/>
    <w:rsid w:val="009A35CA"/>
    <w:rsid w:val="009A4096"/>
    <w:rsid w:val="009A4B84"/>
    <w:rsid w:val="009A4E1D"/>
    <w:rsid w:val="009A5151"/>
    <w:rsid w:val="009A58B0"/>
    <w:rsid w:val="009A5D7A"/>
    <w:rsid w:val="009A5F87"/>
    <w:rsid w:val="009A5F8E"/>
    <w:rsid w:val="009A62F4"/>
    <w:rsid w:val="009A6C43"/>
    <w:rsid w:val="009A6F6B"/>
    <w:rsid w:val="009A6FFE"/>
    <w:rsid w:val="009A774C"/>
    <w:rsid w:val="009A7C0B"/>
    <w:rsid w:val="009A7CE0"/>
    <w:rsid w:val="009A7CFC"/>
    <w:rsid w:val="009B008F"/>
    <w:rsid w:val="009B0233"/>
    <w:rsid w:val="009B043E"/>
    <w:rsid w:val="009B06CF"/>
    <w:rsid w:val="009B0B9C"/>
    <w:rsid w:val="009B0BCE"/>
    <w:rsid w:val="009B0BD8"/>
    <w:rsid w:val="009B0BF5"/>
    <w:rsid w:val="009B1134"/>
    <w:rsid w:val="009B1990"/>
    <w:rsid w:val="009B377B"/>
    <w:rsid w:val="009B3A98"/>
    <w:rsid w:val="009B3D5F"/>
    <w:rsid w:val="009B446F"/>
    <w:rsid w:val="009B4F17"/>
    <w:rsid w:val="009B4F9E"/>
    <w:rsid w:val="009B4FE5"/>
    <w:rsid w:val="009B5588"/>
    <w:rsid w:val="009B5A8F"/>
    <w:rsid w:val="009B5D53"/>
    <w:rsid w:val="009B6113"/>
    <w:rsid w:val="009B6501"/>
    <w:rsid w:val="009B6C22"/>
    <w:rsid w:val="009B6EFC"/>
    <w:rsid w:val="009B73AE"/>
    <w:rsid w:val="009B7771"/>
    <w:rsid w:val="009B78A4"/>
    <w:rsid w:val="009B7E53"/>
    <w:rsid w:val="009B7F61"/>
    <w:rsid w:val="009C015B"/>
    <w:rsid w:val="009C01BD"/>
    <w:rsid w:val="009C01DD"/>
    <w:rsid w:val="009C06CE"/>
    <w:rsid w:val="009C1390"/>
    <w:rsid w:val="009C15E8"/>
    <w:rsid w:val="009C16CD"/>
    <w:rsid w:val="009C17E5"/>
    <w:rsid w:val="009C1A1A"/>
    <w:rsid w:val="009C22D6"/>
    <w:rsid w:val="009C2581"/>
    <w:rsid w:val="009C28A4"/>
    <w:rsid w:val="009C2B38"/>
    <w:rsid w:val="009C30CF"/>
    <w:rsid w:val="009C3444"/>
    <w:rsid w:val="009C385C"/>
    <w:rsid w:val="009C3C1A"/>
    <w:rsid w:val="009C4096"/>
    <w:rsid w:val="009C4947"/>
    <w:rsid w:val="009C4C59"/>
    <w:rsid w:val="009C5383"/>
    <w:rsid w:val="009C539A"/>
    <w:rsid w:val="009C53D5"/>
    <w:rsid w:val="009C5643"/>
    <w:rsid w:val="009C5B64"/>
    <w:rsid w:val="009C5E7B"/>
    <w:rsid w:val="009C6040"/>
    <w:rsid w:val="009C6BF6"/>
    <w:rsid w:val="009C6C0E"/>
    <w:rsid w:val="009C6C69"/>
    <w:rsid w:val="009C6D9F"/>
    <w:rsid w:val="009C7264"/>
    <w:rsid w:val="009C72FB"/>
    <w:rsid w:val="009C7783"/>
    <w:rsid w:val="009C7897"/>
    <w:rsid w:val="009C7BC8"/>
    <w:rsid w:val="009D032A"/>
    <w:rsid w:val="009D04C7"/>
    <w:rsid w:val="009D05F9"/>
    <w:rsid w:val="009D08B1"/>
    <w:rsid w:val="009D0ADE"/>
    <w:rsid w:val="009D0B13"/>
    <w:rsid w:val="009D20E0"/>
    <w:rsid w:val="009D315F"/>
    <w:rsid w:val="009D33C3"/>
    <w:rsid w:val="009D3A1D"/>
    <w:rsid w:val="009D3FF3"/>
    <w:rsid w:val="009D424A"/>
    <w:rsid w:val="009D471A"/>
    <w:rsid w:val="009D4D91"/>
    <w:rsid w:val="009D4EFF"/>
    <w:rsid w:val="009D5361"/>
    <w:rsid w:val="009D564A"/>
    <w:rsid w:val="009D641B"/>
    <w:rsid w:val="009D67EF"/>
    <w:rsid w:val="009D6D1E"/>
    <w:rsid w:val="009D6E84"/>
    <w:rsid w:val="009D73F2"/>
    <w:rsid w:val="009D7B22"/>
    <w:rsid w:val="009D7E09"/>
    <w:rsid w:val="009E00C8"/>
    <w:rsid w:val="009E04D4"/>
    <w:rsid w:val="009E0708"/>
    <w:rsid w:val="009E095D"/>
    <w:rsid w:val="009E100C"/>
    <w:rsid w:val="009E1296"/>
    <w:rsid w:val="009E1888"/>
    <w:rsid w:val="009E19E0"/>
    <w:rsid w:val="009E1E01"/>
    <w:rsid w:val="009E22FD"/>
    <w:rsid w:val="009E2416"/>
    <w:rsid w:val="009E2AC9"/>
    <w:rsid w:val="009E2B1B"/>
    <w:rsid w:val="009E2FF5"/>
    <w:rsid w:val="009E3D4A"/>
    <w:rsid w:val="009E4841"/>
    <w:rsid w:val="009E4D8C"/>
    <w:rsid w:val="009E4FC9"/>
    <w:rsid w:val="009E561F"/>
    <w:rsid w:val="009E6502"/>
    <w:rsid w:val="009E655A"/>
    <w:rsid w:val="009E6EA2"/>
    <w:rsid w:val="009E7063"/>
    <w:rsid w:val="009E79A0"/>
    <w:rsid w:val="009E7ABF"/>
    <w:rsid w:val="009F000F"/>
    <w:rsid w:val="009F0146"/>
    <w:rsid w:val="009F1934"/>
    <w:rsid w:val="009F1B0D"/>
    <w:rsid w:val="009F1F30"/>
    <w:rsid w:val="009F224F"/>
    <w:rsid w:val="009F2467"/>
    <w:rsid w:val="009F2A02"/>
    <w:rsid w:val="009F2A77"/>
    <w:rsid w:val="009F3414"/>
    <w:rsid w:val="009F368A"/>
    <w:rsid w:val="009F3D2F"/>
    <w:rsid w:val="009F3FBC"/>
    <w:rsid w:val="009F446F"/>
    <w:rsid w:val="009F4515"/>
    <w:rsid w:val="009F4BB8"/>
    <w:rsid w:val="009F5231"/>
    <w:rsid w:val="009F587F"/>
    <w:rsid w:val="009F59B1"/>
    <w:rsid w:val="009F5CDC"/>
    <w:rsid w:val="009F5D43"/>
    <w:rsid w:val="009F6020"/>
    <w:rsid w:val="009F6877"/>
    <w:rsid w:val="009F6893"/>
    <w:rsid w:val="009F6DAD"/>
    <w:rsid w:val="009F6FCB"/>
    <w:rsid w:val="009F70F9"/>
    <w:rsid w:val="009F7710"/>
    <w:rsid w:val="009F7CAC"/>
    <w:rsid w:val="00A002FD"/>
    <w:rsid w:val="00A0046D"/>
    <w:rsid w:val="00A01161"/>
    <w:rsid w:val="00A012BB"/>
    <w:rsid w:val="00A014C3"/>
    <w:rsid w:val="00A0171C"/>
    <w:rsid w:val="00A01A51"/>
    <w:rsid w:val="00A01A6F"/>
    <w:rsid w:val="00A0260A"/>
    <w:rsid w:val="00A0268A"/>
    <w:rsid w:val="00A02AE2"/>
    <w:rsid w:val="00A032D3"/>
    <w:rsid w:val="00A038CC"/>
    <w:rsid w:val="00A044A1"/>
    <w:rsid w:val="00A05136"/>
    <w:rsid w:val="00A05F06"/>
    <w:rsid w:val="00A06219"/>
    <w:rsid w:val="00A0757A"/>
    <w:rsid w:val="00A075A3"/>
    <w:rsid w:val="00A0763F"/>
    <w:rsid w:val="00A07AB9"/>
    <w:rsid w:val="00A07AE9"/>
    <w:rsid w:val="00A07B29"/>
    <w:rsid w:val="00A1024C"/>
    <w:rsid w:val="00A102B1"/>
    <w:rsid w:val="00A1096A"/>
    <w:rsid w:val="00A109A0"/>
    <w:rsid w:val="00A10E5C"/>
    <w:rsid w:val="00A11547"/>
    <w:rsid w:val="00A115E1"/>
    <w:rsid w:val="00A11911"/>
    <w:rsid w:val="00A11A8E"/>
    <w:rsid w:val="00A11DBB"/>
    <w:rsid w:val="00A12169"/>
    <w:rsid w:val="00A122B0"/>
    <w:rsid w:val="00A122BF"/>
    <w:rsid w:val="00A12FAC"/>
    <w:rsid w:val="00A1321B"/>
    <w:rsid w:val="00A133FF"/>
    <w:rsid w:val="00A1393D"/>
    <w:rsid w:val="00A13CA8"/>
    <w:rsid w:val="00A13E0A"/>
    <w:rsid w:val="00A13FEF"/>
    <w:rsid w:val="00A14012"/>
    <w:rsid w:val="00A147EB"/>
    <w:rsid w:val="00A14992"/>
    <w:rsid w:val="00A14D22"/>
    <w:rsid w:val="00A14D61"/>
    <w:rsid w:val="00A14DF6"/>
    <w:rsid w:val="00A1576A"/>
    <w:rsid w:val="00A157AC"/>
    <w:rsid w:val="00A158D2"/>
    <w:rsid w:val="00A1660B"/>
    <w:rsid w:val="00A16640"/>
    <w:rsid w:val="00A16855"/>
    <w:rsid w:val="00A168F1"/>
    <w:rsid w:val="00A169B3"/>
    <w:rsid w:val="00A17464"/>
    <w:rsid w:val="00A1783D"/>
    <w:rsid w:val="00A178DB"/>
    <w:rsid w:val="00A2001F"/>
    <w:rsid w:val="00A20098"/>
    <w:rsid w:val="00A200FD"/>
    <w:rsid w:val="00A206A9"/>
    <w:rsid w:val="00A20828"/>
    <w:rsid w:val="00A20D6C"/>
    <w:rsid w:val="00A21058"/>
    <w:rsid w:val="00A21148"/>
    <w:rsid w:val="00A21583"/>
    <w:rsid w:val="00A219FD"/>
    <w:rsid w:val="00A21D83"/>
    <w:rsid w:val="00A2205A"/>
    <w:rsid w:val="00A2207C"/>
    <w:rsid w:val="00A2239A"/>
    <w:rsid w:val="00A22F58"/>
    <w:rsid w:val="00A23263"/>
    <w:rsid w:val="00A23358"/>
    <w:rsid w:val="00A2369F"/>
    <w:rsid w:val="00A23A9F"/>
    <w:rsid w:val="00A24335"/>
    <w:rsid w:val="00A24529"/>
    <w:rsid w:val="00A247C5"/>
    <w:rsid w:val="00A24BBA"/>
    <w:rsid w:val="00A24CB8"/>
    <w:rsid w:val="00A24E81"/>
    <w:rsid w:val="00A24F45"/>
    <w:rsid w:val="00A252AE"/>
    <w:rsid w:val="00A253AC"/>
    <w:rsid w:val="00A257D1"/>
    <w:rsid w:val="00A25DEF"/>
    <w:rsid w:val="00A26093"/>
    <w:rsid w:val="00A26170"/>
    <w:rsid w:val="00A26177"/>
    <w:rsid w:val="00A26323"/>
    <w:rsid w:val="00A263EB"/>
    <w:rsid w:val="00A26A18"/>
    <w:rsid w:val="00A26A4C"/>
    <w:rsid w:val="00A26E8D"/>
    <w:rsid w:val="00A2709E"/>
    <w:rsid w:val="00A2713C"/>
    <w:rsid w:val="00A27142"/>
    <w:rsid w:val="00A2752C"/>
    <w:rsid w:val="00A27792"/>
    <w:rsid w:val="00A27896"/>
    <w:rsid w:val="00A30290"/>
    <w:rsid w:val="00A3053B"/>
    <w:rsid w:val="00A30613"/>
    <w:rsid w:val="00A30AA2"/>
    <w:rsid w:val="00A31556"/>
    <w:rsid w:val="00A31DBF"/>
    <w:rsid w:val="00A31E63"/>
    <w:rsid w:val="00A3232F"/>
    <w:rsid w:val="00A32465"/>
    <w:rsid w:val="00A32625"/>
    <w:rsid w:val="00A331C8"/>
    <w:rsid w:val="00A3330A"/>
    <w:rsid w:val="00A3374E"/>
    <w:rsid w:val="00A337C0"/>
    <w:rsid w:val="00A33B0C"/>
    <w:rsid w:val="00A33BD1"/>
    <w:rsid w:val="00A33FED"/>
    <w:rsid w:val="00A3414F"/>
    <w:rsid w:val="00A348A3"/>
    <w:rsid w:val="00A3499F"/>
    <w:rsid w:val="00A3558D"/>
    <w:rsid w:val="00A35BDE"/>
    <w:rsid w:val="00A35E05"/>
    <w:rsid w:val="00A35E90"/>
    <w:rsid w:val="00A35F5A"/>
    <w:rsid w:val="00A35FE9"/>
    <w:rsid w:val="00A369EF"/>
    <w:rsid w:val="00A37007"/>
    <w:rsid w:val="00A37866"/>
    <w:rsid w:val="00A37999"/>
    <w:rsid w:val="00A379C7"/>
    <w:rsid w:val="00A37C7C"/>
    <w:rsid w:val="00A408C8"/>
    <w:rsid w:val="00A40BAA"/>
    <w:rsid w:val="00A40F85"/>
    <w:rsid w:val="00A40F94"/>
    <w:rsid w:val="00A41924"/>
    <w:rsid w:val="00A41A3C"/>
    <w:rsid w:val="00A423B0"/>
    <w:rsid w:val="00A42667"/>
    <w:rsid w:val="00A42F5B"/>
    <w:rsid w:val="00A431BA"/>
    <w:rsid w:val="00A43499"/>
    <w:rsid w:val="00A43EC7"/>
    <w:rsid w:val="00A44216"/>
    <w:rsid w:val="00A44409"/>
    <w:rsid w:val="00A4457E"/>
    <w:rsid w:val="00A44871"/>
    <w:rsid w:val="00A44E6D"/>
    <w:rsid w:val="00A45015"/>
    <w:rsid w:val="00A4505B"/>
    <w:rsid w:val="00A4537B"/>
    <w:rsid w:val="00A453B0"/>
    <w:rsid w:val="00A454FC"/>
    <w:rsid w:val="00A4565F"/>
    <w:rsid w:val="00A45846"/>
    <w:rsid w:val="00A45EF0"/>
    <w:rsid w:val="00A45F6E"/>
    <w:rsid w:val="00A46195"/>
    <w:rsid w:val="00A46A4C"/>
    <w:rsid w:val="00A46E0B"/>
    <w:rsid w:val="00A4766A"/>
    <w:rsid w:val="00A478F3"/>
    <w:rsid w:val="00A502BA"/>
    <w:rsid w:val="00A50371"/>
    <w:rsid w:val="00A505C0"/>
    <w:rsid w:val="00A5060F"/>
    <w:rsid w:val="00A50660"/>
    <w:rsid w:val="00A50681"/>
    <w:rsid w:val="00A5082F"/>
    <w:rsid w:val="00A508DC"/>
    <w:rsid w:val="00A510DE"/>
    <w:rsid w:val="00A51B2A"/>
    <w:rsid w:val="00A51B53"/>
    <w:rsid w:val="00A521C1"/>
    <w:rsid w:val="00A522B0"/>
    <w:rsid w:val="00A5235B"/>
    <w:rsid w:val="00A52966"/>
    <w:rsid w:val="00A52B98"/>
    <w:rsid w:val="00A5372B"/>
    <w:rsid w:val="00A545BF"/>
    <w:rsid w:val="00A54B50"/>
    <w:rsid w:val="00A54D6B"/>
    <w:rsid w:val="00A550B8"/>
    <w:rsid w:val="00A55A10"/>
    <w:rsid w:val="00A55DC8"/>
    <w:rsid w:val="00A55ED3"/>
    <w:rsid w:val="00A5632B"/>
    <w:rsid w:val="00A563D3"/>
    <w:rsid w:val="00A56579"/>
    <w:rsid w:val="00A56726"/>
    <w:rsid w:val="00A56765"/>
    <w:rsid w:val="00A56AC5"/>
    <w:rsid w:val="00A574F0"/>
    <w:rsid w:val="00A57755"/>
    <w:rsid w:val="00A57964"/>
    <w:rsid w:val="00A57B63"/>
    <w:rsid w:val="00A57BA9"/>
    <w:rsid w:val="00A60132"/>
    <w:rsid w:val="00A60939"/>
    <w:rsid w:val="00A60A0F"/>
    <w:rsid w:val="00A60A69"/>
    <w:rsid w:val="00A617E7"/>
    <w:rsid w:val="00A619F3"/>
    <w:rsid w:val="00A61DC9"/>
    <w:rsid w:val="00A61F1E"/>
    <w:rsid w:val="00A61F43"/>
    <w:rsid w:val="00A62ED1"/>
    <w:rsid w:val="00A633E0"/>
    <w:rsid w:val="00A63601"/>
    <w:rsid w:val="00A63B2D"/>
    <w:rsid w:val="00A63D29"/>
    <w:rsid w:val="00A6404F"/>
    <w:rsid w:val="00A640B5"/>
    <w:rsid w:val="00A64426"/>
    <w:rsid w:val="00A64468"/>
    <w:rsid w:val="00A64728"/>
    <w:rsid w:val="00A64904"/>
    <w:rsid w:val="00A64C1C"/>
    <w:rsid w:val="00A64CBA"/>
    <w:rsid w:val="00A64E4E"/>
    <w:rsid w:val="00A659D8"/>
    <w:rsid w:val="00A65AFA"/>
    <w:rsid w:val="00A65B38"/>
    <w:rsid w:val="00A65E89"/>
    <w:rsid w:val="00A66603"/>
    <w:rsid w:val="00A66D4C"/>
    <w:rsid w:val="00A67379"/>
    <w:rsid w:val="00A67676"/>
    <w:rsid w:val="00A67BCA"/>
    <w:rsid w:val="00A67CCE"/>
    <w:rsid w:val="00A70EBC"/>
    <w:rsid w:val="00A70FE3"/>
    <w:rsid w:val="00A710D0"/>
    <w:rsid w:val="00A7118D"/>
    <w:rsid w:val="00A71339"/>
    <w:rsid w:val="00A7135B"/>
    <w:rsid w:val="00A71759"/>
    <w:rsid w:val="00A71A83"/>
    <w:rsid w:val="00A72091"/>
    <w:rsid w:val="00A723BF"/>
    <w:rsid w:val="00A72469"/>
    <w:rsid w:val="00A72829"/>
    <w:rsid w:val="00A72BFA"/>
    <w:rsid w:val="00A72CAF"/>
    <w:rsid w:val="00A730EA"/>
    <w:rsid w:val="00A73139"/>
    <w:rsid w:val="00A7374F"/>
    <w:rsid w:val="00A73894"/>
    <w:rsid w:val="00A73993"/>
    <w:rsid w:val="00A73BB9"/>
    <w:rsid w:val="00A73F82"/>
    <w:rsid w:val="00A742B1"/>
    <w:rsid w:val="00A74735"/>
    <w:rsid w:val="00A74CDF"/>
    <w:rsid w:val="00A75408"/>
    <w:rsid w:val="00A75598"/>
    <w:rsid w:val="00A756D0"/>
    <w:rsid w:val="00A75BCB"/>
    <w:rsid w:val="00A75CC3"/>
    <w:rsid w:val="00A75F1D"/>
    <w:rsid w:val="00A75F8C"/>
    <w:rsid w:val="00A761CF"/>
    <w:rsid w:val="00A7631D"/>
    <w:rsid w:val="00A7667E"/>
    <w:rsid w:val="00A76D19"/>
    <w:rsid w:val="00A775E6"/>
    <w:rsid w:val="00A7768F"/>
    <w:rsid w:val="00A7771D"/>
    <w:rsid w:val="00A80BF6"/>
    <w:rsid w:val="00A80E98"/>
    <w:rsid w:val="00A81694"/>
    <w:rsid w:val="00A817CD"/>
    <w:rsid w:val="00A818A0"/>
    <w:rsid w:val="00A81935"/>
    <w:rsid w:val="00A82113"/>
    <w:rsid w:val="00A825A5"/>
    <w:rsid w:val="00A82899"/>
    <w:rsid w:val="00A82D87"/>
    <w:rsid w:val="00A83251"/>
    <w:rsid w:val="00A83ACB"/>
    <w:rsid w:val="00A83EDD"/>
    <w:rsid w:val="00A844C2"/>
    <w:rsid w:val="00A84BBC"/>
    <w:rsid w:val="00A85698"/>
    <w:rsid w:val="00A859E4"/>
    <w:rsid w:val="00A85BDC"/>
    <w:rsid w:val="00A85C83"/>
    <w:rsid w:val="00A85CBA"/>
    <w:rsid w:val="00A861BB"/>
    <w:rsid w:val="00A8620B"/>
    <w:rsid w:val="00A866EE"/>
    <w:rsid w:val="00A8686B"/>
    <w:rsid w:val="00A875BA"/>
    <w:rsid w:val="00A875BE"/>
    <w:rsid w:val="00A87D9B"/>
    <w:rsid w:val="00A87DB4"/>
    <w:rsid w:val="00A901A1"/>
    <w:rsid w:val="00A9043C"/>
    <w:rsid w:val="00A90BEF"/>
    <w:rsid w:val="00A90D4F"/>
    <w:rsid w:val="00A90DF4"/>
    <w:rsid w:val="00A9166F"/>
    <w:rsid w:val="00A91DEE"/>
    <w:rsid w:val="00A9240B"/>
    <w:rsid w:val="00A92531"/>
    <w:rsid w:val="00A92A1A"/>
    <w:rsid w:val="00A937D2"/>
    <w:rsid w:val="00A94191"/>
    <w:rsid w:val="00A9428C"/>
    <w:rsid w:val="00A94A38"/>
    <w:rsid w:val="00A94E56"/>
    <w:rsid w:val="00A956DD"/>
    <w:rsid w:val="00A95A68"/>
    <w:rsid w:val="00A95ACC"/>
    <w:rsid w:val="00A95F24"/>
    <w:rsid w:val="00A96451"/>
    <w:rsid w:val="00A96524"/>
    <w:rsid w:val="00A9665E"/>
    <w:rsid w:val="00A96673"/>
    <w:rsid w:val="00A96DEB"/>
    <w:rsid w:val="00A96E97"/>
    <w:rsid w:val="00A96F5F"/>
    <w:rsid w:val="00A97168"/>
    <w:rsid w:val="00A9755C"/>
    <w:rsid w:val="00A978CC"/>
    <w:rsid w:val="00A97A15"/>
    <w:rsid w:val="00A97A3F"/>
    <w:rsid w:val="00A97BF0"/>
    <w:rsid w:val="00AA00E4"/>
    <w:rsid w:val="00AA0275"/>
    <w:rsid w:val="00AA04F7"/>
    <w:rsid w:val="00AA06BA"/>
    <w:rsid w:val="00AA0CBC"/>
    <w:rsid w:val="00AA0E60"/>
    <w:rsid w:val="00AA0EF1"/>
    <w:rsid w:val="00AA15D3"/>
    <w:rsid w:val="00AA1639"/>
    <w:rsid w:val="00AA165D"/>
    <w:rsid w:val="00AA1F49"/>
    <w:rsid w:val="00AA21D3"/>
    <w:rsid w:val="00AA2482"/>
    <w:rsid w:val="00AA25C1"/>
    <w:rsid w:val="00AA2EEE"/>
    <w:rsid w:val="00AA31A5"/>
    <w:rsid w:val="00AA3BB3"/>
    <w:rsid w:val="00AA42BD"/>
    <w:rsid w:val="00AA4F20"/>
    <w:rsid w:val="00AA5410"/>
    <w:rsid w:val="00AA617C"/>
    <w:rsid w:val="00AA626C"/>
    <w:rsid w:val="00AA65C9"/>
    <w:rsid w:val="00AA6BD8"/>
    <w:rsid w:val="00AA7B21"/>
    <w:rsid w:val="00AA7ED7"/>
    <w:rsid w:val="00AA7EE4"/>
    <w:rsid w:val="00AB0537"/>
    <w:rsid w:val="00AB06EC"/>
    <w:rsid w:val="00AB0845"/>
    <w:rsid w:val="00AB08D7"/>
    <w:rsid w:val="00AB0984"/>
    <w:rsid w:val="00AB0DC4"/>
    <w:rsid w:val="00AB0EFB"/>
    <w:rsid w:val="00AB28F6"/>
    <w:rsid w:val="00AB2949"/>
    <w:rsid w:val="00AB2B40"/>
    <w:rsid w:val="00AB2B51"/>
    <w:rsid w:val="00AB2C97"/>
    <w:rsid w:val="00AB304A"/>
    <w:rsid w:val="00AB320F"/>
    <w:rsid w:val="00AB331C"/>
    <w:rsid w:val="00AB34E3"/>
    <w:rsid w:val="00AB3533"/>
    <w:rsid w:val="00AB354B"/>
    <w:rsid w:val="00AB3B1C"/>
    <w:rsid w:val="00AB3B95"/>
    <w:rsid w:val="00AB3E14"/>
    <w:rsid w:val="00AB45BE"/>
    <w:rsid w:val="00AB4670"/>
    <w:rsid w:val="00AB4835"/>
    <w:rsid w:val="00AB4A4E"/>
    <w:rsid w:val="00AB4BB5"/>
    <w:rsid w:val="00AB4CB4"/>
    <w:rsid w:val="00AB4DB7"/>
    <w:rsid w:val="00AB4EBF"/>
    <w:rsid w:val="00AB5709"/>
    <w:rsid w:val="00AB57DC"/>
    <w:rsid w:val="00AB592A"/>
    <w:rsid w:val="00AB5C1D"/>
    <w:rsid w:val="00AB5C38"/>
    <w:rsid w:val="00AB751C"/>
    <w:rsid w:val="00AB7625"/>
    <w:rsid w:val="00AB7910"/>
    <w:rsid w:val="00AB7C8E"/>
    <w:rsid w:val="00AC0214"/>
    <w:rsid w:val="00AC0251"/>
    <w:rsid w:val="00AC0646"/>
    <w:rsid w:val="00AC06D6"/>
    <w:rsid w:val="00AC0996"/>
    <w:rsid w:val="00AC0BA3"/>
    <w:rsid w:val="00AC0E98"/>
    <w:rsid w:val="00AC1341"/>
    <w:rsid w:val="00AC146B"/>
    <w:rsid w:val="00AC1919"/>
    <w:rsid w:val="00AC19A1"/>
    <w:rsid w:val="00AC1FB2"/>
    <w:rsid w:val="00AC24B4"/>
    <w:rsid w:val="00AC2A78"/>
    <w:rsid w:val="00AC2C4C"/>
    <w:rsid w:val="00AC2C5B"/>
    <w:rsid w:val="00AC2D57"/>
    <w:rsid w:val="00AC2DCB"/>
    <w:rsid w:val="00AC3531"/>
    <w:rsid w:val="00AC3665"/>
    <w:rsid w:val="00AC38A9"/>
    <w:rsid w:val="00AC3BC2"/>
    <w:rsid w:val="00AC40CC"/>
    <w:rsid w:val="00AC4122"/>
    <w:rsid w:val="00AC4C3A"/>
    <w:rsid w:val="00AC4DEF"/>
    <w:rsid w:val="00AC4F21"/>
    <w:rsid w:val="00AC4FD5"/>
    <w:rsid w:val="00AC4FF5"/>
    <w:rsid w:val="00AC547E"/>
    <w:rsid w:val="00AC54F6"/>
    <w:rsid w:val="00AC5642"/>
    <w:rsid w:val="00AC61B7"/>
    <w:rsid w:val="00AC6345"/>
    <w:rsid w:val="00AC656B"/>
    <w:rsid w:val="00AC67DD"/>
    <w:rsid w:val="00AC7039"/>
    <w:rsid w:val="00AC7174"/>
    <w:rsid w:val="00AC7595"/>
    <w:rsid w:val="00AC7801"/>
    <w:rsid w:val="00AC79F8"/>
    <w:rsid w:val="00AC7F37"/>
    <w:rsid w:val="00AD004B"/>
    <w:rsid w:val="00AD049F"/>
    <w:rsid w:val="00AD0C1E"/>
    <w:rsid w:val="00AD0E10"/>
    <w:rsid w:val="00AD12B8"/>
    <w:rsid w:val="00AD2D23"/>
    <w:rsid w:val="00AD2DBB"/>
    <w:rsid w:val="00AD2EFE"/>
    <w:rsid w:val="00AD317F"/>
    <w:rsid w:val="00AD4106"/>
    <w:rsid w:val="00AD4620"/>
    <w:rsid w:val="00AD4C1D"/>
    <w:rsid w:val="00AD5BF8"/>
    <w:rsid w:val="00AD5E5E"/>
    <w:rsid w:val="00AD602C"/>
    <w:rsid w:val="00AD6141"/>
    <w:rsid w:val="00AD62A3"/>
    <w:rsid w:val="00AD657D"/>
    <w:rsid w:val="00AD660E"/>
    <w:rsid w:val="00AD6D8B"/>
    <w:rsid w:val="00AD6FA9"/>
    <w:rsid w:val="00AD6FC8"/>
    <w:rsid w:val="00AD739E"/>
    <w:rsid w:val="00AD7C60"/>
    <w:rsid w:val="00AE013C"/>
    <w:rsid w:val="00AE0375"/>
    <w:rsid w:val="00AE044B"/>
    <w:rsid w:val="00AE061D"/>
    <w:rsid w:val="00AE06C9"/>
    <w:rsid w:val="00AE0777"/>
    <w:rsid w:val="00AE0879"/>
    <w:rsid w:val="00AE0B80"/>
    <w:rsid w:val="00AE137C"/>
    <w:rsid w:val="00AE13AD"/>
    <w:rsid w:val="00AE1601"/>
    <w:rsid w:val="00AE18EF"/>
    <w:rsid w:val="00AE20B3"/>
    <w:rsid w:val="00AE228C"/>
    <w:rsid w:val="00AE2757"/>
    <w:rsid w:val="00AE2DB2"/>
    <w:rsid w:val="00AE31F9"/>
    <w:rsid w:val="00AE3435"/>
    <w:rsid w:val="00AE34E1"/>
    <w:rsid w:val="00AE3C76"/>
    <w:rsid w:val="00AE3D7A"/>
    <w:rsid w:val="00AE4060"/>
    <w:rsid w:val="00AE4B0F"/>
    <w:rsid w:val="00AE4F52"/>
    <w:rsid w:val="00AE5F79"/>
    <w:rsid w:val="00AE6AA2"/>
    <w:rsid w:val="00AE6CA7"/>
    <w:rsid w:val="00AE7293"/>
    <w:rsid w:val="00AE761B"/>
    <w:rsid w:val="00AF0080"/>
    <w:rsid w:val="00AF020A"/>
    <w:rsid w:val="00AF0365"/>
    <w:rsid w:val="00AF0760"/>
    <w:rsid w:val="00AF0B54"/>
    <w:rsid w:val="00AF0D06"/>
    <w:rsid w:val="00AF0F01"/>
    <w:rsid w:val="00AF1227"/>
    <w:rsid w:val="00AF1AF2"/>
    <w:rsid w:val="00AF1E4E"/>
    <w:rsid w:val="00AF22DA"/>
    <w:rsid w:val="00AF306E"/>
    <w:rsid w:val="00AF3538"/>
    <w:rsid w:val="00AF387E"/>
    <w:rsid w:val="00AF39AD"/>
    <w:rsid w:val="00AF3B0A"/>
    <w:rsid w:val="00AF4055"/>
    <w:rsid w:val="00AF40DB"/>
    <w:rsid w:val="00AF4110"/>
    <w:rsid w:val="00AF45F2"/>
    <w:rsid w:val="00AF4672"/>
    <w:rsid w:val="00AF4A64"/>
    <w:rsid w:val="00AF550D"/>
    <w:rsid w:val="00AF5F2C"/>
    <w:rsid w:val="00AF6052"/>
    <w:rsid w:val="00AF614E"/>
    <w:rsid w:val="00AF638E"/>
    <w:rsid w:val="00AF63CB"/>
    <w:rsid w:val="00AF6717"/>
    <w:rsid w:val="00AF715D"/>
    <w:rsid w:val="00AF7FE0"/>
    <w:rsid w:val="00B001A4"/>
    <w:rsid w:val="00B00499"/>
    <w:rsid w:val="00B006BD"/>
    <w:rsid w:val="00B0084A"/>
    <w:rsid w:val="00B00AEF"/>
    <w:rsid w:val="00B01065"/>
    <w:rsid w:val="00B01112"/>
    <w:rsid w:val="00B024DF"/>
    <w:rsid w:val="00B0257E"/>
    <w:rsid w:val="00B02B74"/>
    <w:rsid w:val="00B035BC"/>
    <w:rsid w:val="00B03661"/>
    <w:rsid w:val="00B03856"/>
    <w:rsid w:val="00B03886"/>
    <w:rsid w:val="00B042C2"/>
    <w:rsid w:val="00B04665"/>
    <w:rsid w:val="00B04C1F"/>
    <w:rsid w:val="00B04C3B"/>
    <w:rsid w:val="00B04F8B"/>
    <w:rsid w:val="00B04F93"/>
    <w:rsid w:val="00B052F4"/>
    <w:rsid w:val="00B057B8"/>
    <w:rsid w:val="00B059B9"/>
    <w:rsid w:val="00B0678A"/>
    <w:rsid w:val="00B06859"/>
    <w:rsid w:val="00B06C77"/>
    <w:rsid w:val="00B0744B"/>
    <w:rsid w:val="00B07605"/>
    <w:rsid w:val="00B07B64"/>
    <w:rsid w:val="00B07BB2"/>
    <w:rsid w:val="00B101F3"/>
    <w:rsid w:val="00B10408"/>
    <w:rsid w:val="00B106E2"/>
    <w:rsid w:val="00B1097C"/>
    <w:rsid w:val="00B10ADC"/>
    <w:rsid w:val="00B10DBF"/>
    <w:rsid w:val="00B10E4A"/>
    <w:rsid w:val="00B10FAB"/>
    <w:rsid w:val="00B110B4"/>
    <w:rsid w:val="00B114BF"/>
    <w:rsid w:val="00B116EF"/>
    <w:rsid w:val="00B11861"/>
    <w:rsid w:val="00B11C6F"/>
    <w:rsid w:val="00B126D6"/>
    <w:rsid w:val="00B128F9"/>
    <w:rsid w:val="00B129C4"/>
    <w:rsid w:val="00B12C78"/>
    <w:rsid w:val="00B12EE3"/>
    <w:rsid w:val="00B13500"/>
    <w:rsid w:val="00B1373F"/>
    <w:rsid w:val="00B13C92"/>
    <w:rsid w:val="00B13D65"/>
    <w:rsid w:val="00B14227"/>
    <w:rsid w:val="00B14651"/>
    <w:rsid w:val="00B14738"/>
    <w:rsid w:val="00B14AF7"/>
    <w:rsid w:val="00B14F4E"/>
    <w:rsid w:val="00B15478"/>
    <w:rsid w:val="00B15797"/>
    <w:rsid w:val="00B15A5B"/>
    <w:rsid w:val="00B15B47"/>
    <w:rsid w:val="00B15FC9"/>
    <w:rsid w:val="00B166EB"/>
    <w:rsid w:val="00B168D1"/>
    <w:rsid w:val="00B16D40"/>
    <w:rsid w:val="00B16DA1"/>
    <w:rsid w:val="00B173D9"/>
    <w:rsid w:val="00B1741E"/>
    <w:rsid w:val="00B17F04"/>
    <w:rsid w:val="00B2013D"/>
    <w:rsid w:val="00B20236"/>
    <w:rsid w:val="00B202A7"/>
    <w:rsid w:val="00B20535"/>
    <w:rsid w:val="00B21592"/>
    <w:rsid w:val="00B21CDE"/>
    <w:rsid w:val="00B22497"/>
    <w:rsid w:val="00B22786"/>
    <w:rsid w:val="00B228A5"/>
    <w:rsid w:val="00B238C1"/>
    <w:rsid w:val="00B23E9D"/>
    <w:rsid w:val="00B24054"/>
    <w:rsid w:val="00B240CB"/>
    <w:rsid w:val="00B24453"/>
    <w:rsid w:val="00B244B9"/>
    <w:rsid w:val="00B24B62"/>
    <w:rsid w:val="00B24BE1"/>
    <w:rsid w:val="00B2536C"/>
    <w:rsid w:val="00B25A88"/>
    <w:rsid w:val="00B25D3C"/>
    <w:rsid w:val="00B2602A"/>
    <w:rsid w:val="00B260A5"/>
    <w:rsid w:val="00B2621D"/>
    <w:rsid w:val="00B26A85"/>
    <w:rsid w:val="00B2708A"/>
    <w:rsid w:val="00B27DD2"/>
    <w:rsid w:val="00B30C64"/>
    <w:rsid w:val="00B310FE"/>
    <w:rsid w:val="00B317D1"/>
    <w:rsid w:val="00B31CAC"/>
    <w:rsid w:val="00B31E02"/>
    <w:rsid w:val="00B3330F"/>
    <w:rsid w:val="00B334A7"/>
    <w:rsid w:val="00B3359A"/>
    <w:rsid w:val="00B3372F"/>
    <w:rsid w:val="00B337F4"/>
    <w:rsid w:val="00B33B4C"/>
    <w:rsid w:val="00B34F9E"/>
    <w:rsid w:val="00B35048"/>
    <w:rsid w:val="00B35250"/>
    <w:rsid w:val="00B3582D"/>
    <w:rsid w:val="00B35926"/>
    <w:rsid w:val="00B359DB"/>
    <w:rsid w:val="00B35ABB"/>
    <w:rsid w:val="00B35BA6"/>
    <w:rsid w:val="00B361E0"/>
    <w:rsid w:val="00B3675A"/>
    <w:rsid w:val="00B36927"/>
    <w:rsid w:val="00B373FA"/>
    <w:rsid w:val="00B377F1"/>
    <w:rsid w:val="00B37963"/>
    <w:rsid w:val="00B37C4D"/>
    <w:rsid w:val="00B37D48"/>
    <w:rsid w:val="00B37E43"/>
    <w:rsid w:val="00B40734"/>
    <w:rsid w:val="00B40D66"/>
    <w:rsid w:val="00B410BA"/>
    <w:rsid w:val="00B41511"/>
    <w:rsid w:val="00B41998"/>
    <w:rsid w:val="00B41F4B"/>
    <w:rsid w:val="00B41FFB"/>
    <w:rsid w:val="00B42035"/>
    <w:rsid w:val="00B4240B"/>
    <w:rsid w:val="00B42525"/>
    <w:rsid w:val="00B42526"/>
    <w:rsid w:val="00B42884"/>
    <w:rsid w:val="00B42CB3"/>
    <w:rsid w:val="00B42D7C"/>
    <w:rsid w:val="00B42FED"/>
    <w:rsid w:val="00B4322C"/>
    <w:rsid w:val="00B4324C"/>
    <w:rsid w:val="00B43E18"/>
    <w:rsid w:val="00B43E91"/>
    <w:rsid w:val="00B444A9"/>
    <w:rsid w:val="00B44AE5"/>
    <w:rsid w:val="00B44D61"/>
    <w:rsid w:val="00B44F99"/>
    <w:rsid w:val="00B454F3"/>
    <w:rsid w:val="00B45A17"/>
    <w:rsid w:val="00B45E84"/>
    <w:rsid w:val="00B4650D"/>
    <w:rsid w:val="00B46571"/>
    <w:rsid w:val="00B4657C"/>
    <w:rsid w:val="00B4667D"/>
    <w:rsid w:val="00B466D1"/>
    <w:rsid w:val="00B4683D"/>
    <w:rsid w:val="00B46907"/>
    <w:rsid w:val="00B46A27"/>
    <w:rsid w:val="00B46B38"/>
    <w:rsid w:val="00B46C0D"/>
    <w:rsid w:val="00B46CC8"/>
    <w:rsid w:val="00B46D06"/>
    <w:rsid w:val="00B47381"/>
    <w:rsid w:val="00B47724"/>
    <w:rsid w:val="00B47839"/>
    <w:rsid w:val="00B47869"/>
    <w:rsid w:val="00B47991"/>
    <w:rsid w:val="00B47B8B"/>
    <w:rsid w:val="00B47E30"/>
    <w:rsid w:val="00B506D1"/>
    <w:rsid w:val="00B5074D"/>
    <w:rsid w:val="00B50CE6"/>
    <w:rsid w:val="00B510EC"/>
    <w:rsid w:val="00B5160D"/>
    <w:rsid w:val="00B51656"/>
    <w:rsid w:val="00B51745"/>
    <w:rsid w:val="00B51A4C"/>
    <w:rsid w:val="00B51B65"/>
    <w:rsid w:val="00B51E74"/>
    <w:rsid w:val="00B522E0"/>
    <w:rsid w:val="00B52359"/>
    <w:rsid w:val="00B5250D"/>
    <w:rsid w:val="00B5279D"/>
    <w:rsid w:val="00B52894"/>
    <w:rsid w:val="00B53506"/>
    <w:rsid w:val="00B5350C"/>
    <w:rsid w:val="00B536C4"/>
    <w:rsid w:val="00B53715"/>
    <w:rsid w:val="00B53D25"/>
    <w:rsid w:val="00B53DA1"/>
    <w:rsid w:val="00B53F14"/>
    <w:rsid w:val="00B551C4"/>
    <w:rsid w:val="00B553E8"/>
    <w:rsid w:val="00B554A0"/>
    <w:rsid w:val="00B55A94"/>
    <w:rsid w:val="00B55CD5"/>
    <w:rsid w:val="00B561B3"/>
    <w:rsid w:val="00B57550"/>
    <w:rsid w:val="00B57908"/>
    <w:rsid w:val="00B57CBD"/>
    <w:rsid w:val="00B57DC8"/>
    <w:rsid w:val="00B60447"/>
    <w:rsid w:val="00B60819"/>
    <w:rsid w:val="00B60887"/>
    <w:rsid w:val="00B609E0"/>
    <w:rsid w:val="00B61427"/>
    <w:rsid w:val="00B629E7"/>
    <w:rsid w:val="00B62ABF"/>
    <w:rsid w:val="00B62D32"/>
    <w:rsid w:val="00B63594"/>
    <w:rsid w:val="00B6383A"/>
    <w:rsid w:val="00B638C5"/>
    <w:rsid w:val="00B63E7F"/>
    <w:rsid w:val="00B640A0"/>
    <w:rsid w:val="00B6489E"/>
    <w:rsid w:val="00B6494F"/>
    <w:rsid w:val="00B64A1C"/>
    <w:rsid w:val="00B64E53"/>
    <w:rsid w:val="00B64EF0"/>
    <w:rsid w:val="00B658E6"/>
    <w:rsid w:val="00B6599C"/>
    <w:rsid w:val="00B665EE"/>
    <w:rsid w:val="00B666AB"/>
    <w:rsid w:val="00B66B42"/>
    <w:rsid w:val="00B66E89"/>
    <w:rsid w:val="00B6715C"/>
    <w:rsid w:val="00B677F3"/>
    <w:rsid w:val="00B67C95"/>
    <w:rsid w:val="00B7040F"/>
    <w:rsid w:val="00B709AD"/>
    <w:rsid w:val="00B70ED5"/>
    <w:rsid w:val="00B712A1"/>
    <w:rsid w:val="00B7139C"/>
    <w:rsid w:val="00B7171E"/>
    <w:rsid w:val="00B719F8"/>
    <w:rsid w:val="00B720D1"/>
    <w:rsid w:val="00B7220E"/>
    <w:rsid w:val="00B72C03"/>
    <w:rsid w:val="00B72C33"/>
    <w:rsid w:val="00B72EA2"/>
    <w:rsid w:val="00B72EE3"/>
    <w:rsid w:val="00B72FCB"/>
    <w:rsid w:val="00B73A04"/>
    <w:rsid w:val="00B73C01"/>
    <w:rsid w:val="00B73C54"/>
    <w:rsid w:val="00B74070"/>
    <w:rsid w:val="00B74B48"/>
    <w:rsid w:val="00B74C67"/>
    <w:rsid w:val="00B74C8F"/>
    <w:rsid w:val="00B74DBE"/>
    <w:rsid w:val="00B754A2"/>
    <w:rsid w:val="00B7598D"/>
    <w:rsid w:val="00B75DB6"/>
    <w:rsid w:val="00B75E41"/>
    <w:rsid w:val="00B7631F"/>
    <w:rsid w:val="00B766D8"/>
    <w:rsid w:val="00B76A9D"/>
    <w:rsid w:val="00B77544"/>
    <w:rsid w:val="00B7772A"/>
    <w:rsid w:val="00B77C61"/>
    <w:rsid w:val="00B77DC4"/>
    <w:rsid w:val="00B77F5B"/>
    <w:rsid w:val="00B801B0"/>
    <w:rsid w:val="00B807D8"/>
    <w:rsid w:val="00B8092F"/>
    <w:rsid w:val="00B80F88"/>
    <w:rsid w:val="00B81261"/>
    <w:rsid w:val="00B81987"/>
    <w:rsid w:val="00B81BE4"/>
    <w:rsid w:val="00B81E3B"/>
    <w:rsid w:val="00B81FD8"/>
    <w:rsid w:val="00B8235A"/>
    <w:rsid w:val="00B826F5"/>
    <w:rsid w:val="00B8291A"/>
    <w:rsid w:val="00B82DCD"/>
    <w:rsid w:val="00B83136"/>
    <w:rsid w:val="00B8325C"/>
    <w:rsid w:val="00B83CA3"/>
    <w:rsid w:val="00B83F54"/>
    <w:rsid w:val="00B840C8"/>
    <w:rsid w:val="00B8442C"/>
    <w:rsid w:val="00B855D9"/>
    <w:rsid w:val="00B856BA"/>
    <w:rsid w:val="00B85859"/>
    <w:rsid w:val="00B8600A"/>
    <w:rsid w:val="00B86261"/>
    <w:rsid w:val="00B8639B"/>
    <w:rsid w:val="00B86764"/>
    <w:rsid w:val="00B87561"/>
    <w:rsid w:val="00B87596"/>
    <w:rsid w:val="00B87721"/>
    <w:rsid w:val="00B8772F"/>
    <w:rsid w:val="00B87BA2"/>
    <w:rsid w:val="00B90433"/>
    <w:rsid w:val="00B9061C"/>
    <w:rsid w:val="00B908AA"/>
    <w:rsid w:val="00B90EAE"/>
    <w:rsid w:val="00B90F57"/>
    <w:rsid w:val="00B91894"/>
    <w:rsid w:val="00B91C4A"/>
    <w:rsid w:val="00B91F3B"/>
    <w:rsid w:val="00B9237D"/>
    <w:rsid w:val="00B92E95"/>
    <w:rsid w:val="00B937B5"/>
    <w:rsid w:val="00B938A0"/>
    <w:rsid w:val="00B938BA"/>
    <w:rsid w:val="00B94311"/>
    <w:rsid w:val="00B944CC"/>
    <w:rsid w:val="00B94553"/>
    <w:rsid w:val="00B94B2D"/>
    <w:rsid w:val="00B94D07"/>
    <w:rsid w:val="00B94DDD"/>
    <w:rsid w:val="00B94F7C"/>
    <w:rsid w:val="00B95063"/>
    <w:rsid w:val="00B955DE"/>
    <w:rsid w:val="00B957B1"/>
    <w:rsid w:val="00B95942"/>
    <w:rsid w:val="00B95C5E"/>
    <w:rsid w:val="00B96463"/>
    <w:rsid w:val="00B96A98"/>
    <w:rsid w:val="00B96E45"/>
    <w:rsid w:val="00B96F11"/>
    <w:rsid w:val="00BA09EA"/>
    <w:rsid w:val="00BA0A64"/>
    <w:rsid w:val="00BA0AA5"/>
    <w:rsid w:val="00BA0AE1"/>
    <w:rsid w:val="00BA0DBB"/>
    <w:rsid w:val="00BA1359"/>
    <w:rsid w:val="00BA1B39"/>
    <w:rsid w:val="00BA1DD6"/>
    <w:rsid w:val="00BA2416"/>
    <w:rsid w:val="00BA30C4"/>
    <w:rsid w:val="00BA326A"/>
    <w:rsid w:val="00BA32CB"/>
    <w:rsid w:val="00BA3D4F"/>
    <w:rsid w:val="00BA3E27"/>
    <w:rsid w:val="00BA3FD8"/>
    <w:rsid w:val="00BA41DC"/>
    <w:rsid w:val="00BA4402"/>
    <w:rsid w:val="00BA44A8"/>
    <w:rsid w:val="00BA4DB5"/>
    <w:rsid w:val="00BA56C3"/>
    <w:rsid w:val="00BA65A9"/>
    <w:rsid w:val="00BA6967"/>
    <w:rsid w:val="00BA6983"/>
    <w:rsid w:val="00BA6B44"/>
    <w:rsid w:val="00BA6C1D"/>
    <w:rsid w:val="00BA7251"/>
    <w:rsid w:val="00BA7320"/>
    <w:rsid w:val="00BA7712"/>
    <w:rsid w:val="00BA7C0C"/>
    <w:rsid w:val="00BB0503"/>
    <w:rsid w:val="00BB1143"/>
    <w:rsid w:val="00BB115A"/>
    <w:rsid w:val="00BB1A5C"/>
    <w:rsid w:val="00BB1CCC"/>
    <w:rsid w:val="00BB21AA"/>
    <w:rsid w:val="00BB24DB"/>
    <w:rsid w:val="00BB24FE"/>
    <w:rsid w:val="00BB2777"/>
    <w:rsid w:val="00BB2A1B"/>
    <w:rsid w:val="00BB2D69"/>
    <w:rsid w:val="00BB3F8B"/>
    <w:rsid w:val="00BB429F"/>
    <w:rsid w:val="00BB45B7"/>
    <w:rsid w:val="00BB51AE"/>
    <w:rsid w:val="00BB5BE7"/>
    <w:rsid w:val="00BB6025"/>
    <w:rsid w:val="00BB624A"/>
    <w:rsid w:val="00BB63B6"/>
    <w:rsid w:val="00BB64E2"/>
    <w:rsid w:val="00BB653D"/>
    <w:rsid w:val="00BB6A29"/>
    <w:rsid w:val="00BB6E1A"/>
    <w:rsid w:val="00BB731C"/>
    <w:rsid w:val="00BC0016"/>
    <w:rsid w:val="00BC0399"/>
    <w:rsid w:val="00BC0D47"/>
    <w:rsid w:val="00BC1223"/>
    <w:rsid w:val="00BC1278"/>
    <w:rsid w:val="00BC153B"/>
    <w:rsid w:val="00BC1791"/>
    <w:rsid w:val="00BC1DCC"/>
    <w:rsid w:val="00BC2582"/>
    <w:rsid w:val="00BC28E9"/>
    <w:rsid w:val="00BC2C71"/>
    <w:rsid w:val="00BC348F"/>
    <w:rsid w:val="00BC36CF"/>
    <w:rsid w:val="00BC39F8"/>
    <w:rsid w:val="00BC3BA2"/>
    <w:rsid w:val="00BC3CC1"/>
    <w:rsid w:val="00BC47F7"/>
    <w:rsid w:val="00BC4808"/>
    <w:rsid w:val="00BC490A"/>
    <w:rsid w:val="00BC4A08"/>
    <w:rsid w:val="00BC4CE5"/>
    <w:rsid w:val="00BC4CF2"/>
    <w:rsid w:val="00BC4D7B"/>
    <w:rsid w:val="00BC607E"/>
    <w:rsid w:val="00BC637E"/>
    <w:rsid w:val="00BC6401"/>
    <w:rsid w:val="00BC651F"/>
    <w:rsid w:val="00BC6901"/>
    <w:rsid w:val="00BC6A9D"/>
    <w:rsid w:val="00BC6F0A"/>
    <w:rsid w:val="00BC6FD6"/>
    <w:rsid w:val="00BC71B8"/>
    <w:rsid w:val="00BC76B8"/>
    <w:rsid w:val="00BD0A4C"/>
    <w:rsid w:val="00BD0D7D"/>
    <w:rsid w:val="00BD0D96"/>
    <w:rsid w:val="00BD12C4"/>
    <w:rsid w:val="00BD1929"/>
    <w:rsid w:val="00BD2465"/>
    <w:rsid w:val="00BD27E4"/>
    <w:rsid w:val="00BD2DF0"/>
    <w:rsid w:val="00BD31F3"/>
    <w:rsid w:val="00BD3ABB"/>
    <w:rsid w:val="00BD3EAE"/>
    <w:rsid w:val="00BD44C2"/>
    <w:rsid w:val="00BD490F"/>
    <w:rsid w:val="00BD4AA1"/>
    <w:rsid w:val="00BD55C2"/>
    <w:rsid w:val="00BD5716"/>
    <w:rsid w:val="00BD59A6"/>
    <w:rsid w:val="00BD59AA"/>
    <w:rsid w:val="00BD5C11"/>
    <w:rsid w:val="00BD5C90"/>
    <w:rsid w:val="00BD5CD1"/>
    <w:rsid w:val="00BD60F0"/>
    <w:rsid w:val="00BD677F"/>
    <w:rsid w:val="00BD6DA7"/>
    <w:rsid w:val="00BD6EF0"/>
    <w:rsid w:val="00BD6F0B"/>
    <w:rsid w:val="00BD7081"/>
    <w:rsid w:val="00BD718A"/>
    <w:rsid w:val="00BD728B"/>
    <w:rsid w:val="00BD761F"/>
    <w:rsid w:val="00BD76EA"/>
    <w:rsid w:val="00BD78A0"/>
    <w:rsid w:val="00BE06B6"/>
    <w:rsid w:val="00BE06E8"/>
    <w:rsid w:val="00BE0BE3"/>
    <w:rsid w:val="00BE12F5"/>
    <w:rsid w:val="00BE14F6"/>
    <w:rsid w:val="00BE15A9"/>
    <w:rsid w:val="00BE1669"/>
    <w:rsid w:val="00BE18D4"/>
    <w:rsid w:val="00BE1BA1"/>
    <w:rsid w:val="00BE27F2"/>
    <w:rsid w:val="00BE290C"/>
    <w:rsid w:val="00BE2963"/>
    <w:rsid w:val="00BE319B"/>
    <w:rsid w:val="00BE3619"/>
    <w:rsid w:val="00BE3B0F"/>
    <w:rsid w:val="00BE4068"/>
    <w:rsid w:val="00BE4A38"/>
    <w:rsid w:val="00BE4C8B"/>
    <w:rsid w:val="00BE5A1D"/>
    <w:rsid w:val="00BE5D38"/>
    <w:rsid w:val="00BE5DDA"/>
    <w:rsid w:val="00BE621A"/>
    <w:rsid w:val="00BE670A"/>
    <w:rsid w:val="00BE6B8C"/>
    <w:rsid w:val="00BE6BCE"/>
    <w:rsid w:val="00BE6D6C"/>
    <w:rsid w:val="00BE6DC1"/>
    <w:rsid w:val="00BE72D2"/>
    <w:rsid w:val="00BE72D4"/>
    <w:rsid w:val="00BE7433"/>
    <w:rsid w:val="00BE7618"/>
    <w:rsid w:val="00BE79AB"/>
    <w:rsid w:val="00BE7AFB"/>
    <w:rsid w:val="00BF06B6"/>
    <w:rsid w:val="00BF0A8D"/>
    <w:rsid w:val="00BF0C1D"/>
    <w:rsid w:val="00BF0E00"/>
    <w:rsid w:val="00BF133B"/>
    <w:rsid w:val="00BF1937"/>
    <w:rsid w:val="00BF1A02"/>
    <w:rsid w:val="00BF1A9C"/>
    <w:rsid w:val="00BF1AB6"/>
    <w:rsid w:val="00BF1C3C"/>
    <w:rsid w:val="00BF1FA4"/>
    <w:rsid w:val="00BF2309"/>
    <w:rsid w:val="00BF2597"/>
    <w:rsid w:val="00BF337F"/>
    <w:rsid w:val="00BF380D"/>
    <w:rsid w:val="00BF3867"/>
    <w:rsid w:val="00BF4122"/>
    <w:rsid w:val="00BF41E2"/>
    <w:rsid w:val="00BF4910"/>
    <w:rsid w:val="00BF4E4A"/>
    <w:rsid w:val="00BF5399"/>
    <w:rsid w:val="00BF57D7"/>
    <w:rsid w:val="00BF5E79"/>
    <w:rsid w:val="00BF648C"/>
    <w:rsid w:val="00BF7B16"/>
    <w:rsid w:val="00BF7BBC"/>
    <w:rsid w:val="00BF7C02"/>
    <w:rsid w:val="00BF7C26"/>
    <w:rsid w:val="00C00877"/>
    <w:rsid w:val="00C00BF6"/>
    <w:rsid w:val="00C011A5"/>
    <w:rsid w:val="00C011B1"/>
    <w:rsid w:val="00C011E4"/>
    <w:rsid w:val="00C011EC"/>
    <w:rsid w:val="00C01C82"/>
    <w:rsid w:val="00C01CC5"/>
    <w:rsid w:val="00C01CF9"/>
    <w:rsid w:val="00C01DEF"/>
    <w:rsid w:val="00C01E8D"/>
    <w:rsid w:val="00C020AC"/>
    <w:rsid w:val="00C02954"/>
    <w:rsid w:val="00C02AEA"/>
    <w:rsid w:val="00C03037"/>
    <w:rsid w:val="00C031A5"/>
    <w:rsid w:val="00C03262"/>
    <w:rsid w:val="00C034BB"/>
    <w:rsid w:val="00C034F9"/>
    <w:rsid w:val="00C0368E"/>
    <w:rsid w:val="00C03788"/>
    <w:rsid w:val="00C03AC7"/>
    <w:rsid w:val="00C03D25"/>
    <w:rsid w:val="00C040CF"/>
    <w:rsid w:val="00C0422F"/>
    <w:rsid w:val="00C04588"/>
    <w:rsid w:val="00C046E0"/>
    <w:rsid w:val="00C046EE"/>
    <w:rsid w:val="00C0475C"/>
    <w:rsid w:val="00C04CBA"/>
    <w:rsid w:val="00C04D2A"/>
    <w:rsid w:val="00C0514C"/>
    <w:rsid w:val="00C05298"/>
    <w:rsid w:val="00C054D6"/>
    <w:rsid w:val="00C055A5"/>
    <w:rsid w:val="00C05695"/>
    <w:rsid w:val="00C05D41"/>
    <w:rsid w:val="00C05FAF"/>
    <w:rsid w:val="00C061A5"/>
    <w:rsid w:val="00C064D4"/>
    <w:rsid w:val="00C07572"/>
    <w:rsid w:val="00C0786D"/>
    <w:rsid w:val="00C07FC7"/>
    <w:rsid w:val="00C10FEB"/>
    <w:rsid w:val="00C11239"/>
    <w:rsid w:val="00C1176E"/>
    <w:rsid w:val="00C119CC"/>
    <w:rsid w:val="00C11CE5"/>
    <w:rsid w:val="00C11E5F"/>
    <w:rsid w:val="00C127B2"/>
    <w:rsid w:val="00C12E50"/>
    <w:rsid w:val="00C132F7"/>
    <w:rsid w:val="00C133B1"/>
    <w:rsid w:val="00C133C1"/>
    <w:rsid w:val="00C1381E"/>
    <w:rsid w:val="00C13858"/>
    <w:rsid w:val="00C1394A"/>
    <w:rsid w:val="00C13DB9"/>
    <w:rsid w:val="00C13F70"/>
    <w:rsid w:val="00C14423"/>
    <w:rsid w:val="00C14E00"/>
    <w:rsid w:val="00C15627"/>
    <w:rsid w:val="00C15696"/>
    <w:rsid w:val="00C1588C"/>
    <w:rsid w:val="00C15932"/>
    <w:rsid w:val="00C15A5A"/>
    <w:rsid w:val="00C15F19"/>
    <w:rsid w:val="00C1624A"/>
    <w:rsid w:val="00C16A8B"/>
    <w:rsid w:val="00C17519"/>
    <w:rsid w:val="00C1790D"/>
    <w:rsid w:val="00C17919"/>
    <w:rsid w:val="00C17C6C"/>
    <w:rsid w:val="00C17F4D"/>
    <w:rsid w:val="00C20121"/>
    <w:rsid w:val="00C202FA"/>
    <w:rsid w:val="00C208FE"/>
    <w:rsid w:val="00C20BFC"/>
    <w:rsid w:val="00C20FA0"/>
    <w:rsid w:val="00C2260B"/>
    <w:rsid w:val="00C22F97"/>
    <w:rsid w:val="00C22FA7"/>
    <w:rsid w:val="00C23113"/>
    <w:rsid w:val="00C23158"/>
    <w:rsid w:val="00C23666"/>
    <w:rsid w:val="00C24067"/>
    <w:rsid w:val="00C2406D"/>
    <w:rsid w:val="00C241B3"/>
    <w:rsid w:val="00C24E68"/>
    <w:rsid w:val="00C255D8"/>
    <w:rsid w:val="00C256D8"/>
    <w:rsid w:val="00C2572B"/>
    <w:rsid w:val="00C259B2"/>
    <w:rsid w:val="00C25AC1"/>
    <w:rsid w:val="00C2616C"/>
    <w:rsid w:val="00C2656D"/>
    <w:rsid w:val="00C26E51"/>
    <w:rsid w:val="00C272A8"/>
    <w:rsid w:val="00C273F9"/>
    <w:rsid w:val="00C27DB6"/>
    <w:rsid w:val="00C30029"/>
    <w:rsid w:val="00C3042A"/>
    <w:rsid w:val="00C3065B"/>
    <w:rsid w:val="00C30662"/>
    <w:rsid w:val="00C306EF"/>
    <w:rsid w:val="00C30DA4"/>
    <w:rsid w:val="00C3123C"/>
    <w:rsid w:val="00C314C5"/>
    <w:rsid w:val="00C315D6"/>
    <w:rsid w:val="00C316B1"/>
    <w:rsid w:val="00C31F2E"/>
    <w:rsid w:val="00C31FCB"/>
    <w:rsid w:val="00C3217F"/>
    <w:rsid w:val="00C3234E"/>
    <w:rsid w:val="00C32473"/>
    <w:rsid w:val="00C32771"/>
    <w:rsid w:val="00C32981"/>
    <w:rsid w:val="00C32D0D"/>
    <w:rsid w:val="00C32E2F"/>
    <w:rsid w:val="00C32E35"/>
    <w:rsid w:val="00C336A0"/>
    <w:rsid w:val="00C337F5"/>
    <w:rsid w:val="00C33A95"/>
    <w:rsid w:val="00C33F24"/>
    <w:rsid w:val="00C33FD7"/>
    <w:rsid w:val="00C33FF1"/>
    <w:rsid w:val="00C34B4F"/>
    <w:rsid w:val="00C34DA4"/>
    <w:rsid w:val="00C34DBA"/>
    <w:rsid w:val="00C34F52"/>
    <w:rsid w:val="00C3515C"/>
    <w:rsid w:val="00C353C6"/>
    <w:rsid w:val="00C35B4B"/>
    <w:rsid w:val="00C35C36"/>
    <w:rsid w:val="00C35F16"/>
    <w:rsid w:val="00C36277"/>
    <w:rsid w:val="00C36747"/>
    <w:rsid w:val="00C36907"/>
    <w:rsid w:val="00C37450"/>
    <w:rsid w:val="00C374B9"/>
    <w:rsid w:val="00C37827"/>
    <w:rsid w:val="00C37894"/>
    <w:rsid w:val="00C40657"/>
    <w:rsid w:val="00C41021"/>
    <w:rsid w:val="00C41315"/>
    <w:rsid w:val="00C4144B"/>
    <w:rsid w:val="00C4144E"/>
    <w:rsid w:val="00C415D1"/>
    <w:rsid w:val="00C41937"/>
    <w:rsid w:val="00C41DC4"/>
    <w:rsid w:val="00C41F79"/>
    <w:rsid w:val="00C420D9"/>
    <w:rsid w:val="00C42249"/>
    <w:rsid w:val="00C42525"/>
    <w:rsid w:val="00C430F1"/>
    <w:rsid w:val="00C43331"/>
    <w:rsid w:val="00C4391C"/>
    <w:rsid w:val="00C43B8C"/>
    <w:rsid w:val="00C43CCD"/>
    <w:rsid w:val="00C4407C"/>
    <w:rsid w:val="00C4439D"/>
    <w:rsid w:val="00C443CA"/>
    <w:rsid w:val="00C44643"/>
    <w:rsid w:val="00C44B84"/>
    <w:rsid w:val="00C44BBE"/>
    <w:rsid w:val="00C44C55"/>
    <w:rsid w:val="00C450D9"/>
    <w:rsid w:val="00C45917"/>
    <w:rsid w:val="00C45C22"/>
    <w:rsid w:val="00C45D1F"/>
    <w:rsid w:val="00C46448"/>
    <w:rsid w:val="00C4652B"/>
    <w:rsid w:val="00C46605"/>
    <w:rsid w:val="00C46662"/>
    <w:rsid w:val="00C466BC"/>
    <w:rsid w:val="00C467ED"/>
    <w:rsid w:val="00C46866"/>
    <w:rsid w:val="00C469F0"/>
    <w:rsid w:val="00C46E53"/>
    <w:rsid w:val="00C46F20"/>
    <w:rsid w:val="00C4705F"/>
    <w:rsid w:val="00C47207"/>
    <w:rsid w:val="00C473F7"/>
    <w:rsid w:val="00C476CC"/>
    <w:rsid w:val="00C47864"/>
    <w:rsid w:val="00C50190"/>
    <w:rsid w:val="00C501B3"/>
    <w:rsid w:val="00C502F9"/>
    <w:rsid w:val="00C50307"/>
    <w:rsid w:val="00C5044E"/>
    <w:rsid w:val="00C50646"/>
    <w:rsid w:val="00C508ED"/>
    <w:rsid w:val="00C50ACB"/>
    <w:rsid w:val="00C50C36"/>
    <w:rsid w:val="00C50C44"/>
    <w:rsid w:val="00C511E1"/>
    <w:rsid w:val="00C5176A"/>
    <w:rsid w:val="00C5188E"/>
    <w:rsid w:val="00C5191D"/>
    <w:rsid w:val="00C51F95"/>
    <w:rsid w:val="00C5208F"/>
    <w:rsid w:val="00C5247E"/>
    <w:rsid w:val="00C52F7E"/>
    <w:rsid w:val="00C537A0"/>
    <w:rsid w:val="00C53913"/>
    <w:rsid w:val="00C53BB9"/>
    <w:rsid w:val="00C53EA4"/>
    <w:rsid w:val="00C547C3"/>
    <w:rsid w:val="00C550F7"/>
    <w:rsid w:val="00C553D5"/>
    <w:rsid w:val="00C55BC6"/>
    <w:rsid w:val="00C55FCD"/>
    <w:rsid w:val="00C5625F"/>
    <w:rsid w:val="00C5636F"/>
    <w:rsid w:val="00C568D5"/>
    <w:rsid w:val="00C57248"/>
    <w:rsid w:val="00C57595"/>
    <w:rsid w:val="00C57852"/>
    <w:rsid w:val="00C6021D"/>
    <w:rsid w:val="00C603C5"/>
    <w:rsid w:val="00C60B1F"/>
    <w:rsid w:val="00C60D71"/>
    <w:rsid w:val="00C60D8F"/>
    <w:rsid w:val="00C60E2A"/>
    <w:rsid w:val="00C60E31"/>
    <w:rsid w:val="00C610AB"/>
    <w:rsid w:val="00C6145A"/>
    <w:rsid w:val="00C61CDA"/>
    <w:rsid w:val="00C621D4"/>
    <w:rsid w:val="00C621F6"/>
    <w:rsid w:val="00C623C1"/>
    <w:rsid w:val="00C6279E"/>
    <w:rsid w:val="00C6294E"/>
    <w:rsid w:val="00C62EA3"/>
    <w:rsid w:val="00C63404"/>
    <w:rsid w:val="00C635E0"/>
    <w:rsid w:val="00C63701"/>
    <w:rsid w:val="00C63A69"/>
    <w:rsid w:val="00C63A94"/>
    <w:rsid w:val="00C63B07"/>
    <w:rsid w:val="00C647C5"/>
    <w:rsid w:val="00C64989"/>
    <w:rsid w:val="00C659F9"/>
    <w:rsid w:val="00C65D21"/>
    <w:rsid w:val="00C65FDD"/>
    <w:rsid w:val="00C662DB"/>
    <w:rsid w:val="00C66666"/>
    <w:rsid w:val="00C66669"/>
    <w:rsid w:val="00C66DE2"/>
    <w:rsid w:val="00C66E87"/>
    <w:rsid w:val="00C6730B"/>
    <w:rsid w:val="00C67DE5"/>
    <w:rsid w:val="00C70743"/>
    <w:rsid w:val="00C70884"/>
    <w:rsid w:val="00C708E3"/>
    <w:rsid w:val="00C709B9"/>
    <w:rsid w:val="00C70DF7"/>
    <w:rsid w:val="00C70EF3"/>
    <w:rsid w:val="00C711AB"/>
    <w:rsid w:val="00C71469"/>
    <w:rsid w:val="00C717E7"/>
    <w:rsid w:val="00C71CA4"/>
    <w:rsid w:val="00C725D8"/>
    <w:rsid w:val="00C72A4D"/>
    <w:rsid w:val="00C7306C"/>
    <w:rsid w:val="00C733ED"/>
    <w:rsid w:val="00C73524"/>
    <w:rsid w:val="00C735CC"/>
    <w:rsid w:val="00C7390B"/>
    <w:rsid w:val="00C739A6"/>
    <w:rsid w:val="00C739FC"/>
    <w:rsid w:val="00C739FF"/>
    <w:rsid w:val="00C73AF8"/>
    <w:rsid w:val="00C74A34"/>
    <w:rsid w:val="00C7537A"/>
    <w:rsid w:val="00C75665"/>
    <w:rsid w:val="00C75E90"/>
    <w:rsid w:val="00C761BD"/>
    <w:rsid w:val="00C761BE"/>
    <w:rsid w:val="00C762F4"/>
    <w:rsid w:val="00C763E3"/>
    <w:rsid w:val="00C7657E"/>
    <w:rsid w:val="00C766EE"/>
    <w:rsid w:val="00C769DC"/>
    <w:rsid w:val="00C76FF2"/>
    <w:rsid w:val="00C7702F"/>
    <w:rsid w:val="00C77054"/>
    <w:rsid w:val="00C77222"/>
    <w:rsid w:val="00C77EF6"/>
    <w:rsid w:val="00C80278"/>
    <w:rsid w:val="00C808EC"/>
    <w:rsid w:val="00C80A5B"/>
    <w:rsid w:val="00C80A9E"/>
    <w:rsid w:val="00C80D20"/>
    <w:rsid w:val="00C8151C"/>
    <w:rsid w:val="00C8155D"/>
    <w:rsid w:val="00C817C3"/>
    <w:rsid w:val="00C81848"/>
    <w:rsid w:val="00C81E75"/>
    <w:rsid w:val="00C81EB1"/>
    <w:rsid w:val="00C82012"/>
    <w:rsid w:val="00C82387"/>
    <w:rsid w:val="00C82548"/>
    <w:rsid w:val="00C828BA"/>
    <w:rsid w:val="00C82990"/>
    <w:rsid w:val="00C82D95"/>
    <w:rsid w:val="00C835CD"/>
    <w:rsid w:val="00C83787"/>
    <w:rsid w:val="00C8394C"/>
    <w:rsid w:val="00C83C6D"/>
    <w:rsid w:val="00C84400"/>
    <w:rsid w:val="00C8443D"/>
    <w:rsid w:val="00C845E7"/>
    <w:rsid w:val="00C84CDA"/>
    <w:rsid w:val="00C85352"/>
    <w:rsid w:val="00C85923"/>
    <w:rsid w:val="00C85938"/>
    <w:rsid w:val="00C860B6"/>
    <w:rsid w:val="00C86B6D"/>
    <w:rsid w:val="00C86EC5"/>
    <w:rsid w:val="00C87072"/>
    <w:rsid w:val="00C870C0"/>
    <w:rsid w:val="00C87E79"/>
    <w:rsid w:val="00C87FCB"/>
    <w:rsid w:val="00C90123"/>
    <w:rsid w:val="00C9022E"/>
    <w:rsid w:val="00C90244"/>
    <w:rsid w:val="00C902C5"/>
    <w:rsid w:val="00C902E5"/>
    <w:rsid w:val="00C903EE"/>
    <w:rsid w:val="00C905F6"/>
    <w:rsid w:val="00C9097A"/>
    <w:rsid w:val="00C9104E"/>
    <w:rsid w:val="00C91554"/>
    <w:rsid w:val="00C91770"/>
    <w:rsid w:val="00C91884"/>
    <w:rsid w:val="00C91F7F"/>
    <w:rsid w:val="00C9218E"/>
    <w:rsid w:val="00C922BB"/>
    <w:rsid w:val="00C927F3"/>
    <w:rsid w:val="00C9308C"/>
    <w:rsid w:val="00C93FDC"/>
    <w:rsid w:val="00C946AC"/>
    <w:rsid w:val="00C95099"/>
    <w:rsid w:val="00C951CA"/>
    <w:rsid w:val="00C95518"/>
    <w:rsid w:val="00C955D2"/>
    <w:rsid w:val="00C95866"/>
    <w:rsid w:val="00C96D33"/>
    <w:rsid w:val="00C96DA8"/>
    <w:rsid w:val="00C96FB2"/>
    <w:rsid w:val="00C97137"/>
    <w:rsid w:val="00C972E0"/>
    <w:rsid w:val="00C972FE"/>
    <w:rsid w:val="00C976C5"/>
    <w:rsid w:val="00C97A1B"/>
    <w:rsid w:val="00CA02CE"/>
    <w:rsid w:val="00CA02CF"/>
    <w:rsid w:val="00CA03EC"/>
    <w:rsid w:val="00CA0984"/>
    <w:rsid w:val="00CA0AC9"/>
    <w:rsid w:val="00CA128F"/>
    <w:rsid w:val="00CA1C89"/>
    <w:rsid w:val="00CA1E33"/>
    <w:rsid w:val="00CA1ED3"/>
    <w:rsid w:val="00CA2AFD"/>
    <w:rsid w:val="00CA2C66"/>
    <w:rsid w:val="00CA2E00"/>
    <w:rsid w:val="00CA3558"/>
    <w:rsid w:val="00CA3950"/>
    <w:rsid w:val="00CA3A6C"/>
    <w:rsid w:val="00CA3B6B"/>
    <w:rsid w:val="00CA3CB8"/>
    <w:rsid w:val="00CA42E1"/>
    <w:rsid w:val="00CA4BB7"/>
    <w:rsid w:val="00CA4D0F"/>
    <w:rsid w:val="00CA58EB"/>
    <w:rsid w:val="00CA5EBA"/>
    <w:rsid w:val="00CA5F70"/>
    <w:rsid w:val="00CA6488"/>
    <w:rsid w:val="00CA64CB"/>
    <w:rsid w:val="00CA6799"/>
    <w:rsid w:val="00CA69C5"/>
    <w:rsid w:val="00CA6A66"/>
    <w:rsid w:val="00CA6B8F"/>
    <w:rsid w:val="00CA6BD2"/>
    <w:rsid w:val="00CA6C49"/>
    <w:rsid w:val="00CA6CC0"/>
    <w:rsid w:val="00CA7CB0"/>
    <w:rsid w:val="00CA7E94"/>
    <w:rsid w:val="00CA7EAF"/>
    <w:rsid w:val="00CB01D3"/>
    <w:rsid w:val="00CB0465"/>
    <w:rsid w:val="00CB04F1"/>
    <w:rsid w:val="00CB0918"/>
    <w:rsid w:val="00CB0E4C"/>
    <w:rsid w:val="00CB1154"/>
    <w:rsid w:val="00CB18E2"/>
    <w:rsid w:val="00CB2789"/>
    <w:rsid w:val="00CB2827"/>
    <w:rsid w:val="00CB2A8C"/>
    <w:rsid w:val="00CB2C72"/>
    <w:rsid w:val="00CB2EA9"/>
    <w:rsid w:val="00CB2FD6"/>
    <w:rsid w:val="00CB3124"/>
    <w:rsid w:val="00CB3DB0"/>
    <w:rsid w:val="00CB3F6E"/>
    <w:rsid w:val="00CB4950"/>
    <w:rsid w:val="00CB4A0E"/>
    <w:rsid w:val="00CB4C8C"/>
    <w:rsid w:val="00CB4FA4"/>
    <w:rsid w:val="00CB55D5"/>
    <w:rsid w:val="00CB5BC1"/>
    <w:rsid w:val="00CB5DEA"/>
    <w:rsid w:val="00CB6269"/>
    <w:rsid w:val="00CB62F1"/>
    <w:rsid w:val="00CB6344"/>
    <w:rsid w:val="00CB66DE"/>
    <w:rsid w:val="00CB67C5"/>
    <w:rsid w:val="00CB6DA0"/>
    <w:rsid w:val="00CB6FC5"/>
    <w:rsid w:val="00CB7B12"/>
    <w:rsid w:val="00CB7C0A"/>
    <w:rsid w:val="00CB7CB1"/>
    <w:rsid w:val="00CC0827"/>
    <w:rsid w:val="00CC0AB9"/>
    <w:rsid w:val="00CC0CA3"/>
    <w:rsid w:val="00CC112F"/>
    <w:rsid w:val="00CC1466"/>
    <w:rsid w:val="00CC15E9"/>
    <w:rsid w:val="00CC19B8"/>
    <w:rsid w:val="00CC1B9B"/>
    <w:rsid w:val="00CC22BF"/>
    <w:rsid w:val="00CC2BB1"/>
    <w:rsid w:val="00CC2DE3"/>
    <w:rsid w:val="00CC34BB"/>
    <w:rsid w:val="00CC3E5D"/>
    <w:rsid w:val="00CC4261"/>
    <w:rsid w:val="00CC44A5"/>
    <w:rsid w:val="00CC50DB"/>
    <w:rsid w:val="00CC53D9"/>
    <w:rsid w:val="00CC74F6"/>
    <w:rsid w:val="00CC7FBC"/>
    <w:rsid w:val="00CD003F"/>
    <w:rsid w:val="00CD021E"/>
    <w:rsid w:val="00CD03EC"/>
    <w:rsid w:val="00CD072C"/>
    <w:rsid w:val="00CD087F"/>
    <w:rsid w:val="00CD0892"/>
    <w:rsid w:val="00CD0DE6"/>
    <w:rsid w:val="00CD1C33"/>
    <w:rsid w:val="00CD27BA"/>
    <w:rsid w:val="00CD2944"/>
    <w:rsid w:val="00CD2B5B"/>
    <w:rsid w:val="00CD2DA6"/>
    <w:rsid w:val="00CD2FF2"/>
    <w:rsid w:val="00CD311C"/>
    <w:rsid w:val="00CD32F4"/>
    <w:rsid w:val="00CD3362"/>
    <w:rsid w:val="00CD33AD"/>
    <w:rsid w:val="00CD3806"/>
    <w:rsid w:val="00CD408D"/>
    <w:rsid w:val="00CD4120"/>
    <w:rsid w:val="00CD412E"/>
    <w:rsid w:val="00CD442C"/>
    <w:rsid w:val="00CD48EC"/>
    <w:rsid w:val="00CD4AA5"/>
    <w:rsid w:val="00CD5201"/>
    <w:rsid w:val="00CD5537"/>
    <w:rsid w:val="00CD5682"/>
    <w:rsid w:val="00CD66B3"/>
    <w:rsid w:val="00CD6825"/>
    <w:rsid w:val="00CD6DFF"/>
    <w:rsid w:val="00CD6FAE"/>
    <w:rsid w:val="00CD775D"/>
    <w:rsid w:val="00CE0076"/>
    <w:rsid w:val="00CE00B5"/>
    <w:rsid w:val="00CE00B7"/>
    <w:rsid w:val="00CE01A8"/>
    <w:rsid w:val="00CE024F"/>
    <w:rsid w:val="00CE06C4"/>
    <w:rsid w:val="00CE0752"/>
    <w:rsid w:val="00CE0962"/>
    <w:rsid w:val="00CE0CA4"/>
    <w:rsid w:val="00CE16BE"/>
    <w:rsid w:val="00CE1774"/>
    <w:rsid w:val="00CE1957"/>
    <w:rsid w:val="00CE1977"/>
    <w:rsid w:val="00CE202D"/>
    <w:rsid w:val="00CE230F"/>
    <w:rsid w:val="00CE2C1E"/>
    <w:rsid w:val="00CE3531"/>
    <w:rsid w:val="00CE3F0B"/>
    <w:rsid w:val="00CE4C99"/>
    <w:rsid w:val="00CE4DCA"/>
    <w:rsid w:val="00CE4DEC"/>
    <w:rsid w:val="00CE5093"/>
    <w:rsid w:val="00CE55D9"/>
    <w:rsid w:val="00CE57A1"/>
    <w:rsid w:val="00CE6002"/>
    <w:rsid w:val="00CE60CA"/>
    <w:rsid w:val="00CE613A"/>
    <w:rsid w:val="00CE6CB6"/>
    <w:rsid w:val="00CE6FBA"/>
    <w:rsid w:val="00CE7321"/>
    <w:rsid w:val="00CE741B"/>
    <w:rsid w:val="00CE7733"/>
    <w:rsid w:val="00CE78C1"/>
    <w:rsid w:val="00CE78D7"/>
    <w:rsid w:val="00CE7CF2"/>
    <w:rsid w:val="00CF0112"/>
    <w:rsid w:val="00CF02FE"/>
    <w:rsid w:val="00CF0788"/>
    <w:rsid w:val="00CF0A9D"/>
    <w:rsid w:val="00CF0D15"/>
    <w:rsid w:val="00CF0D7F"/>
    <w:rsid w:val="00CF0EA2"/>
    <w:rsid w:val="00CF0ED8"/>
    <w:rsid w:val="00CF0F4D"/>
    <w:rsid w:val="00CF11B0"/>
    <w:rsid w:val="00CF134F"/>
    <w:rsid w:val="00CF13CC"/>
    <w:rsid w:val="00CF1788"/>
    <w:rsid w:val="00CF17A6"/>
    <w:rsid w:val="00CF18BA"/>
    <w:rsid w:val="00CF1E64"/>
    <w:rsid w:val="00CF224B"/>
    <w:rsid w:val="00CF2503"/>
    <w:rsid w:val="00CF2889"/>
    <w:rsid w:val="00CF2A7D"/>
    <w:rsid w:val="00CF2C08"/>
    <w:rsid w:val="00CF2C65"/>
    <w:rsid w:val="00CF2CA9"/>
    <w:rsid w:val="00CF2E0D"/>
    <w:rsid w:val="00CF324E"/>
    <w:rsid w:val="00CF3934"/>
    <w:rsid w:val="00CF3986"/>
    <w:rsid w:val="00CF39E8"/>
    <w:rsid w:val="00CF3A14"/>
    <w:rsid w:val="00CF42AF"/>
    <w:rsid w:val="00CF43BA"/>
    <w:rsid w:val="00CF44F4"/>
    <w:rsid w:val="00CF450C"/>
    <w:rsid w:val="00CF472B"/>
    <w:rsid w:val="00CF51DE"/>
    <w:rsid w:val="00CF56B7"/>
    <w:rsid w:val="00CF56D5"/>
    <w:rsid w:val="00CF581C"/>
    <w:rsid w:val="00CF5F3A"/>
    <w:rsid w:val="00CF6318"/>
    <w:rsid w:val="00CF6E1B"/>
    <w:rsid w:val="00CF6FF1"/>
    <w:rsid w:val="00CF702F"/>
    <w:rsid w:val="00CF7075"/>
    <w:rsid w:val="00CF724E"/>
    <w:rsid w:val="00CF75A4"/>
    <w:rsid w:val="00CF773E"/>
    <w:rsid w:val="00CF7757"/>
    <w:rsid w:val="00CF7C54"/>
    <w:rsid w:val="00CF7D1F"/>
    <w:rsid w:val="00D000F1"/>
    <w:rsid w:val="00D00297"/>
    <w:rsid w:val="00D0081E"/>
    <w:rsid w:val="00D00C46"/>
    <w:rsid w:val="00D010A1"/>
    <w:rsid w:val="00D013D0"/>
    <w:rsid w:val="00D0148E"/>
    <w:rsid w:val="00D01491"/>
    <w:rsid w:val="00D014BC"/>
    <w:rsid w:val="00D0181A"/>
    <w:rsid w:val="00D01FC6"/>
    <w:rsid w:val="00D02280"/>
    <w:rsid w:val="00D0248A"/>
    <w:rsid w:val="00D025B4"/>
    <w:rsid w:val="00D02B3C"/>
    <w:rsid w:val="00D038AC"/>
    <w:rsid w:val="00D03A90"/>
    <w:rsid w:val="00D03E66"/>
    <w:rsid w:val="00D0403D"/>
    <w:rsid w:val="00D04E3E"/>
    <w:rsid w:val="00D05196"/>
    <w:rsid w:val="00D052D5"/>
    <w:rsid w:val="00D05E6C"/>
    <w:rsid w:val="00D062D0"/>
    <w:rsid w:val="00D06335"/>
    <w:rsid w:val="00D06A58"/>
    <w:rsid w:val="00D07354"/>
    <w:rsid w:val="00D076B1"/>
    <w:rsid w:val="00D078CA"/>
    <w:rsid w:val="00D07B7A"/>
    <w:rsid w:val="00D07DF8"/>
    <w:rsid w:val="00D07EE1"/>
    <w:rsid w:val="00D10645"/>
    <w:rsid w:val="00D10E41"/>
    <w:rsid w:val="00D111FB"/>
    <w:rsid w:val="00D11B16"/>
    <w:rsid w:val="00D12872"/>
    <w:rsid w:val="00D12FF9"/>
    <w:rsid w:val="00D132B2"/>
    <w:rsid w:val="00D136E5"/>
    <w:rsid w:val="00D13A0B"/>
    <w:rsid w:val="00D13D58"/>
    <w:rsid w:val="00D14922"/>
    <w:rsid w:val="00D14D14"/>
    <w:rsid w:val="00D14EB4"/>
    <w:rsid w:val="00D150AE"/>
    <w:rsid w:val="00D1540B"/>
    <w:rsid w:val="00D156F3"/>
    <w:rsid w:val="00D15796"/>
    <w:rsid w:val="00D159CF"/>
    <w:rsid w:val="00D15C52"/>
    <w:rsid w:val="00D16648"/>
    <w:rsid w:val="00D16B48"/>
    <w:rsid w:val="00D16BB4"/>
    <w:rsid w:val="00D16CE7"/>
    <w:rsid w:val="00D170D2"/>
    <w:rsid w:val="00D17228"/>
    <w:rsid w:val="00D1733C"/>
    <w:rsid w:val="00D1753D"/>
    <w:rsid w:val="00D17CE3"/>
    <w:rsid w:val="00D17E7C"/>
    <w:rsid w:val="00D203D0"/>
    <w:rsid w:val="00D20966"/>
    <w:rsid w:val="00D20CDE"/>
    <w:rsid w:val="00D20DB8"/>
    <w:rsid w:val="00D21302"/>
    <w:rsid w:val="00D2167E"/>
    <w:rsid w:val="00D21C13"/>
    <w:rsid w:val="00D22418"/>
    <w:rsid w:val="00D229CF"/>
    <w:rsid w:val="00D22BE6"/>
    <w:rsid w:val="00D22D56"/>
    <w:rsid w:val="00D23356"/>
    <w:rsid w:val="00D234C6"/>
    <w:rsid w:val="00D236FD"/>
    <w:rsid w:val="00D23AF3"/>
    <w:rsid w:val="00D23C83"/>
    <w:rsid w:val="00D23E16"/>
    <w:rsid w:val="00D23E40"/>
    <w:rsid w:val="00D2402E"/>
    <w:rsid w:val="00D242D2"/>
    <w:rsid w:val="00D24C6C"/>
    <w:rsid w:val="00D24D8E"/>
    <w:rsid w:val="00D24FD9"/>
    <w:rsid w:val="00D25395"/>
    <w:rsid w:val="00D25B96"/>
    <w:rsid w:val="00D260F4"/>
    <w:rsid w:val="00D27694"/>
    <w:rsid w:val="00D27F3B"/>
    <w:rsid w:val="00D30031"/>
    <w:rsid w:val="00D300B7"/>
    <w:rsid w:val="00D30799"/>
    <w:rsid w:val="00D3124C"/>
    <w:rsid w:val="00D31967"/>
    <w:rsid w:val="00D31DE7"/>
    <w:rsid w:val="00D32557"/>
    <w:rsid w:val="00D32F47"/>
    <w:rsid w:val="00D330A5"/>
    <w:rsid w:val="00D33121"/>
    <w:rsid w:val="00D33576"/>
    <w:rsid w:val="00D337C4"/>
    <w:rsid w:val="00D33A03"/>
    <w:rsid w:val="00D33A99"/>
    <w:rsid w:val="00D33BCB"/>
    <w:rsid w:val="00D33CE4"/>
    <w:rsid w:val="00D3479A"/>
    <w:rsid w:val="00D34A0E"/>
    <w:rsid w:val="00D34BBF"/>
    <w:rsid w:val="00D34E03"/>
    <w:rsid w:val="00D34E47"/>
    <w:rsid w:val="00D358F0"/>
    <w:rsid w:val="00D35CBE"/>
    <w:rsid w:val="00D368DE"/>
    <w:rsid w:val="00D36CFF"/>
    <w:rsid w:val="00D375EB"/>
    <w:rsid w:val="00D377B1"/>
    <w:rsid w:val="00D400A1"/>
    <w:rsid w:val="00D400C3"/>
    <w:rsid w:val="00D4051E"/>
    <w:rsid w:val="00D40ABC"/>
    <w:rsid w:val="00D40AF0"/>
    <w:rsid w:val="00D410F2"/>
    <w:rsid w:val="00D4169C"/>
    <w:rsid w:val="00D425AC"/>
    <w:rsid w:val="00D42871"/>
    <w:rsid w:val="00D42880"/>
    <w:rsid w:val="00D42F41"/>
    <w:rsid w:val="00D4302F"/>
    <w:rsid w:val="00D430C5"/>
    <w:rsid w:val="00D43176"/>
    <w:rsid w:val="00D43ABD"/>
    <w:rsid w:val="00D43D09"/>
    <w:rsid w:val="00D448EA"/>
    <w:rsid w:val="00D44CFD"/>
    <w:rsid w:val="00D44EC1"/>
    <w:rsid w:val="00D45D49"/>
    <w:rsid w:val="00D45EF7"/>
    <w:rsid w:val="00D45FB6"/>
    <w:rsid w:val="00D46304"/>
    <w:rsid w:val="00D46D2E"/>
    <w:rsid w:val="00D46FDC"/>
    <w:rsid w:val="00D47044"/>
    <w:rsid w:val="00D47EE2"/>
    <w:rsid w:val="00D50110"/>
    <w:rsid w:val="00D5046F"/>
    <w:rsid w:val="00D5078E"/>
    <w:rsid w:val="00D50CCB"/>
    <w:rsid w:val="00D511E6"/>
    <w:rsid w:val="00D513BC"/>
    <w:rsid w:val="00D5160C"/>
    <w:rsid w:val="00D516B9"/>
    <w:rsid w:val="00D521C5"/>
    <w:rsid w:val="00D522A3"/>
    <w:rsid w:val="00D5264F"/>
    <w:rsid w:val="00D526CA"/>
    <w:rsid w:val="00D528B8"/>
    <w:rsid w:val="00D52BCB"/>
    <w:rsid w:val="00D535C5"/>
    <w:rsid w:val="00D535F7"/>
    <w:rsid w:val="00D536C0"/>
    <w:rsid w:val="00D5400D"/>
    <w:rsid w:val="00D549A2"/>
    <w:rsid w:val="00D55016"/>
    <w:rsid w:val="00D55737"/>
    <w:rsid w:val="00D558B1"/>
    <w:rsid w:val="00D55A1B"/>
    <w:rsid w:val="00D55F0A"/>
    <w:rsid w:val="00D56055"/>
    <w:rsid w:val="00D56177"/>
    <w:rsid w:val="00D563D5"/>
    <w:rsid w:val="00D5673E"/>
    <w:rsid w:val="00D56B32"/>
    <w:rsid w:val="00D5745C"/>
    <w:rsid w:val="00D57466"/>
    <w:rsid w:val="00D575ED"/>
    <w:rsid w:val="00D576FB"/>
    <w:rsid w:val="00D578EC"/>
    <w:rsid w:val="00D60052"/>
    <w:rsid w:val="00D60261"/>
    <w:rsid w:val="00D6038E"/>
    <w:rsid w:val="00D605D4"/>
    <w:rsid w:val="00D60DA1"/>
    <w:rsid w:val="00D610C1"/>
    <w:rsid w:val="00D6149D"/>
    <w:rsid w:val="00D61D28"/>
    <w:rsid w:val="00D620C4"/>
    <w:rsid w:val="00D622BD"/>
    <w:rsid w:val="00D625E7"/>
    <w:rsid w:val="00D627F7"/>
    <w:rsid w:val="00D62B05"/>
    <w:rsid w:val="00D62FA1"/>
    <w:rsid w:val="00D6304D"/>
    <w:rsid w:val="00D63380"/>
    <w:rsid w:val="00D633AF"/>
    <w:rsid w:val="00D6360C"/>
    <w:rsid w:val="00D638FC"/>
    <w:rsid w:val="00D63978"/>
    <w:rsid w:val="00D63CA0"/>
    <w:rsid w:val="00D63CE4"/>
    <w:rsid w:val="00D63F75"/>
    <w:rsid w:val="00D640E6"/>
    <w:rsid w:val="00D64961"/>
    <w:rsid w:val="00D6510E"/>
    <w:rsid w:val="00D65371"/>
    <w:rsid w:val="00D6586C"/>
    <w:rsid w:val="00D6598B"/>
    <w:rsid w:val="00D659A4"/>
    <w:rsid w:val="00D66145"/>
    <w:rsid w:val="00D66A8A"/>
    <w:rsid w:val="00D66C1C"/>
    <w:rsid w:val="00D66F0E"/>
    <w:rsid w:val="00D67889"/>
    <w:rsid w:val="00D701B9"/>
    <w:rsid w:val="00D70333"/>
    <w:rsid w:val="00D70460"/>
    <w:rsid w:val="00D7104B"/>
    <w:rsid w:val="00D71280"/>
    <w:rsid w:val="00D71617"/>
    <w:rsid w:val="00D71EB0"/>
    <w:rsid w:val="00D722CF"/>
    <w:rsid w:val="00D72B52"/>
    <w:rsid w:val="00D72F11"/>
    <w:rsid w:val="00D7318B"/>
    <w:rsid w:val="00D73210"/>
    <w:rsid w:val="00D732C3"/>
    <w:rsid w:val="00D737DE"/>
    <w:rsid w:val="00D748E9"/>
    <w:rsid w:val="00D74BF2"/>
    <w:rsid w:val="00D75030"/>
    <w:rsid w:val="00D750A5"/>
    <w:rsid w:val="00D7511C"/>
    <w:rsid w:val="00D755E7"/>
    <w:rsid w:val="00D7587E"/>
    <w:rsid w:val="00D75D40"/>
    <w:rsid w:val="00D760C5"/>
    <w:rsid w:val="00D76607"/>
    <w:rsid w:val="00D7695A"/>
    <w:rsid w:val="00D77649"/>
    <w:rsid w:val="00D7788C"/>
    <w:rsid w:val="00D779F9"/>
    <w:rsid w:val="00D77AF0"/>
    <w:rsid w:val="00D77DFF"/>
    <w:rsid w:val="00D80053"/>
    <w:rsid w:val="00D80337"/>
    <w:rsid w:val="00D80462"/>
    <w:rsid w:val="00D80670"/>
    <w:rsid w:val="00D807B7"/>
    <w:rsid w:val="00D8080B"/>
    <w:rsid w:val="00D80A4F"/>
    <w:rsid w:val="00D80BB3"/>
    <w:rsid w:val="00D80DD3"/>
    <w:rsid w:val="00D80E33"/>
    <w:rsid w:val="00D81386"/>
    <w:rsid w:val="00D81EC5"/>
    <w:rsid w:val="00D81F1F"/>
    <w:rsid w:val="00D8212C"/>
    <w:rsid w:val="00D824D5"/>
    <w:rsid w:val="00D827E2"/>
    <w:rsid w:val="00D82AB8"/>
    <w:rsid w:val="00D830A0"/>
    <w:rsid w:val="00D83912"/>
    <w:rsid w:val="00D84009"/>
    <w:rsid w:val="00D840BB"/>
    <w:rsid w:val="00D845A3"/>
    <w:rsid w:val="00D847F5"/>
    <w:rsid w:val="00D849DB"/>
    <w:rsid w:val="00D84B46"/>
    <w:rsid w:val="00D85210"/>
    <w:rsid w:val="00D85A6D"/>
    <w:rsid w:val="00D862BB"/>
    <w:rsid w:val="00D86791"/>
    <w:rsid w:val="00D86A15"/>
    <w:rsid w:val="00D86B32"/>
    <w:rsid w:val="00D86CDD"/>
    <w:rsid w:val="00D86D62"/>
    <w:rsid w:val="00D86D91"/>
    <w:rsid w:val="00D873CC"/>
    <w:rsid w:val="00D8757F"/>
    <w:rsid w:val="00D876DD"/>
    <w:rsid w:val="00D87AA3"/>
    <w:rsid w:val="00D87ADC"/>
    <w:rsid w:val="00D87BEC"/>
    <w:rsid w:val="00D87E58"/>
    <w:rsid w:val="00D9006C"/>
    <w:rsid w:val="00D9024E"/>
    <w:rsid w:val="00D903F4"/>
    <w:rsid w:val="00D90D80"/>
    <w:rsid w:val="00D910D6"/>
    <w:rsid w:val="00D9133F"/>
    <w:rsid w:val="00D91386"/>
    <w:rsid w:val="00D922E7"/>
    <w:rsid w:val="00D9255F"/>
    <w:rsid w:val="00D92609"/>
    <w:rsid w:val="00D9266C"/>
    <w:rsid w:val="00D92E4A"/>
    <w:rsid w:val="00D93267"/>
    <w:rsid w:val="00D94257"/>
    <w:rsid w:val="00D94DF7"/>
    <w:rsid w:val="00D9560C"/>
    <w:rsid w:val="00D95A82"/>
    <w:rsid w:val="00D9625F"/>
    <w:rsid w:val="00D963B5"/>
    <w:rsid w:val="00D96488"/>
    <w:rsid w:val="00D967C8"/>
    <w:rsid w:val="00D968CA"/>
    <w:rsid w:val="00D96B03"/>
    <w:rsid w:val="00D96D60"/>
    <w:rsid w:val="00D96DAA"/>
    <w:rsid w:val="00D9756E"/>
    <w:rsid w:val="00D976C2"/>
    <w:rsid w:val="00D97A49"/>
    <w:rsid w:val="00D97CDE"/>
    <w:rsid w:val="00D97DAB"/>
    <w:rsid w:val="00D97ED6"/>
    <w:rsid w:val="00DA0163"/>
    <w:rsid w:val="00DA098A"/>
    <w:rsid w:val="00DA0C94"/>
    <w:rsid w:val="00DA0F0A"/>
    <w:rsid w:val="00DA1332"/>
    <w:rsid w:val="00DA13A0"/>
    <w:rsid w:val="00DA17D0"/>
    <w:rsid w:val="00DA1984"/>
    <w:rsid w:val="00DA1C9F"/>
    <w:rsid w:val="00DA1D64"/>
    <w:rsid w:val="00DA1DFB"/>
    <w:rsid w:val="00DA2028"/>
    <w:rsid w:val="00DA2185"/>
    <w:rsid w:val="00DA2297"/>
    <w:rsid w:val="00DA231C"/>
    <w:rsid w:val="00DA235A"/>
    <w:rsid w:val="00DA2395"/>
    <w:rsid w:val="00DA2920"/>
    <w:rsid w:val="00DA2973"/>
    <w:rsid w:val="00DA30B7"/>
    <w:rsid w:val="00DA37FE"/>
    <w:rsid w:val="00DA395C"/>
    <w:rsid w:val="00DA3A22"/>
    <w:rsid w:val="00DA3AF4"/>
    <w:rsid w:val="00DA422C"/>
    <w:rsid w:val="00DA46B2"/>
    <w:rsid w:val="00DA4706"/>
    <w:rsid w:val="00DA4A0E"/>
    <w:rsid w:val="00DA4C15"/>
    <w:rsid w:val="00DA4DD5"/>
    <w:rsid w:val="00DA5B86"/>
    <w:rsid w:val="00DA5EBB"/>
    <w:rsid w:val="00DA6372"/>
    <w:rsid w:val="00DA65B4"/>
    <w:rsid w:val="00DA6D29"/>
    <w:rsid w:val="00DA7003"/>
    <w:rsid w:val="00DA71CF"/>
    <w:rsid w:val="00DA7390"/>
    <w:rsid w:val="00DA7974"/>
    <w:rsid w:val="00DA79C0"/>
    <w:rsid w:val="00DA7F78"/>
    <w:rsid w:val="00DA7FBB"/>
    <w:rsid w:val="00DA7FEA"/>
    <w:rsid w:val="00DB013B"/>
    <w:rsid w:val="00DB039E"/>
    <w:rsid w:val="00DB03D5"/>
    <w:rsid w:val="00DB0904"/>
    <w:rsid w:val="00DB1851"/>
    <w:rsid w:val="00DB1C06"/>
    <w:rsid w:val="00DB1CD2"/>
    <w:rsid w:val="00DB1D28"/>
    <w:rsid w:val="00DB1FD6"/>
    <w:rsid w:val="00DB2990"/>
    <w:rsid w:val="00DB311E"/>
    <w:rsid w:val="00DB33FD"/>
    <w:rsid w:val="00DB3427"/>
    <w:rsid w:val="00DB36C3"/>
    <w:rsid w:val="00DB3C34"/>
    <w:rsid w:val="00DB3D43"/>
    <w:rsid w:val="00DB3FA3"/>
    <w:rsid w:val="00DB41C2"/>
    <w:rsid w:val="00DB45C2"/>
    <w:rsid w:val="00DB4676"/>
    <w:rsid w:val="00DB4E53"/>
    <w:rsid w:val="00DB531B"/>
    <w:rsid w:val="00DB5B68"/>
    <w:rsid w:val="00DB5E66"/>
    <w:rsid w:val="00DB5EDB"/>
    <w:rsid w:val="00DB61C3"/>
    <w:rsid w:val="00DB691D"/>
    <w:rsid w:val="00DB6A90"/>
    <w:rsid w:val="00DB6C82"/>
    <w:rsid w:val="00DB6CB7"/>
    <w:rsid w:val="00DB733C"/>
    <w:rsid w:val="00DB7A41"/>
    <w:rsid w:val="00DB7CC3"/>
    <w:rsid w:val="00DB7D2E"/>
    <w:rsid w:val="00DB7E00"/>
    <w:rsid w:val="00DB7E70"/>
    <w:rsid w:val="00DC0252"/>
    <w:rsid w:val="00DC0913"/>
    <w:rsid w:val="00DC0B96"/>
    <w:rsid w:val="00DC1044"/>
    <w:rsid w:val="00DC146A"/>
    <w:rsid w:val="00DC14BE"/>
    <w:rsid w:val="00DC15D0"/>
    <w:rsid w:val="00DC180D"/>
    <w:rsid w:val="00DC180F"/>
    <w:rsid w:val="00DC1B38"/>
    <w:rsid w:val="00DC1B5C"/>
    <w:rsid w:val="00DC1C83"/>
    <w:rsid w:val="00DC1EDE"/>
    <w:rsid w:val="00DC1FAB"/>
    <w:rsid w:val="00DC1FD0"/>
    <w:rsid w:val="00DC208E"/>
    <w:rsid w:val="00DC2104"/>
    <w:rsid w:val="00DC21E0"/>
    <w:rsid w:val="00DC220E"/>
    <w:rsid w:val="00DC2489"/>
    <w:rsid w:val="00DC268A"/>
    <w:rsid w:val="00DC2889"/>
    <w:rsid w:val="00DC296A"/>
    <w:rsid w:val="00DC29D6"/>
    <w:rsid w:val="00DC2B64"/>
    <w:rsid w:val="00DC2BEA"/>
    <w:rsid w:val="00DC2D77"/>
    <w:rsid w:val="00DC33BF"/>
    <w:rsid w:val="00DC3873"/>
    <w:rsid w:val="00DC38D1"/>
    <w:rsid w:val="00DC393F"/>
    <w:rsid w:val="00DC3969"/>
    <w:rsid w:val="00DC3A76"/>
    <w:rsid w:val="00DC3AEA"/>
    <w:rsid w:val="00DC3B40"/>
    <w:rsid w:val="00DC499D"/>
    <w:rsid w:val="00DC4A9E"/>
    <w:rsid w:val="00DC50B5"/>
    <w:rsid w:val="00DC5135"/>
    <w:rsid w:val="00DC5951"/>
    <w:rsid w:val="00DC5953"/>
    <w:rsid w:val="00DC59C8"/>
    <w:rsid w:val="00DC5DC5"/>
    <w:rsid w:val="00DC5EEA"/>
    <w:rsid w:val="00DD0382"/>
    <w:rsid w:val="00DD0E3B"/>
    <w:rsid w:val="00DD1020"/>
    <w:rsid w:val="00DD1EB5"/>
    <w:rsid w:val="00DD2373"/>
    <w:rsid w:val="00DD24C7"/>
    <w:rsid w:val="00DD2B86"/>
    <w:rsid w:val="00DD2E62"/>
    <w:rsid w:val="00DD2EB6"/>
    <w:rsid w:val="00DD385E"/>
    <w:rsid w:val="00DD3F4A"/>
    <w:rsid w:val="00DD4050"/>
    <w:rsid w:val="00DD40C1"/>
    <w:rsid w:val="00DD42E4"/>
    <w:rsid w:val="00DD4329"/>
    <w:rsid w:val="00DD4899"/>
    <w:rsid w:val="00DD5552"/>
    <w:rsid w:val="00DD5679"/>
    <w:rsid w:val="00DD5DD3"/>
    <w:rsid w:val="00DD6030"/>
    <w:rsid w:val="00DD6199"/>
    <w:rsid w:val="00DD6234"/>
    <w:rsid w:val="00DD64F3"/>
    <w:rsid w:val="00DD68F7"/>
    <w:rsid w:val="00DD6C04"/>
    <w:rsid w:val="00DD6F77"/>
    <w:rsid w:val="00DD70E9"/>
    <w:rsid w:val="00DD7545"/>
    <w:rsid w:val="00DD75BC"/>
    <w:rsid w:val="00DD770D"/>
    <w:rsid w:val="00DD7936"/>
    <w:rsid w:val="00DD7E11"/>
    <w:rsid w:val="00DE08EE"/>
    <w:rsid w:val="00DE0C6A"/>
    <w:rsid w:val="00DE1855"/>
    <w:rsid w:val="00DE1B86"/>
    <w:rsid w:val="00DE1EAB"/>
    <w:rsid w:val="00DE1F2F"/>
    <w:rsid w:val="00DE2050"/>
    <w:rsid w:val="00DE2061"/>
    <w:rsid w:val="00DE26EE"/>
    <w:rsid w:val="00DE27FA"/>
    <w:rsid w:val="00DE2A82"/>
    <w:rsid w:val="00DE2B6D"/>
    <w:rsid w:val="00DE2E7D"/>
    <w:rsid w:val="00DE2E9C"/>
    <w:rsid w:val="00DE3406"/>
    <w:rsid w:val="00DE37E1"/>
    <w:rsid w:val="00DE3814"/>
    <w:rsid w:val="00DE391D"/>
    <w:rsid w:val="00DE39A1"/>
    <w:rsid w:val="00DE3C60"/>
    <w:rsid w:val="00DE3D0B"/>
    <w:rsid w:val="00DE3EED"/>
    <w:rsid w:val="00DE4593"/>
    <w:rsid w:val="00DE4A83"/>
    <w:rsid w:val="00DE4AD5"/>
    <w:rsid w:val="00DE5580"/>
    <w:rsid w:val="00DE5B20"/>
    <w:rsid w:val="00DE5DB5"/>
    <w:rsid w:val="00DE5FF3"/>
    <w:rsid w:val="00DE60E5"/>
    <w:rsid w:val="00DE616C"/>
    <w:rsid w:val="00DE634F"/>
    <w:rsid w:val="00DE664D"/>
    <w:rsid w:val="00DE699E"/>
    <w:rsid w:val="00DE6A7B"/>
    <w:rsid w:val="00DE6B0F"/>
    <w:rsid w:val="00DE6C09"/>
    <w:rsid w:val="00DE709A"/>
    <w:rsid w:val="00DE7116"/>
    <w:rsid w:val="00DE75F5"/>
    <w:rsid w:val="00DE76B5"/>
    <w:rsid w:val="00DE7E07"/>
    <w:rsid w:val="00DF004F"/>
    <w:rsid w:val="00DF052F"/>
    <w:rsid w:val="00DF06CB"/>
    <w:rsid w:val="00DF07BA"/>
    <w:rsid w:val="00DF08F2"/>
    <w:rsid w:val="00DF0F35"/>
    <w:rsid w:val="00DF0FF5"/>
    <w:rsid w:val="00DF11FA"/>
    <w:rsid w:val="00DF124D"/>
    <w:rsid w:val="00DF1331"/>
    <w:rsid w:val="00DF13F5"/>
    <w:rsid w:val="00DF194D"/>
    <w:rsid w:val="00DF1B3E"/>
    <w:rsid w:val="00DF1D2E"/>
    <w:rsid w:val="00DF1F77"/>
    <w:rsid w:val="00DF24E3"/>
    <w:rsid w:val="00DF2B33"/>
    <w:rsid w:val="00DF493E"/>
    <w:rsid w:val="00DF49B5"/>
    <w:rsid w:val="00DF49FA"/>
    <w:rsid w:val="00DF4FC6"/>
    <w:rsid w:val="00DF4FCB"/>
    <w:rsid w:val="00DF5619"/>
    <w:rsid w:val="00DF5CAB"/>
    <w:rsid w:val="00DF5EDF"/>
    <w:rsid w:val="00DF615A"/>
    <w:rsid w:val="00DF679C"/>
    <w:rsid w:val="00DF6841"/>
    <w:rsid w:val="00DF7114"/>
    <w:rsid w:val="00DF7492"/>
    <w:rsid w:val="00DF75E6"/>
    <w:rsid w:val="00DF7806"/>
    <w:rsid w:val="00DF7D5B"/>
    <w:rsid w:val="00DF7D65"/>
    <w:rsid w:val="00DF7F98"/>
    <w:rsid w:val="00DF7FD1"/>
    <w:rsid w:val="00E0005B"/>
    <w:rsid w:val="00E00672"/>
    <w:rsid w:val="00E0077C"/>
    <w:rsid w:val="00E0081B"/>
    <w:rsid w:val="00E010D7"/>
    <w:rsid w:val="00E011DC"/>
    <w:rsid w:val="00E013E6"/>
    <w:rsid w:val="00E0165C"/>
    <w:rsid w:val="00E016CB"/>
    <w:rsid w:val="00E01775"/>
    <w:rsid w:val="00E01AC9"/>
    <w:rsid w:val="00E01B79"/>
    <w:rsid w:val="00E02412"/>
    <w:rsid w:val="00E024E6"/>
    <w:rsid w:val="00E0278D"/>
    <w:rsid w:val="00E02A70"/>
    <w:rsid w:val="00E02BC4"/>
    <w:rsid w:val="00E02DC9"/>
    <w:rsid w:val="00E02F19"/>
    <w:rsid w:val="00E032C0"/>
    <w:rsid w:val="00E0380B"/>
    <w:rsid w:val="00E03AF9"/>
    <w:rsid w:val="00E03B96"/>
    <w:rsid w:val="00E045F6"/>
    <w:rsid w:val="00E04A2D"/>
    <w:rsid w:val="00E04B9A"/>
    <w:rsid w:val="00E04FB9"/>
    <w:rsid w:val="00E05408"/>
    <w:rsid w:val="00E055A1"/>
    <w:rsid w:val="00E05EA7"/>
    <w:rsid w:val="00E0691D"/>
    <w:rsid w:val="00E06C3E"/>
    <w:rsid w:val="00E07667"/>
    <w:rsid w:val="00E0773C"/>
    <w:rsid w:val="00E0798C"/>
    <w:rsid w:val="00E07B89"/>
    <w:rsid w:val="00E07FF0"/>
    <w:rsid w:val="00E1021B"/>
    <w:rsid w:val="00E10344"/>
    <w:rsid w:val="00E10ED5"/>
    <w:rsid w:val="00E112B8"/>
    <w:rsid w:val="00E11449"/>
    <w:rsid w:val="00E11642"/>
    <w:rsid w:val="00E11825"/>
    <w:rsid w:val="00E11BF1"/>
    <w:rsid w:val="00E11C50"/>
    <w:rsid w:val="00E11F29"/>
    <w:rsid w:val="00E11F2D"/>
    <w:rsid w:val="00E1210B"/>
    <w:rsid w:val="00E12139"/>
    <w:rsid w:val="00E122D6"/>
    <w:rsid w:val="00E12A55"/>
    <w:rsid w:val="00E12E22"/>
    <w:rsid w:val="00E12E28"/>
    <w:rsid w:val="00E12F0A"/>
    <w:rsid w:val="00E12F43"/>
    <w:rsid w:val="00E13357"/>
    <w:rsid w:val="00E13ED2"/>
    <w:rsid w:val="00E14132"/>
    <w:rsid w:val="00E14A2D"/>
    <w:rsid w:val="00E14D7F"/>
    <w:rsid w:val="00E15278"/>
    <w:rsid w:val="00E15345"/>
    <w:rsid w:val="00E15770"/>
    <w:rsid w:val="00E1581C"/>
    <w:rsid w:val="00E15F47"/>
    <w:rsid w:val="00E16353"/>
    <w:rsid w:val="00E1693D"/>
    <w:rsid w:val="00E16A5A"/>
    <w:rsid w:val="00E16D36"/>
    <w:rsid w:val="00E16FE5"/>
    <w:rsid w:val="00E17D2A"/>
    <w:rsid w:val="00E203B7"/>
    <w:rsid w:val="00E20632"/>
    <w:rsid w:val="00E208BE"/>
    <w:rsid w:val="00E20BE5"/>
    <w:rsid w:val="00E20D5E"/>
    <w:rsid w:val="00E20F4E"/>
    <w:rsid w:val="00E2144F"/>
    <w:rsid w:val="00E2153E"/>
    <w:rsid w:val="00E215F1"/>
    <w:rsid w:val="00E2345B"/>
    <w:rsid w:val="00E2387C"/>
    <w:rsid w:val="00E238D0"/>
    <w:rsid w:val="00E24251"/>
    <w:rsid w:val="00E246E9"/>
    <w:rsid w:val="00E24A0F"/>
    <w:rsid w:val="00E24E9F"/>
    <w:rsid w:val="00E25495"/>
    <w:rsid w:val="00E25E5A"/>
    <w:rsid w:val="00E261BF"/>
    <w:rsid w:val="00E2685B"/>
    <w:rsid w:val="00E26987"/>
    <w:rsid w:val="00E26B36"/>
    <w:rsid w:val="00E26DD6"/>
    <w:rsid w:val="00E26E2C"/>
    <w:rsid w:val="00E2707B"/>
    <w:rsid w:val="00E2749F"/>
    <w:rsid w:val="00E27601"/>
    <w:rsid w:val="00E27645"/>
    <w:rsid w:val="00E27728"/>
    <w:rsid w:val="00E30031"/>
    <w:rsid w:val="00E304F8"/>
    <w:rsid w:val="00E30702"/>
    <w:rsid w:val="00E3078D"/>
    <w:rsid w:val="00E3173F"/>
    <w:rsid w:val="00E31C45"/>
    <w:rsid w:val="00E31ED9"/>
    <w:rsid w:val="00E322C8"/>
    <w:rsid w:val="00E325E4"/>
    <w:rsid w:val="00E32727"/>
    <w:rsid w:val="00E32E4C"/>
    <w:rsid w:val="00E3307E"/>
    <w:rsid w:val="00E335D0"/>
    <w:rsid w:val="00E33BB0"/>
    <w:rsid w:val="00E33F91"/>
    <w:rsid w:val="00E343B2"/>
    <w:rsid w:val="00E346DF"/>
    <w:rsid w:val="00E35012"/>
    <w:rsid w:val="00E351EA"/>
    <w:rsid w:val="00E35607"/>
    <w:rsid w:val="00E367E4"/>
    <w:rsid w:val="00E369CC"/>
    <w:rsid w:val="00E36C0B"/>
    <w:rsid w:val="00E36E4A"/>
    <w:rsid w:val="00E37A29"/>
    <w:rsid w:val="00E4018F"/>
    <w:rsid w:val="00E402D6"/>
    <w:rsid w:val="00E4080F"/>
    <w:rsid w:val="00E408BF"/>
    <w:rsid w:val="00E409D7"/>
    <w:rsid w:val="00E40BCB"/>
    <w:rsid w:val="00E40CAD"/>
    <w:rsid w:val="00E40D08"/>
    <w:rsid w:val="00E411E8"/>
    <w:rsid w:val="00E4138F"/>
    <w:rsid w:val="00E41893"/>
    <w:rsid w:val="00E418A4"/>
    <w:rsid w:val="00E41DB1"/>
    <w:rsid w:val="00E42018"/>
    <w:rsid w:val="00E42245"/>
    <w:rsid w:val="00E42CF2"/>
    <w:rsid w:val="00E43329"/>
    <w:rsid w:val="00E43391"/>
    <w:rsid w:val="00E4362C"/>
    <w:rsid w:val="00E438A6"/>
    <w:rsid w:val="00E43EF7"/>
    <w:rsid w:val="00E43FA9"/>
    <w:rsid w:val="00E44075"/>
    <w:rsid w:val="00E4437D"/>
    <w:rsid w:val="00E4446A"/>
    <w:rsid w:val="00E44579"/>
    <w:rsid w:val="00E451D7"/>
    <w:rsid w:val="00E452AC"/>
    <w:rsid w:val="00E4544B"/>
    <w:rsid w:val="00E457EB"/>
    <w:rsid w:val="00E4597D"/>
    <w:rsid w:val="00E45EBE"/>
    <w:rsid w:val="00E463A2"/>
    <w:rsid w:val="00E4650F"/>
    <w:rsid w:val="00E46555"/>
    <w:rsid w:val="00E46EC1"/>
    <w:rsid w:val="00E47325"/>
    <w:rsid w:val="00E4794F"/>
    <w:rsid w:val="00E47D3F"/>
    <w:rsid w:val="00E47DA3"/>
    <w:rsid w:val="00E47FA6"/>
    <w:rsid w:val="00E5050C"/>
    <w:rsid w:val="00E5062B"/>
    <w:rsid w:val="00E5066E"/>
    <w:rsid w:val="00E50CBB"/>
    <w:rsid w:val="00E50D53"/>
    <w:rsid w:val="00E51A36"/>
    <w:rsid w:val="00E51A61"/>
    <w:rsid w:val="00E51CC1"/>
    <w:rsid w:val="00E520D3"/>
    <w:rsid w:val="00E52385"/>
    <w:rsid w:val="00E529B5"/>
    <w:rsid w:val="00E52C89"/>
    <w:rsid w:val="00E52FC8"/>
    <w:rsid w:val="00E5378B"/>
    <w:rsid w:val="00E53CD7"/>
    <w:rsid w:val="00E541AD"/>
    <w:rsid w:val="00E54354"/>
    <w:rsid w:val="00E54BED"/>
    <w:rsid w:val="00E5522B"/>
    <w:rsid w:val="00E556F9"/>
    <w:rsid w:val="00E55844"/>
    <w:rsid w:val="00E55FD5"/>
    <w:rsid w:val="00E56330"/>
    <w:rsid w:val="00E563B1"/>
    <w:rsid w:val="00E56DC3"/>
    <w:rsid w:val="00E56EA4"/>
    <w:rsid w:val="00E570B0"/>
    <w:rsid w:val="00E571B1"/>
    <w:rsid w:val="00E5770B"/>
    <w:rsid w:val="00E57BCD"/>
    <w:rsid w:val="00E57D2F"/>
    <w:rsid w:val="00E6023E"/>
    <w:rsid w:val="00E602E5"/>
    <w:rsid w:val="00E6036E"/>
    <w:rsid w:val="00E603AF"/>
    <w:rsid w:val="00E60991"/>
    <w:rsid w:val="00E60C38"/>
    <w:rsid w:val="00E60C4A"/>
    <w:rsid w:val="00E61336"/>
    <w:rsid w:val="00E61727"/>
    <w:rsid w:val="00E61F88"/>
    <w:rsid w:val="00E626B9"/>
    <w:rsid w:val="00E62730"/>
    <w:rsid w:val="00E6284F"/>
    <w:rsid w:val="00E62AEB"/>
    <w:rsid w:val="00E62B8B"/>
    <w:rsid w:val="00E630B8"/>
    <w:rsid w:val="00E63396"/>
    <w:rsid w:val="00E6360A"/>
    <w:rsid w:val="00E636D4"/>
    <w:rsid w:val="00E637AB"/>
    <w:rsid w:val="00E63D29"/>
    <w:rsid w:val="00E64355"/>
    <w:rsid w:val="00E64400"/>
    <w:rsid w:val="00E64567"/>
    <w:rsid w:val="00E645EF"/>
    <w:rsid w:val="00E64615"/>
    <w:rsid w:val="00E6498A"/>
    <w:rsid w:val="00E64A18"/>
    <w:rsid w:val="00E64BB0"/>
    <w:rsid w:val="00E65438"/>
    <w:rsid w:val="00E65979"/>
    <w:rsid w:val="00E65A02"/>
    <w:rsid w:val="00E65B71"/>
    <w:rsid w:val="00E66176"/>
    <w:rsid w:val="00E66452"/>
    <w:rsid w:val="00E66ADA"/>
    <w:rsid w:val="00E674C1"/>
    <w:rsid w:val="00E6750B"/>
    <w:rsid w:val="00E679EF"/>
    <w:rsid w:val="00E7030D"/>
    <w:rsid w:val="00E70748"/>
    <w:rsid w:val="00E707FE"/>
    <w:rsid w:val="00E70E2D"/>
    <w:rsid w:val="00E70FF1"/>
    <w:rsid w:val="00E7125D"/>
    <w:rsid w:val="00E71723"/>
    <w:rsid w:val="00E71926"/>
    <w:rsid w:val="00E71AAB"/>
    <w:rsid w:val="00E71BB4"/>
    <w:rsid w:val="00E7221E"/>
    <w:rsid w:val="00E722BC"/>
    <w:rsid w:val="00E722C6"/>
    <w:rsid w:val="00E72A2C"/>
    <w:rsid w:val="00E72B09"/>
    <w:rsid w:val="00E72BC5"/>
    <w:rsid w:val="00E72DB8"/>
    <w:rsid w:val="00E72FB0"/>
    <w:rsid w:val="00E7309D"/>
    <w:rsid w:val="00E734CB"/>
    <w:rsid w:val="00E735F2"/>
    <w:rsid w:val="00E73615"/>
    <w:rsid w:val="00E73841"/>
    <w:rsid w:val="00E73976"/>
    <w:rsid w:val="00E742CD"/>
    <w:rsid w:val="00E74FB6"/>
    <w:rsid w:val="00E75356"/>
    <w:rsid w:val="00E7537E"/>
    <w:rsid w:val="00E754BB"/>
    <w:rsid w:val="00E75896"/>
    <w:rsid w:val="00E75DAE"/>
    <w:rsid w:val="00E75F59"/>
    <w:rsid w:val="00E760DB"/>
    <w:rsid w:val="00E76429"/>
    <w:rsid w:val="00E76510"/>
    <w:rsid w:val="00E766E3"/>
    <w:rsid w:val="00E76A87"/>
    <w:rsid w:val="00E76FCF"/>
    <w:rsid w:val="00E771F5"/>
    <w:rsid w:val="00E7793F"/>
    <w:rsid w:val="00E77E4B"/>
    <w:rsid w:val="00E80394"/>
    <w:rsid w:val="00E803FE"/>
    <w:rsid w:val="00E806C3"/>
    <w:rsid w:val="00E80C95"/>
    <w:rsid w:val="00E80CC0"/>
    <w:rsid w:val="00E81BB1"/>
    <w:rsid w:val="00E81C2E"/>
    <w:rsid w:val="00E81D02"/>
    <w:rsid w:val="00E82145"/>
    <w:rsid w:val="00E82444"/>
    <w:rsid w:val="00E8273A"/>
    <w:rsid w:val="00E82A0E"/>
    <w:rsid w:val="00E82DBE"/>
    <w:rsid w:val="00E82EBA"/>
    <w:rsid w:val="00E82FCA"/>
    <w:rsid w:val="00E83232"/>
    <w:rsid w:val="00E833EC"/>
    <w:rsid w:val="00E8356B"/>
    <w:rsid w:val="00E83CF9"/>
    <w:rsid w:val="00E8417B"/>
    <w:rsid w:val="00E846B8"/>
    <w:rsid w:val="00E84D1C"/>
    <w:rsid w:val="00E84F38"/>
    <w:rsid w:val="00E852DD"/>
    <w:rsid w:val="00E8549B"/>
    <w:rsid w:val="00E859AB"/>
    <w:rsid w:val="00E85D23"/>
    <w:rsid w:val="00E85E42"/>
    <w:rsid w:val="00E8606E"/>
    <w:rsid w:val="00E86381"/>
    <w:rsid w:val="00E863CE"/>
    <w:rsid w:val="00E86515"/>
    <w:rsid w:val="00E87855"/>
    <w:rsid w:val="00E878EC"/>
    <w:rsid w:val="00E87C3E"/>
    <w:rsid w:val="00E87C51"/>
    <w:rsid w:val="00E87D08"/>
    <w:rsid w:val="00E87F1E"/>
    <w:rsid w:val="00E90436"/>
    <w:rsid w:val="00E908CF"/>
    <w:rsid w:val="00E90A69"/>
    <w:rsid w:val="00E91231"/>
    <w:rsid w:val="00E9138E"/>
    <w:rsid w:val="00E9159C"/>
    <w:rsid w:val="00E91649"/>
    <w:rsid w:val="00E91C5B"/>
    <w:rsid w:val="00E92ADF"/>
    <w:rsid w:val="00E933AC"/>
    <w:rsid w:val="00E937E5"/>
    <w:rsid w:val="00E9497A"/>
    <w:rsid w:val="00E949D3"/>
    <w:rsid w:val="00E94B22"/>
    <w:rsid w:val="00E94D6A"/>
    <w:rsid w:val="00E94DF0"/>
    <w:rsid w:val="00E95199"/>
    <w:rsid w:val="00E953A5"/>
    <w:rsid w:val="00E95466"/>
    <w:rsid w:val="00E957A2"/>
    <w:rsid w:val="00E9584C"/>
    <w:rsid w:val="00E958F1"/>
    <w:rsid w:val="00E959E8"/>
    <w:rsid w:val="00E96455"/>
    <w:rsid w:val="00E965BC"/>
    <w:rsid w:val="00E965ED"/>
    <w:rsid w:val="00E96634"/>
    <w:rsid w:val="00E96855"/>
    <w:rsid w:val="00E975A4"/>
    <w:rsid w:val="00EA0CC4"/>
    <w:rsid w:val="00EA13BF"/>
    <w:rsid w:val="00EA13FD"/>
    <w:rsid w:val="00EA1656"/>
    <w:rsid w:val="00EA1BBB"/>
    <w:rsid w:val="00EA2380"/>
    <w:rsid w:val="00EA295F"/>
    <w:rsid w:val="00EA2C30"/>
    <w:rsid w:val="00EA2CB7"/>
    <w:rsid w:val="00EA2DD9"/>
    <w:rsid w:val="00EA3435"/>
    <w:rsid w:val="00EA43FC"/>
    <w:rsid w:val="00EA4E49"/>
    <w:rsid w:val="00EA51C2"/>
    <w:rsid w:val="00EA5582"/>
    <w:rsid w:val="00EA5A2A"/>
    <w:rsid w:val="00EA60EC"/>
    <w:rsid w:val="00EA6374"/>
    <w:rsid w:val="00EA669D"/>
    <w:rsid w:val="00EA6C55"/>
    <w:rsid w:val="00EA7446"/>
    <w:rsid w:val="00EB0679"/>
    <w:rsid w:val="00EB06B1"/>
    <w:rsid w:val="00EB06DD"/>
    <w:rsid w:val="00EB0959"/>
    <w:rsid w:val="00EB0B01"/>
    <w:rsid w:val="00EB0CE3"/>
    <w:rsid w:val="00EB15BE"/>
    <w:rsid w:val="00EB15E4"/>
    <w:rsid w:val="00EB1947"/>
    <w:rsid w:val="00EB1964"/>
    <w:rsid w:val="00EB1DD4"/>
    <w:rsid w:val="00EB2719"/>
    <w:rsid w:val="00EB2801"/>
    <w:rsid w:val="00EB312F"/>
    <w:rsid w:val="00EB33B1"/>
    <w:rsid w:val="00EB35D8"/>
    <w:rsid w:val="00EB367F"/>
    <w:rsid w:val="00EB3716"/>
    <w:rsid w:val="00EB378C"/>
    <w:rsid w:val="00EB3B93"/>
    <w:rsid w:val="00EB3C93"/>
    <w:rsid w:val="00EB3E6F"/>
    <w:rsid w:val="00EB3EF4"/>
    <w:rsid w:val="00EB4056"/>
    <w:rsid w:val="00EB43BA"/>
    <w:rsid w:val="00EB4894"/>
    <w:rsid w:val="00EB4FF7"/>
    <w:rsid w:val="00EB503F"/>
    <w:rsid w:val="00EB50FD"/>
    <w:rsid w:val="00EB575F"/>
    <w:rsid w:val="00EB59A8"/>
    <w:rsid w:val="00EB5AA6"/>
    <w:rsid w:val="00EB693F"/>
    <w:rsid w:val="00EB695C"/>
    <w:rsid w:val="00EB6C89"/>
    <w:rsid w:val="00EB6FA6"/>
    <w:rsid w:val="00EB7233"/>
    <w:rsid w:val="00EB7250"/>
    <w:rsid w:val="00EB7436"/>
    <w:rsid w:val="00EB7D3A"/>
    <w:rsid w:val="00EC005A"/>
    <w:rsid w:val="00EC0167"/>
    <w:rsid w:val="00EC0666"/>
    <w:rsid w:val="00EC0B95"/>
    <w:rsid w:val="00EC0CF2"/>
    <w:rsid w:val="00EC12D6"/>
    <w:rsid w:val="00EC20C9"/>
    <w:rsid w:val="00EC2166"/>
    <w:rsid w:val="00EC269F"/>
    <w:rsid w:val="00EC272E"/>
    <w:rsid w:val="00EC273E"/>
    <w:rsid w:val="00EC4566"/>
    <w:rsid w:val="00EC475D"/>
    <w:rsid w:val="00EC4876"/>
    <w:rsid w:val="00EC4ED4"/>
    <w:rsid w:val="00EC5042"/>
    <w:rsid w:val="00EC50B7"/>
    <w:rsid w:val="00EC5607"/>
    <w:rsid w:val="00EC5899"/>
    <w:rsid w:val="00EC59A2"/>
    <w:rsid w:val="00EC60A2"/>
    <w:rsid w:val="00EC633F"/>
    <w:rsid w:val="00EC6D09"/>
    <w:rsid w:val="00EC70D3"/>
    <w:rsid w:val="00EC739D"/>
    <w:rsid w:val="00EC79AA"/>
    <w:rsid w:val="00EC7DD8"/>
    <w:rsid w:val="00EC7F35"/>
    <w:rsid w:val="00EC7FA3"/>
    <w:rsid w:val="00ED017D"/>
    <w:rsid w:val="00ED02AB"/>
    <w:rsid w:val="00ED02E6"/>
    <w:rsid w:val="00ED0328"/>
    <w:rsid w:val="00ED04FB"/>
    <w:rsid w:val="00ED0516"/>
    <w:rsid w:val="00ED0619"/>
    <w:rsid w:val="00ED163A"/>
    <w:rsid w:val="00ED17E7"/>
    <w:rsid w:val="00ED1893"/>
    <w:rsid w:val="00ED1D71"/>
    <w:rsid w:val="00ED2544"/>
    <w:rsid w:val="00ED2B7E"/>
    <w:rsid w:val="00ED36E6"/>
    <w:rsid w:val="00ED3705"/>
    <w:rsid w:val="00ED3B86"/>
    <w:rsid w:val="00ED417C"/>
    <w:rsid w:val="00ED4351"/>
    <w:rsid w:val="00ED47D4"/>
    <w:rsid w:val="00ED4955"/>
    <w:rsid w:val="00ED4971"/>
    <w:rsid w:val="00ED4AD7"/>
    <w:rsid w:val="00ED4C35"/>
    <w:rsid w:val="00ED5075"/>
    <w:rsid w:val="00ED5115"/>
    <w:rsid w:val="00ED5560"/>
    <w:rsid w:val="00ED56CC"/>
    <w:rsid w:val="00ED585E"/>
    <w:rsid w:val="00ED5CEF"/>
    <w:rsid w:val="00ED5E76"/>
    <w:rsid w:val="00ED5E81"/>
    <w:rsid w:val="00ED6083"/>
    <w:rsid w:val="00ED613D"/>
    <w:rsid w:val="00ED6956"/>
    <w:rsid w:val="00ED6C45"/>
    <w:rsid w:val="00ED6EE6"/>
    <w:rsid w:val="00ED7245"/>
    <w:rsid w:val="00ED726E"/>
    <w:rsid w:val="00ED77DC"/>
    <w:rsid w:val="00ED7BB2"/>
    <w:rsid w:val="00ED7E8C"/>
    <w:rsid w:val="00EE0871"/>
    <w:rsid w:val="00EE0D6E"/>
    <w:rsid w:val="00EE0E5A"/>
    <w:rsid w:val="00EE1058"/>
    <w:rsid w:val="00EE1251"/>
    <w:rsid w:val="00EE130E"/>
    <w:rsid w:val="00EE148B"/>
    <w:rsid w:val="00EE16D8"/>
    <w:rsid w:val="00EE17BB"/>
    <w:rsid w:val="00EE19E7"/>
    <w:rsid w:val="00EE1B54"/>
    <w:rsid w:val="00EE1E16"/>
    <w:rsid w:val="00EE2153"/>
    <w:rsid w:val="00EE23B4"/>
    <w:rsid w:val="00EE2930"/>
    <w:rsid w:val="00EE3150"/>
    <w:rsid w:val="00EE3248"/>
    <w:rsid w:val="00EE3FDA"/>
    <w:rsid w:val="00EE4165"/>
    <w:rsid w:val="00EE44B0"/>
    <w:rsid w:val="00EE4BF8"/>
    <w:rsid w:val="00EE4D62"/>
    <w:rsid w:val="00EE5081"/>
    <w:rsid w:val="00EE5325"/>
    <w:rsid w:val="00EE539B"/>
    <w:rsid w:val="00EE5582"/>
    <w:rsid w:val="00EE564E"/>
    <w:rsid w:val="00EE5771"/>
    <w:rsid w:val="00EE5A01"/>
    <w:rsid w:val="00EE5C21"/>
    <w:rsid w:val="00EE602C"/>
    <w:rsid w:val="00EE60A5"/>
    <w:rsid w:val="00EE62E3"/>
    <w:rsid w:val="00EE6483"/>
    <w:rsid w:val="00EE687D"/>
    <w:rsid w:val="00EE6A95"/>
    <w:rsid w:val="00EE6C36"/>
    <w:rsid w:val="00EE6C44"/>
    <w:rsid w:val="00EE7646"/>
    <w:rsid w:val="00EE7AC0"/>
    <w:rsid w:val="00EE7DF4"/>
    <w:rsid w:val="00EF0218"/>
    <w:rsid w:val="00EF03DA"/>
    <w:rsid w:val="00EF0C96"/>
    <w:rsid w:val="00EF0D7F"/>
    <w:rsid w:val="00EF1AEC"/>
    <w:rsid w:val="00EF1B43"/>
    <w:rsid w:val="00EF1BB0"/>
    <w:rsid w:val="00EF1C74"/>
    <w:rsid w:val="00EF29F1"/>
    <w:rsid w:val="00EF2A1B"/>
    <w:rsid w:val="00EF2B0C"/>
    <w:rsid w:val="00EF2D67"/>
    <w:rsid w:val="00EF307C"/>
    <w:rsid w:val="00EF312E"/>
    <w:rsid w:val="00EF33CE"/>
    <w:rsid w:val="00EF3511"/>
    <w:rsid w:val="00EF35D4"/>
    <w:rsid w:val="00EF36DF"/>
    <w:rsid w:val="00EF38BF"/>
    <w:rsid w:val="00EF39A3"/>
    <w:rsid w:val="00EF3F7B"/>
    <w:rsid w:val="00EF4515"/>
    <w:rsid w:val="00EF4594"/>
    <w:rsid w:val="00EF4690"/>
    <w:rsid w:val="00EF476C"/>
    <w:rsid w:val="00EF4921"/>
    <w:rsid w:val="00EF4A7B"/>
    <w:rsid w:val="00EF4B8D"/>
    <w:rsid w:val="00EF4D37"/>
    <w:rsid w:val="00EF5501"/>
    <w:rsid w:val="00EF56FD"/>
    <w:rsid w:val="00EF5AEE"/>
    <w:rsid w:val="00EF5C07"/>
    <w:rsid w:val="00EF5EC7"/>
    <w:rsid w:val="00EF61DB"/>
    <w:rsid w:val="00EF695C"/>
    <w:rsid w:val="00EF6D9D"/>
    <w:rsid w:val="00EF732C"/>
    <w:rsid w:val="00EF7677"/>
    <w:rsid w:val="00EF7DCB"/>
    <w:rsid w:val="00EF7F83"/>
    <w:rsid w:val="00F0014F"/>
    <w:rsid w:val="00F0016F"/>
    <w:rsid w:val="00F006A7"/>
    <w:rsid w:val="00F006E4"/>
    <w:rsid w:val="00F00776"/>
    <w:rsid w:val="00F00B43"/>
    <w:rsid w:val="00F00C1D"/>
    <w:rsid w:val="00F00D0D"/>
    <w:rsid w:val="00F00EC4"/>
    <w:rsid w:val="00F00F38"/>
    <w:rsid w:val="00F00FBC"/>
    <w:rsid w:val="00F0132F"/>
    <w:rsid w:val="00F01512"/>
    <w:rsid w:val="00F01771"/>
    <w:rsid w:val="00F01A6C"/>
    <w:rsid w:val="00F01CD3"/>
    <w:rsid w:val="00F01EB6"/>
    <w:rsid w:val="00F0232F"/>
    <w:rsid w:val="00F023C6"/>
    <w:rsid w:val="00F02F7E"/>
    <w:rsid w:val="00F0318D"/>
    <w:rsid w:val="00F0321E"/>
    <w:rsid w:val="00F0361C"/>
    <w:rsid w:val="00F03A7B"/>
    <w:rsid w:val="00F03B86"/>
    <w:rsid w:val="00F03C1E"/>
    <w:rsid w:val="00F03D9C"/>
    <w:rsid w:val="00F03DD6"/>
    <w:rsid w:val="00F04214"/>
    <w:rsid w:val="00F043EF"/>
    <w:rsid w:val="00F05678"/>
    <w:rsid w:val="00F0567D"/>
    <w:rsid w:val="00F05BD3"/>
    <w:rsid w:val="00F06022"/>
    <w:rsid w:val="00F06190"/>
    <w:rsid w:val="00F062D7"/>
    <w:rsid w:val="00F06745"/>
    <w:rsid w:val="00F06B3F"/>
    <w:rsid w:val="00F06C4F"/>
    <w:rsid w:val="00F0719A"/>
    <w:rsid w:val="00F072AE"/>
    <w:rsid w:val="00F0730A"/>
    <w:rsid w:val="00F073EA"/>
    <w:rsid w:val="00F07896"/>
    <w:rsid w:val="00F07AC6"/>
    <w:rsid w:val="00F07BA8"/>
    <w:rsid w:val="00F101AC"/>
    <w:rsid w:val="00F1081A"/>
    <w:rsid w:val="00F10C55"/>
    <w:rsid w:val="00F110FA"/>
    <w:rsid w:val="00F11303"/>
    <w:rsid w:val="00F115EC"/>
    <w:rsid w:val="00F12044"/>
    <w:rsid w:val="00F12691"/>
    <w:rsid w:val="00F129B8"/>
    <w:rsid w:val="00F13248"/>
    <w:rsid w:val="00F132A4"/>
    <w:rsid w:val="00F1347B"/>
    <w:rsid w:val="00F13564"/>
    <w:rsid w:val="00F136DD"/>
    <w:rsid w:val="00F13A19"/>
    <w:rsid w:val="00F13BB3"/>
    <w:rsid w:val="00F13D7E"/>
    <w:rsid w:val="00F14047"/>
    <w:rsid w:val="00F1490E"/>
    <w:rsid w:val="00F14AC9"/>
    <w:rsid w:val="00F152D6"/>
    <w:rsid w:val="00F1588B"/>
    <w:rsid w:val="00F159B9"/>
    <w:rsid w:val="00F15C7B"/>
    <w:rsid w:val="00F15EA4"/>
    <w:rsid w:val="00F1620C"/>
    <w:rsid w:val="00F17111"/>
    <w:rsid w:val="00F1754F"/>
    <w:rsid w:val="00F1755C"/>
    <w:rsid w:val="00F175FD"/>
    <w:rsid w:val="00F17781"/>
    <w:rsid w:val="00F178BE"/>
    <w:rsid w:val="00F17E1D"/>
    <w:rsid w:val="00F17FF9"/>
    <w:rsid w:val="00F20462"/>
    <w:rsid w:val="00F2065D"/>
    <w:rsid w:val="00F21B8C"/>
    <w:rsid w:val="00F21C72"/>
    <w:rsid w:val="00F21D0B"/>
    <w:rsid w:val="00F2210D"/>
    <w:rsid w:val="00F2216F"/>
    <w:rsid w:val="00F22578"/>
    <w:rsid w:val="00F23134"/>
    <w:rsid w:val="00F238D2"/>
    <w:rsid w:val="00F23AAB"/>
    <w:rsid w:val="00F2405E"/>
    <w:rsid w:val="00F2411C"/>
    <w:rsid w:val="00F24281"/>
    <w:rsid w:val="00F2450A"/>
    <w:rsid w:val="00F2465C"/>
    <w:rsid w:val="00F249D2"/>
    <w:rsid w:val="00F24C32"/>
    <w:rsid w:val="00F25109"/>
    <w:rsid w:val="00F25560"/>
    <w:rsid w:val="00F2581F"/>
    <w:rsid w:val="00F263D9"/>
    <w:rsid w:val="00F26475"/>
    <w:rsid w:val="00F26721"/>
    <w:rsid w:val="00F26865"/>
    <w:rsid w:val="00F26967"/>
    <w:rsid w:val="00F26D11"/>
    <w:rsid w:val="00F27156"/>
    <w:rsid w:val="00F2758F"/>
    <w:rsid w:val="00F279AB"/>
    <w:rsid w:val="00F279B8"/>
    <w:rsid w:val="00F27B13"/>
    <w:rsid w:val="00F3033A"/>
    <w:rsid w:val="00F3074E"/>
    <w:rsid w:val="00F30936"/>
    <w:rsid w:val="00F3115F"/>
    <w:rsid w:val="00F311BF"/>
    <w:rsid w:val="00F3175A"/>
    <w:rsid w:val="00F31CCE"/>
    <w:rsid w:val="00F31CD9"/>
    <w:rsid w:val="00F32149"/>
    <w:rsid w:val="00F3231E"/>
    <w:rsid w:val="00F32D6D"/>
    <w:rsid w:val="00F33681"/>
    <w:rsid w:val="00F3370B"/>
    <w:rsid w:val="00F33BD9"/>
    <w:rsid w:val="00F33D24"/>
    <w:rsid w:val="00F34707"/>
    <w:rsid w:val="00F34A91"/>
    <w:rsid w:val="00F34DCE"/>
    <w:rsid w:val="00F34F03"/>
    <w:rsid w:val="00F35039"/>
    <w:rsid w:val="00F35101"/>
    <w:rsid w:val="00F351DC"/>
    <w:rsid w:val="00F35BFD"/>
    <w:rsid w:val="00F35EBE"/>
    <w:rsid w:val="00F364A6"/>
    <w:rsid w:val="00F36EE2"/>
    <w:rsid w:val="00F3726A"/>
    <w:rsid w:val="00F37993"/>
    <w:rsid w:val="00F37DFB"/>
    <w:rsid w:val="00F404A2"/>
    <w:rsid w:val="00F40E43"/>
    <w:rsid w:val="00F40F05"/>
    <w:rsid w:val="00F41BA7"/>
    <w:rsid w:val="00F42613"/>
    <w:rsid w:val="00F427EB"/>
    <w:rsid w:val="00F42A7B"/>
    <w:rsid w:val="00F42B39"/>
    <w:rsid w:val="00F42C9B"/>
    <w:rsid w:val="00F43160"/>
    <w:rsid w:val="00F4323A"/>
    <w:rsid w:val="00F43817"/>
    <w:rsid w:val="00F43A48"/>
    <w:rsid w:val="00F43A75"/>
    <w:rsid w:val="00F43C2F"/>
    <w:rsid w:val="00F443C7"/>
    <w:rsid w:val="00F4444E"/>
    <w:rsid w:val="00F44657"/>
    <w:rsid w:val="00F44B7B"/>
    <w:rsid w:val="00F455F3"/>
    <w:rsid w:val="00F45CE7"/>
    <w:rsid w:val="00F45E2C"/>
    <w:rsid w:val="00F465B1"/>
    <w:rsid w:val="00F46756"/>
    <w:rsid w:val="00F46788"/>
    <w:rsid w:val="00F46A12"/>
    <w:rsid w:val="00F46A5E"/>
    <w:rsid w:val="00F46E18"/>
    <w:rsid w:val="00F47145"/>
    <w:rsid w:val="00F474C4"/>
    <w:rsid w:val="00F4755B"/>
    <w:rsid w:val="00F47572"/>
    <w:rsid w:val="00F477DE"/>
    <w:rsid w:val="00F47A07"/>
    <w:rsid w:val="00F47E33"/>
    <w:rsid w:val="00F502B4"/>
    <w:rsid w:val="00F50475"/>
    <w:rsid w:val="00F50A4F"/>
    <w:rsid w:val="00F51096"/>
    <w:rsid w:val="00F51413"/>
    <w:rsid w:val="00F515C9"/>
    <w:rsid w:val="00F51781"/>
    <w:rsid w:val="00F517B7"/>
    <w:rsid w:val="00F517FC"/>
    <w:rsid w:val="00F51994"/>
    <w:rsid w:val="00F51EE6"/>
    <w:rsid w:val="00F5247C"/>
    <w:rsid w:val="00F525CC"/>
    <w:rsid w:val="00F52858"/>
    <w:rsid w:val="00F52EC4"/>
    <w:rsid w:val="00F5331A"/>
    <w:rsid w:val="00F5354A"/>
    <w:rsid w:val="00F53720"/>
    <w:rsid w:val="00F53740"/>
    <w:rsid w:val="00F53817"/>
    <w:rsid w:val="00F538D8"/>
    <w:rsid w:val="00F53E5F"/>
    <w:rsid w:val="00F5406D"/>
    <w:rsid w:val="00F540C7"/>
    <w:rsid w:val="00F54129"/>
    <w:rsid w:val="00F5419A"/>
    <w:rsid w:val="00F545C7"/>
    <w:rsid w:val="00F545E0"/>
    <w:rsid w:val="00F545EE"/>
    <w:rsid w:val="00F546FD"/>
    <w:rsid w:val="00F54E1E"/>
    <w:rsid w:val="00F5501A"/>
    <w:rsid w:val="00F55251"/>
    <w:rsid w:val="00F553C5"/>
    <w:rsid w:val="00F5549C"/>
    <w:rsid w:val="00F55B06"/>
    <w:rsid w:val="00F55CAB"/>
    <w:rsid w:val="00F55DA0"/>
    <w:rsid w:val="00F55DF1"/>
    <w:rsid w:val="00F55FFC"/>
    <w:rsid w:val="00F56007"/>
    <w:rsid w:val="00F564B1"/>
    <w:rsid w:val="00F56502"/>
    <w:rsid w:val="00F566AB"/>
    <w:rsid w:val="00F568AA"/>
    <w:rsid w:val="00F574D8"/>
    <w:rsid w:val="00F575E8"/>
    <w:rsid w:val="00F57956"/>
    <w:rsid w:val="00F57CEB"/>
    <w:rsid w:val="00F57E29"/>
    <w:rsid w:val="00F60330"/>
    <w:rsid w:val="00F6039C"/>
    <w:rsid w:val="00F609A0"/>
    <w:rsid w:val="00F60E04"/>
    <w:rsid w:val="00F61870"/>
    <w:rsid w:val="00F61893"/>
    <w:rsid w:val="00F61E8B"/>
    <w:rsid w:val="00F6288D"/>
    <w:rsid w:val="00F62E6F"/>
    <w:rsid w:val="00F630AF"/>
    <w:rsid w:val="00F631E7"/>
    <w:rsid w:val="00F632B5"/>
    <w:rsid w:val="00F633CD"/>
    <w:rsid w:val="00F63680"/>
    <w:rsid w:val="00F63A3C"/>
    <w:rsid w:val="00F63D77"/>
    <w:rsid w:val="00F63F6B"/>
    <w:rsid w:val="00F63FDF"/>
    <w:rsid w:val="00F64096"/>
    <w:rsid w:val="00F64964"/>
    <w:rsid w:val="00F64AEE"/>
    <w:rsid w:val="00F64D2F"/>
    <w:rsid w:val="00F6509A"/>
    <w:rsid w:val="00F6608E"/>
    <w:rsid w:val="00F6620B"/>
    <w:rsid w:val="00F6625F"/>
    <w:rsid w:val="00F66631"/>
    <w:rsid w:val="00F66722"/>
    <w:rsid w:val="00F66B82"/>
    <w:rsid w:val="00F66C8A"/>
    <w:rsid w:val="00F676F9"/>
    <w:rsid w:val="00F6775D"/>
    <w:rsid w:val="00F677EA"/>
    <w:rsid w:val="00F679DE"/>
    <w:rsid w:val="00F67D52"/>
    <w:rsid w:val="00F67DD2"/>
    <w:rsid w:val="00F70308"/>
    <w:rsid w:val="00F703BD"/>
    <w:rsid w:val="00F705EC"/>
    <w:rsid w:val="00F70602"/>
    <w:rsid w:val="00F70669"/>
    <w:rsid w:val="00F70F5B"/>
    <w:rsid w:val="00F7165F"/>
    <w:rsid w:val="00F71A12"/>
    <w:rsid w:val="00F71B1C"/>
    <w:rsid w:val="00F71B30"/>
    <w:rsid w:val="00F721F0"/>
    <w:rsid w:val="00F72482"/>
    <w:rsid w:val="00F72977"/>
    <w:rsid w:val="00F73476"/>
    <w:rsid w:val="00F7348B"/>
    <w:rsid w:val="00F73993"/>
    <w:rsid w:val="00F73E97"/>
    <w:rsid w:val="00F73FA8"/>
    <w:rsid w:val="00F740C0"/>
    <w:rsid w:val="00F74539"/>
    <w:rsid w:val="00F74863"/>
    <w:rsid w:val="00F748AA"/>
    <w:rsid w:val="00F74E51"/>
    <w:rsid w:val="00F74F33"/>
    <w:rsid w:val="00F76162"/>
    <w:rsid w:val="00F761D4"/>
    <w:rsid w:val="00F764D0"/>
    <w:rsid w:val="00F764E9"/>
    <w:rsid w:val="00F76590"/>
    <w:rsid w:val="00F7665B"/>
    <w:rsid w:val="00F7688B"/>
    <w:rsid w:val="00F76C10"/>
    <w:rsid w:val="00F77977"/>
    <w:rsid w:val="00F77A4A"/>
    <w:rsid w:val="00F77A59"/>
    <w:rsid w:val="00F77DB5"/>
    <w:rsid w:val="00F80764"/>
    <w:rsid w:val="00F807EB"/>
    <w:rsid w:val="00F808CE"/>
    <w:rsid w:val="00F80A72"/>
    <w:rsid w:val="00F810C3"/>
    <w:rsid w:val="00F81370"/>
    <w:rsid w:val="00F816C4"/>
    <w:rsid w:val="00F81A28"/>
    <w:rsid w:val="00F81E5A"/>
    <w:rsid w:val="00F81E5D"/>
    <w:rsid w:val="00F81FDD"/>
    <w:rsid w:val="00F821E8"/>
    <w:rsid w:val="00F82A66"/>
    <w:rsid w:val="00F82DD4"/>
    <w:rsid w:val="00F838D2"/>
    <w:rsid w:val="00F83BCA"/>
    <w:rsid w:val="00F83BCC"/>
    <w:rsid w:val="00F84160"/>
    <w:rsid w:val="00F84438"/>
    <w:rsid w:val="00F844F2"/>
    <w:rsid w:val="00F84799"/>
    <w:rsid w:val="00F84C50"/>
    <w:rsid w:val="00F85925"/>
    <w:rsid w:val="00F85B3C"/>
    <w:rsid w:val="00F85F3E"/>
    <w:rsid w:val="00F865DF"/>
    <w:rsid w:val="00F86F69"/>
    <w:rsid w:val="00F871F7"/>
    <w:rsid w:val="00F8758B"/>
    <w:rsid w:val="00F87700"/>
    <w:rsid w:val="00F87947"/>
    <w:rsid w:val="00F87F06"/>
    <w:rsid w:val="00F900C1"/>
    <w:rsid w:val="00F9096C"/>
    <w:rsid w:val="00F90AC7"/>
    <w:rsid w:val="00F90CEE"/>
    <w:rsid w:val="00F9153D"/>
    <w:rsid w:val="00F91856"/>
    <w:rsid w:val="00F91ADB"/>
    <w:rsid w:val="00F92078"/>
    <w:rsid w:val="00F9219F"/>
    <w:rsid w:val="00F924AD"/>
    <w:rsid w:val="00F92F39"/>
    <w:rsid w:val="00F93032"/>
    <w:rsid w:val="00F930BC"/>
    <w:rsid w:val="00F934ED"/>
    <w:rsid w:val="00F93A88"/>
    <w:rsid w:val="00F93D58"/>
    <w:rsid w:val="00F942DB"/>
    <w:rsid w:val="00F94560"/>
    <w:rsid w:val="00F946C9"/>
    <w:rsid w:val="00F94C1F"/>
    <w:rsid w:val="00F94FCA"/>
    <w:rsid w:val="00F9509C"/>
    <w:rsid w:val="00F95449"/>
    <w:rsid w:val="00F9562F"/>
    <w:rsid w:val="00F956D6"/>
    <w:rsid w:val="00F956F9"/>
    <w:rsid w:val="00F957B7"/>
    <w:rsid w:val="00F95A96"/>
    <w:rsid w:val="00F95B1C"/>
    <w:rsid w:val="00F960CD"/>
    <w:rsid w:val="00F96281"/>
    <w:rsid w:val="00F9680A"/>
    <w:rsid w:val="00F96869"/>
    <w:rsid w:val="00F9686B"/>
    <w:rsid w:val="00F96A38"/>
    <w:rsid w:val="00F96B17"/>
    <w:rsid w:val="00F96CBA"/>
    <w:rsid w:val="00F96E18"/>
    <w:rsid w:val="00F9701E"/>
    <w:rsid w:val="00F9751F"/>
    <w:rsid w:val="00F97943"/>
    <w:rsid w:val="00F97E6C"/>
    <w:rsid w:val="00FA0351"/>
    <w:rsid w:val="00FA0F6F"/>
    <w:rsid w:val="00FA1134"/>
    <w:rsid w:val="00FA16B9"/>
    <w:rsid w:val="00FA1726"/>
    <w:rsid w:val="00FA1980"/>
    <w:rsid w:val="00FA1D87"/>
    <w:rsid w:val="00FA284D"/>
    <w:rsid w:val="00FA296B"/>
    <w:rsid w:val="00FA2FFA"/>
    <w:rsid w:val="00FA3470"/>
    <w:rsid w:val="00FA3B3A"/>
    <w:rsid w:val="00FA42D5"/>
    <w:rsid w:val="00FA45E6"/>
    <w:rsid w:val="00FA4688"/>
    <w:rsid w:val="00FA48B7"/>
    <w:rsid w:val="00FA5060"/>
    <w:rsid w:val="00FA50F9"/>
    <w:rsid w:val="00FA5574"/>
    <w:rsid w:val="00FA5580"/>
    <w:rsid w:val="00FA558C"/>
    <w:rsid w:val="00FA5B47"/>
    <w:rsid w:val="00FA5C3E"/>
    <w:rsid w:val="00FA6138"/>
    <w:rsid w:val="00FA6577"/>
    <w:rsid w:val="00FA6649"/>
    <w:rsid w:val="00FA66B1"/>
    <w:rsid w:val="00FA6982"/>
    <w:rsid w:val="00FA6FDB"/>
    <w:rsid w:val="00FA7140"/>
    <w:rsid w:val="00FA7211"/>
    <w:rsid w:val="00FA72E3"/>
    <w:rsid w:val="00FA7CC5"/>
    <w:rsid w:val="00FA7D6D"/>
    <w:rsid w:val="00FA7E55"/>
    <w:rsid w:val="00FA7F80"/>
    <w:rsid w:val="00FB01A0"/>
    <w:rsid w:val="00FB08FC"/>
    <w:rsid w:val="00FB0D95"/>
    <w:rsid w:val="00FB1ABD"/>
    <w:rsid w:val="00FB23A3"/>
    <w:rsid w:val="00FB26F2"/>
    <w:rsid w:val="00FB270D"/>
    <w:rsid w:val="00FB2909"/>
    <w:rsid w:val="00FB2C62"/>
    <w:rsid w:val="00FB2F0D"/>
    <w:rsid w:val="00FB32B9"/>
    <w:rsid w:val="00FB34E1"/>
    <w:rsid w:val="00FB38F2"/>
    <w:rsid w:val="00FB3B9A"/>
    <w:rsid w:val="00FB435C"/>
    <w:rsid w:val="00FB45F6"/>
    <w:rsid w:val="00FB4B19"/>
    <w:rsid w:val="00FB4CDD"/>
    <w:rsid w:val="00FB5287"/>
    <w:rsid w:val="00FB5789"/>
    <w:rsid w:val="00FB5B35"/>
    <w:rsid w:val="00FB5C76"/>
    <w:rsid w:val="00FB62AA"/>
    <w:rsid w:val="00FB6858"/>
    <w:rsid w:val="00FB6928"/>
    <w:rsid w:val="00FB6AB1"/>
    <w:rsid w:val="00FB6EB9"/>
    <w:rsid w:val="00FB6ECD"/>
    <w:rsid w:val="00FB6F2E"/>
    <w:rsid w:val="00FB6F82"/>
    <w:rsid w:val="00FB7190"/>
    <w:rsid w:val="00FB731C"/>
    <w:rsid w:val="00FB76C8"/>
    <w:rsid w:val="00FB76E5"/>
    <w:rsid w:val="00FB7A17"/>
    <w:rsid w:val="00FC030F"/>
    <w:rsid w:val="00FC092D"/>
    <w:rsid w:val="00FC0D64"/>
    <w:rsid w:val="00FC137A"/>
    <w:rsid w:val="00FC13D0"/>
    <w:rsid w:val="00FC158F"/>
    <w:rsid w:val="00FC1D68"/>
    <w:rsid w:val="00FC1E65"/>
    <w:rsid w:val="00FC2119"/>
    <w:rsid w:val="00FC37C5"/>
    <w:rsid w:val="00FC3893"/>
    <w:rsid w:val="00FC3BC2"/>
    <w:rsid w:val="00FC3D1F"/>
    <w:rsid w:val="00FC426A"/>
    <w:rsid w:val="00FC4326"/>
    <w:rsid w:val="00FC4B88"/>
    <w:rsid w:val="00FC4C25"/>
    <w:rsid w:val="00FC4F30"/>
    <w:rsid w:val="00FC5426"/>
    <w:rsid w:val="00FC5807"/>
    <w:rsid w:val="00FC5AD5"/>
    <w:rsid w:val="00FC5BF2"/>
    <w:rsid w:val="00FC5D55"/>
    <w:rsid w:val="00FC5E15"/>
    <w:rsid w:val="00FC5F7A"/>
    <w:rsid w:val="00FC6103"/>
    <w:rsid w:val="00FC6371"/>
    <w:rsid w:val="00FC657E"/>
    <w:rsid w:val="00FC6872"/>
    <w:rsid w:val="00FC6B31"/>
    <w:rsid w:val="00FC6C2F"/>
    <w:rsid w:val="00FC6C40"/>
    <w:rsid w:val="00FC6D65"/>
    <w:rsid w:val="00FC736F"/>
    <w:rsid w:val="00FC7D05"/>
    <w:rsid w:val="00FC7E74"/>
    <w:rsid w:val="00FD020F"/>
    <w:rsid w:val="00FD0366"/>
    <w:rsid w:val="00FD04E9"/>
    <w:rsid w:val="00FD09EE"/>
    <w:rsid w:val="00FD0BD2"/>
    <w:rsid w:val="00FD0E8A"/>
    <w:rsid w:val="00FD1304"/>
    <w:rsid w:val="00FD13FA"/>
    <w:rsid w:val="00FD1421"/>
    <w:rsid w:val="00FD19EA"/>
    <w:rsid w:val="00FD1FF2"/>
    <w:rsid w:val="00FD24E5"/>
    <w:rsid w:val="00FD2986"/>
    <w:rsid w:val="00FD31E6"/>
    <w:rsid w:val="00FD3590"/>
    <w:rsid w:val="00FD41D8"/>
    <w:rsid w:val="00FD437B"/>
    <w:rsid w:val="00FD446E"/>
    <w:rsid w:val="00FD4626"/>
    <w:rsid w:val="00FD4881"/>
    <w:rsid w:val="00FD5525"/>
    <w:rsid w:val="00FD5553"/>
    <w:rsid w:val="00FD56F5"/>
    <w:rsid w:val="00FD58D9"/>
    <w:rsid w:val="00FD5B0B"/>
    <w:rsid w:val="00FD5C08"/>
    <w:rsid w:val="00FD5CF6"/>
    <w:rsid w:val="00FD60F3"/>
    <w:rsid w:val="00FD6209"/>
    <w:rsid w:val="00FD6996"/>
    <w:rsid w:val="00FD7798"/>
    <w:rsid w:val="00FD7917"/>
    <w:rsid w:val="00FD7B33"/>
    <w:rsid w:val="00FD7CC4"/>
    <w:rsid w:val="00FD7EC9"/>
    <w:rsid w:val="00FE036D"/>
    <w:rsid w:val="00FE0B2E"/>
    <w:rsid w:val="00FE14EC"/>
    <w:rsid w:val="00FE1887"/>
    <w:rsid w:val="00FE1ECC"/>
    <w:rsid w:val="00FE2122"/>
    <w:rsid w:val="00FE23B6"/>
    <w:rsid w:val="00FE29AA"/>
    <w:rsid w:val="00FE2D10"/>
    <w:rsid w:val="00FE3067"/>
    <w:rsid w:val="00FE3957"/>
    <w:rsid w:val="00FE3A5A"/>
    <w:rsid w:val="00FE3EC2"/>
    <w:rsid w:val="00FE3F6B"/>
    <w:rsid w:val="00FE4003"/>
    <w:rsid w:val="00FE4E99"/>
    <w:rsid w:val="00FE519B"/>
    <w:rsid w:val="00FE53A1"/>
    <w:rsid w:val="00FE5673"/>
    <w:rsid w:val="00FE5866"/>
    <w:rsid w:val="00FE60CA"/>
    <w:rsid w:val="00FE60D6"/>
    <w:rsid w:val="00FE692B"/>
    <w:rsid w:val="00FE6AC5"/>
    <w:rsid w:val="00FE6D55"/>
    <w:rsid w:val="00FE6E8C"/>
    <w:rsid w:val="00FE6EA1"/>
    <w:rsid w:val="00FE6F14"/>
    <w:rsid w:val="00FE7437"/>
    <w:rsid w:val="00FE799B"/>
    <w:rsid w:val="00FE79A9"/>
    <w:rsid w:val="00FE7EBD"/>
    <w:rsid w:val="00FF09D0"/>
    <w:rsid w:val="00FF0A58"/>
    <w:rsid w:val="00FF0A75"/>
    <w:rsid w:val="00FF0FBF"/>
    <w:rsid w:val="00FF1241"/>
    <w:rsid w:val="00FF14E7"/>
    <w:rsid w:val="00FF1892"/>
    <w:rsid w:val="00FF1915"/>
    <w:rsid w:val="00FF198C"/>
    <w:rsid w:val="00FF1A9B"/>
    <w:rsid w:val="00FF2C6E"/>
    <w:rsid w:val="00FF2E3D"/>
    <w:rsid w:val="00FF32FB"/>
    <w:rsid w:val="00FF3986"/>
    <w:rsid w:val="00FF3A27"/>
    <w:rsid w:val="00FF3AB2"/>
    <w:rsid w:val="00FF3CB7"/>
    <w:rsid w:val="00FF3F46"/>
    <w:rsid w:val="00FF409C"/>
    <w:rsid w:val="00FF43D5"/>
    <w:rsid w:val="00FF4FEE"/>
    <w:rsid w:val="00FF52F7"/>
    <w:rsid w:val="00FF5417"/>
    <w:rsid w:val="00FF5869"/>
    <w:rsid w:val="00FF5ADC"/>
    <w:rsid w:val="00FF5B3D"/>
    <w:rsid w:val="00FF5C6B"/>
    <w:rsid w:val="00FF5CAC"/>
    <w:rsid w:val="00FF5EEB"/>
    <w:rsid w:val="00FF6186"/>
    <w:rsid w:val="00FF65BC"/>
    <w:rsid w:val="00FF6604"/>
    <w:rsid w:val="00FF6A62"/>
    <w:rsid w:val="00FF6B1B"/>
    <w:rsid w:val="00FF703D"/>
    <w:rsid w:val="00FF711A"/>
    <w:rsid w:val="00FF7128"/>
    <w:rsid w:val="00FF7144"/>
    <w:rsid w:val="00FF7151"/>
    <w:rsid w:val="00FF71DE"/>
    <w:rsid w:val="00FF7592"/>
    <w:rsid w:val="00FF770B"/>
    <w:rsid w:val="00FF78EA"/>
    <w:rsid w:val="00FF7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52647535"/>
  <w15:docId w15:val="{2508A619-C40B-4B0E-94A4-93EA24A6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21E"/>
    <w:rPr>
      <w:rFonts w:ascii="Arial" w:hAnsi="Arial"/>
      <w:sz w:val="19"/>
      <w:szCs w:val="24"/>
    </w:rPr>
  </w:style>
  <w:style w:type="paragraph" w:styleId="Heading1">
    <w:name w:val="heading 1"/>
    <w:basedOn w:val="Normal"/>
    <w:next w:val="Normal"/>
    <w:link w:val="Heading1Char"/>
    <w:qFormat/>
    <w:rsid w:val="00F96869"/>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9661D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6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16A5A"/>
    <w:pPr>
      <w:tabs>
        <w:tab w:val="center" w:pos="4153"/>
        <w:tab w:val="right" w:pos="8306"/>
      </w:tabs>
    </w:pPr>
  </w:style>
  <w:style w:type="paragraph" w:styleId="Footer">
    <w:name w:val="footer"/>
    <w:basedOn w:val="Normal"/>
    <w:rsid w:val="00E16A5A"/>
    <w:pPr>
      <w:tabs>
        <w:tab w:val="center" w:pos="4153"/>
        <w:tab w:val="right" w:pos="8306"/>
      </w:tabs>
    </w:pPr>
  </w:style>
  <w:style w:type="character" w:styleId="Hyperlink">
    <w:name w:val="Hyperlink"/>
    <w:rsid w:val="00C61CDA"/>
    <w:rPr>
      <w:rFonts w:ascii="Verdana" w:hAnsi="Verdana"/>
      <w:color w:val="000080"/>
      <w:sz w:val="18"/>
      <w:szCs w:val="18"/>
      <w:u w:val="single" w:color="000080"/>
    </w:rPr>
  </w:style>
  <w:style w:type="character" w:styleId="FollowedHyperlink">
    <w:name w:val="FollowedHyperlink"/>
    <w:rsid w:val="00C61CDA"/>
    <w:rPr>
      <w:rFonts w:ascii="Verdana" w:hAnsi="Verdana"/>
      <w:color w:val="800080"/>
      <w:sz w:val="18"/>
      <w:szCs w:val="18"/>
      <w:u w:val="single" w:color="800080"/>
    </w:rPr>
  </w:style>
  <w:style w:type="paragraph" w:styleId="BalloonText">
    <w:name w:val="Balloon Text"/>
    <w:basedOn w:val="Normal"/>
    <w:semiHidden/>
    <w:rsid w:val="00B53715"/>
    <w:rPr>
      <w:rFonts w:ascii="Tahoma" w:hAnsi="Tahoma" w:cs="Tahoma"/>
      <w:sz w:val="16"/>
      <w:szCs w:val="16"/>
    </w:rPr>
  </w:style>
  <w:style w:type="paragraph" w:customStyle="1" w:styleId="Default">
    <w:name w:val="Default"/>
    <w:rsid w:val="0076397D"/>
    <w:pPr>
      <w:autoSpaceDE w:val="0"/>
      <w:autoSpaceDN w:val="0"/>
      <w:adjustRightInd w:val="0"/>
    </w:pPr>
    <w:rPr>
      <w:rFonts w:ascii="Verdana" w:hAnsi="Verdana" w:cs="Verdana"/>
      <w:color w:val="000000"/>
      <w:sz w:val="24"/>
      <w:szCs w:val="24"/>
    </w:rPr>
  </w:style>
  <w:style w:type="character" w:styleId="CommentReference">
    <w:name w:val="annotation reference"/>
    <w:rsid w:val="00C273F9"/>
    <w:rPr>
      <w:sz w:val="16"/>
      <w:szCs w:val="16"/>
    </w:rPr>
  </w:style>
  <w:style w:type="paragraph" w:styleId="CommentText">
    <w:name w:val="annotation text"/>
    <w:basedOn w:val="Normal"/>
    <w:link w:val="CommentTextChar"/>
    <w:rsid w:val="00C273F9"/>
    <w:rPr>
      <w:sz w:val="20"/>
      <w:szCs w:val="20"/>
    </w:rPr>
  </w:style>
  <w:style w:type="character" w:customStyle="1" w:styleId="CommentTextChar">
    <w:name w:val="Comment Text Char"/>
    <w:basedOn w:val="DefaultParagraphFont"/>
    <w:link w:val="CommentText"/>
    <w:rsid w:val="00C273F9"/>
  </w:style>
  <w:style w:type="paragraph" w:styleId="CommentSubject">
    <w:name w:val="annotation subject"/>
    <w:basedOn w:val="CommentText"/>
    <w:next w:val="CommentText"/>
    <w:link w:val="CommentSubjectChar"/>
    <w:rsid w:val="00C273F9"/>
    <w:rPr>
      <w:b/>
      <w:bCs/>
    </w:rPr>
  </w:style>
  <w:style w:type="character" w:customStyle="1" w:styleId="CommentSubjectChar">
    <w:name w:val="Comment Subject Char"/>
    <w:link w:val="CommentSubject"/>
    <w:rsid w:val="00C273F9"/>
    <w:rPr>
      <w:b/>
      <w:bCs/>
    </w:rPr>
  </w:style>
  <w:style w:type="character" w:customStyle="1" w:styleId="Heading3Char">
    <w:name w:val="Heading 3 Char"/>
    <w:link w:val="Heading3"/>
    <w:semiHidden/>
    <w:rsid w:val="009661D0"/>
    <w:rPr>
      <w:rFonts w:ascii="Cambria" w:eastAsia="Times New Roman" w:hAnsi="Cambria" w:cs="Times New Roman"/>
      <w:b/>
      <w:bCs/>
      <w:sz w:val="26"/>
      <w:szCs w:val="26"/>
    </w:rPr>
  </w:style>
  <w:style w:type="character" w:customStyle="1" w:styleId="Heading1Char">
    <w:name w:val="Heading 1 Char"/>
    <w:link w:val="Heading1"/>
    <w:rsid w:val="00F96869"/>
    <w:rPr>
      <w:rFonts w:ascii="Cambria" w:eastAsia="Times New Roman" w:hAnsi="Cambria" w:cs="Times New Roman"/>
      <w:b/>
      <w:bCs/>
      <w:kern w:val="32"/>
      <w:sz w:val="32"/>
      <w:szCs w:val="32"/>
    </w:rPr>
  </w:style>
  <w:style w:type="paragraph" w:customStyle="1" w:styleId="Explanatorytext">
    <w:name w:val="Explanatory text"/>
    <w:basedOn w:val="Normal"/>
    <w:link w:val="ExplanatorytextChar"/>
    <w:qFormat/>
    <w:rsid w:val="00CD021E"/>
    <w:pPr>
      <w:tabs>
        <w:tab w:val="center" w:pos="3152"/>
      </w:tabs>
    </w:pPr>
    <w:rPr>
      <w:rFonts w:cs="Arial"/>
      <w:sz w:val="16"/>
      <w:szCs w:val="19"/>
      <w:lang w:val="en-US"/>
    </w:rPr>
  </w:style>
  <w:style w:type="character" w:customStyle="1" w:styleId="ExplanatorytextChar">
    <w:name w:val="Explanatory text Char"/>
    <w:basedOn w:val="DefaultParagraphFont"/>
    <w:link w:val="Explanatorytext"/>
    <w:rsid w:val="00CD021E"/>
    <w:rPr>
      <w:rFonts w:ascii="Arial" w:hAnsi="Arial" w:cs="Arial"/>
      <w:sz w:val="16"/>
      <w:szCs w:val="19"/>
      <w:lang w:val="en-US"/>
    </w:rPr>
  </w:style>
  <w:style w:type="paragraph" w:styleId="NormalWeb">
    <w:name w:val="Normal (Web)"/>
    <w:basedOn w:val="Normal"/>
    <w:semiHidden/>
    <w:unhideWhenUsed/>
    <w:rsid w:val="00CB5BC1"/>
    <w:rPr>
      <w:rFonts w:ascii="Times New Roman" w:hAnsi="Times New Roman"/>
      <w:sz w:val="24"/>
    </w:rPr>
  </w:style>
  <w:style w:type="character" w:styleId="UnresolvedMention">
    <w:name w:val="Unresolved Mention"/>
    <w:basedOn w:val="DefaultParagraphFont"/>
    <w:uiPriority w:val="99"/>
    <w:semiHidden/>
    <w:unhideWhenUsed/>
    <w:rsid w:val="00584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2655">
      <w:bodyDiv w:val="1"/>
      <w:marLeft w:val="0"/>
      <w:marRight w:val="0"/>
      <w:marTop w:val="0"/>
      <w:marBottom w:val="0"/>
      <w:divBdr>
        <w:top w:val="none" w:sz="0" w:space="0" w:color="auto"/>
        <w:left w:val="none" w:sz="0" w:space="0" w:color="auto"/>
        <w:bottom w:val="none" w:sz="0" w:space="0" w:color="auto"/>
        <w:right w:val="none" w:sz="0" w:space="0" w:color="auto"/>
      </w:divBdr>
    </w:div>
    <w:div w:id="18940625">
      <w:bodyDiv w:val="1"/>
      <w:marLeft w:val="0"/>
      <w:marRight w:val="0"/>
      <w:marTop w:val="0"/>
      <w:marBottom w:val="0"/>
      <w:divBdr>
        <w:top w:val="none" w:sz="0" w:space="0" w:color="auto"/>
        <w:left w:val="none" w:sz="0" w:space="0" w:color="auto"/>
        <w:bottom w:val="none" w:sz="0" w:space="0" w:color="auto"/>
        <w:right w:val="none" w:sz="0" w:space="0" w:color="auto"/>
      </w:divBdr>
    </w:div>
    <w:div w:id="36780126">
      <w:bodyDiv w:val="1"/>
      <w:marLeft w:val="0"/>
      <w:marRight w:val="0"/>
      <w:marTop w:val="0"/>
      <w:marBottom w:val="0"/>
      <w:divBdr>
        <w:top w:val="none" w:sz="0" w:space="0" w:color="auto"/>
        <w:left w:val="none" w:sz="0" w:space="0" w:color="auto"/>
        <w:bottom w:val="none" w:sz="0" w:space="0" w:color="auto"/>
        <w:right w:val="none" w:sz="0" w:space="0" w:color="auto"/>
      </w:divBdr>
    </w:div>
    <w:div w:id="44254406">
      <w:bodyDiv w:val="1"/>
      <w:marLeft w:val="0"/>
      <w:marRight w:val="0"/>
      <w:marTop w:val="0"/>
      <w:marBottom w:val="0"/>
      <w:divBdr>
        <w:top w:val="none" w:sz="0" w:space="0" w:color="auto"/>
        <w:left w:val="none" w:sz="0" w:space="0" w:color="auto"/>
        <w:bottom w:val="none" w:sz="0" w:space="0" w:color="auto"/>
        <w:right w:val="none" w:sz="0" w:space="0" w:color="auto"/>
      </w:divBdr>
    </w:div>
    <w:div w:id="49577063">
      <w:bodyDiv w:val="1"/>
      <w:marLeft w:val="0"/>
      <w:marRight w:val="0"/>
      <w:marTop w:val="0"/>
      <w:marBottom w:val="0"/>
      <w:divBdr>
        <w:top w:val="none" w:sz="0" w:space="0" w:color="auto"/>
        <w:left w:val="none" w:sz="0" w:space="0" w:color="auto"/>
        <w:bottom w:val="none" w:sz="0" w:space="0" w:color="auto"/>
        <w:right w:val="none" w:sz="0" w:space="0" w:color="auto"/>
      </w:divBdr>
    </w:div>
    <w:div w:id="50203157">
      <w:bodyDiv w:val="1"/>
      <w:marLeft w:val="0"/>
      <w:marRight w:val="0"/>
      <w:marTop w:val="0"/>
      <w:marBottom w:val="0"/>
      <w:divBdr>
        <w:top w:val="none" w:sz="0" w:space="0" w:color="auto"/>
        <w:left w:val="none" w:sz="0" w:space="0" w:color="auto"/>
        <w:bottom w:val="none" w:sz="0" w:space="0" w:color="auto"/>
        <w:right w:val="none" w:sz="0" w:space="0" w:color="auto"/>
      </w:divBdr>
    </w:div>
    <w:div w:id="75133025">
      <w:bodyDiv w:val="1"/>
      <w:marLeft w:val="0"/>
      <w:marRight w:val="0"/>
      <w:marTop w:val="0"/>
      <w:marBottom w:val="0"/>
      <w:divBdr>
        <w:top w:val="none" w:sz="0" w:space="0" w:color="auto"/>
        <w:left w:val="none" w:sz="0" w:space="0" w:color="auto"/>
        <w:bottom w:val="none" w:sz="0" w:space="0" w:color="auto"/>
        <w:right w:val="none" w:sz="0" w:space="0" w:color="auto"/>
      </w:divBdr>
    </w:div>
    <w:div w:id="105078129">
      <w:bodyDiv w:val="1"/>
      <w:marLeft w:val="0"/>
      <w:marRight w:val="0"/>
      <w:marTop w:val="0"/>
      <w:marBottom w:val="0"/>
      <w:divBdr>
        <w:top w:val="none" w:sz="0" w:space="0" w:color="auto"/>
        <w:left w:val="none" w:sz="0" w:space="0" w:color="auto"/>
        <w:bottom w:val="none" w:sz="0" w:space="0" w:color="auto"/>
        <w:right w:val="none" w:sz="0" w:space="0" w:color="auto"/>
      </w:divBdr>
    </w:div>
    <w:div w:id="166293802">
      <w:bodyDiv w:val="1"/>
      <w:marLeft w:val="0"/>
      <w:marRight w:val="0"/>
      <w:marTop w:val="0"/>
      <w:marBottom w:val="0"/>
      <w:divBdr>
        <w:top w:val="none" w:sz="0" w:space="0" w:color="auto"/>
        <w:left w:val="none" w:sz="0" w:space="0" w:color="auto"/>
        <w:bottom w:val="none" w:sz="0" w:space="0" w:color="auto"/>
        <w:right w:val="none" w:sz="0" w:space="0" w:color="auto"/>
      </w:divBdr>
    </w:div>
    <w:div w:id="182062482">
      <w:bodyDiv w:val="1"/>
      <w:marLeft w:val="0"/>
      <w:marRight w:val="0"/>
      <w:marTop w:val="0"/>
      <w:marBottom w:val="0"/>
      <w:divBdr>
        <w:top w:val="none" w:sz="0" w:space="0" w:color="auto"/>
        <w:left w:val="none" w:sz="0" w:space="0" w:color="auto"/>
        <w:bottom w:val="none" w:sz="0" w:space="0" w:color="auto"/>
        <w:right w:val="none" w:sz="0" w:space="0" w:color="auto"/>
      </w:divBdr>
    </w:div>
    <w:div w:id="188568170">
      <w:bodyDiv w:val="1"/>
      <w:marLeft w:val="0"/>
      <w:marRight w:val="0"/>
      <w:marTop w:val="0"/>
      <w:marBottom w:val="0"/>
      <w:divBdr>
        <w:top w:val="none" w:sz="0" w:space="0" w:color="auto"/>
        <w:left w:val="none" w:sz="0" w:space="0" w:color="auto"/>
        <w:bottom w:val="none" w:sz="0" w:space="0" w:color="auto"/>
        <w:right w:val="none" w:sz="0" w:space="0" w:color="auto"/>
      </w:divBdr>
    </w:div>
    <w:div w:id="196285041">
      <w:bodyDiv w:val="1"/>
      <w:marLeft w:val="0"/>
      <w:marRight w:val="0"/>
      <w:marTop w:val="0"/>
      <w:marBottom w:val="0"/>
      <w:divBdr>
        <w:top w:val="none" w:sz="0" w:space="0" w:color="auto"/>
        <w:left w:val="none" w:sz="0" w:space="0" w:color="auto"/>
        <w:bottom w:val="none" w:sz="0" w:space="0" w:color="auto"/>
        <w:right w:val="none" w:sz="0" w:space="0" w:color="auto"/>
      </w:divBdr>
    </w:div>
    <w:div w:id="205456442">
      <w:bodyDiv w:val="1"/>
      <w:marLeft w:val="0"/>
      <w:marRight w:val="0"/>
      <w:marTop w:val="0"/>
      <w:marBottom w:val="0"/>
      <w:divBdr>
        <w:top w:val="none" w:sz="0" w:space="0" w:color="auto"/>
        <w:left w:val="none" w:sz="0" w:space="0" w:color="auto"/>
        <w:bottom w:val="none" w:sz="0" w:space="0" w:color="auto"/>
        <w:right w:val="none" w:sz="0" w:space="0" w:color="auto"/>
      </w:divBdr>
    </w:div>
    <w:div w:id="225457942">
      <w:bodyDiv w:val="1"/>
      <w:marLeft w:val="0"/>
      <w:marRight w:val="0"/>
      <w:marTop w:val="0"/>
      <w:marBottom w:val="0"/>
      <w:divBdr>
        <w:top w:val="none" w:sz="0" w:space="0" w:color="auto"/>
        <w:left w:val="none" w:sz="0" w:space="0" w:color="auto"/>
        <w:bottom w:val="none" w:sz="0" w:space="0" w:color="auto"/>
        <w:right w:val="none" w:sz="0" w:space="0" w:color="auto"/>
      </w:divBdr>
    </w:div>
    <w:div w:id="241646439">
      <w:bodyDiv w:val="1"/>
      <w:marLeft w:val="0"/>
      <w:marRight w:val="0"/>
      <w:marTop w:val="0"/>
      <w:marBottom w:val="0"/>
      <w:divBdr>
        <w:top w:val="none" w:sz="0" w:space="0" w:color="auto"/>
        <w:left w:val="none" w:sz="0" w:space="0" w:color="auto"/>
        <w:bottom w:val="none" w:sz="0" w:space="0" w:color="auto"/>
        <w:right w:val="none" w:sz="0" w:space="0" w:color="auto"/>
      </w:divBdr>
    </w:div>
    <w:div w:id="262612622">
      <w:bodyDiv w:val="1"/>
      <w:marLeft w:val="0"/>
      <w:marRight w:val="0"/>
      <w:marTop w:val="0"/>
      <w:marBottom w:val="0"/>
      <w:divBdr>
        <w:top w:val="none" w:sz="0" w:space="0" w:color="auto"/>
        <w:left w:val="none" w:sz="0" w:space="0" w:color="auto"/>
        <w:bottom w:val="none" w:sz="0" w:space="0" w:color="auto"/>
        <w:right w:val="none" w:sz="0" w:space="0" w:color="auto"/>
      </w:divBdr>
    </w:div>
    <w:div w:id="268316975">
      <w:bodyDiv w:val="1"/>
      <w:marLeft w:val="0"/>
      <w:marRight w:val="0"/>
      <w:marTop w:val="0"/>
      <w:marBottom w:val="0"/>
      <w:divBdr>
        <w:top w:val="none" w:sz="0" w:space="0" w:color="auto"/>
        <w:left w:val="none" w:sz="0" w:space="0" w:color="auto"/>
        <w:bottom w:val="none" w:sz="0" w:space="0" w:color="auto"/>
        <w:right w:val="none" w:sz="0" w:space="0" w:color="auto"/>
      </w:divBdr>
    </w:div>
    <w:div w:id="271980019">
      <w:bodyDiv w:val="1"/>
      <w:marLeft w:val="0"/>
      <w:marRight w:val="0"/>
      <w:marTop w:val="0"/>
      <w:marBottom w:val="0"/>
      <w:divBdr>
        <w:top w:val="none" w:sz="0" w:space="0" w:color="auto"/>
        <w:left w:val="none" w:sz="0" w:space="0" w:color="auto"/>
        <w:bottom w:val="none" w:sz="0" w:space="0" w:color="auto"/>
        <w:right w:val="none" w:sz="0" w:space="0" w:color="auto"/>
      </w:divBdr>
    </w:div>
    <w:div w:id="281309733">
      <w:bodyDiv w:val="1"/>
      <w:marLeft w:val="0"/>
      <w:marRight w:val="0"/>
      <w:marTop w:val="0"/>
      <w:marBottom w:val="0"/>
      <w:divBdr>
        <w:top w:val="none" w:sz="0" w:space="0" w:color="auto"/>
        <w:left w:val="none" w:sz="0" w:space="0" w:color="auto"/>
        <w:bottom w:val="none" w:sz="0" w:space="0" w:color="auto"/>
        <w:right w:val="none" w:sz="0" w:space="0" w:color="auto"/>
      </w:divBdr>
    </w:div>
    <w:div w:id="299922167">
      <w:bodyDiv w:val="1"/>
      <w:marLeft w:val="0"/>
      <w:marRight w:val="0"/>
      <w:marTop w:val="0"/>
      <w:marBottom w:val="0"/>
      <w:divBdr>
        <w:top w:val="none" w:sz="0" w:space="0" w:color="auto"/>
        <w:left w:val="none" w:sz="0" w:space="0" w:color="auto"/>
        <w:bottom w:val="none" w:sz="0" w:space="0" w:color="auto"/>
        <w:right w:val="none" w:sz="0" w:space="0" w:color="auto"/>
      </w:divBdr>
    </w:div>
    <w:div w:id="301160891">
      <w:bodyDiv w:val="1"/>
      <w:marLeft w:val="0"/>
      <w:marRight w:val="0"/>
      <w:marTop w:val="0"/>
      <w:marBottom w:val="0"/>
      <w:divBdr>
        <w:top w:val="none" w:sz="0" w:space="0" w:color="auto"/>
        <w:left w:val="none" w:sz="0" w:space="0" w:color="auto"/>
        <w:bottom w:val="none" w:sz="0" w:space="0" w:color="auto"/>
        <w:right w:val="none" w:sz="0" w:space="0" w:color="auto"/>
      </w:divBdr>
    </w:div>
    <w:div w:id="304697955">
      <w:bodyDiv w:val="1"/>
      <w:marLeft w:val="0"/>
      <w:marRight w:val="0"/>
      <w:marTop w:val="0"/>
      <w:marBottom w:val="0"/>
      <w:divBdr>
        <w:top w:val="none" w:sz="0" w:space="0" w:color="auto"/>
        <w:left w:val="none" w:sz="0" w:space="0" w:color="auto"/>
        <w:bottom w:val="none" w:sz="0" w:space="0" w:color="auto"/>
        <w:right w:val="none" w:sz="0" w:space="0" w:color="auto"/>
      </w:divBdr>
    </w:div>
    <w:div w:id="313025055">
      <w:bodyDiv w:val="1"/>
      <w:marLeft w:val="0"/>
      <w:marRight w:val="0"/>
      <w:marTop w:val="0"/>
      <w:marBottom w:val="0"/>
      <w:divBdr>
        <w:top w:val="none" w:sz="0" w:space="0" w:color="auto"/>
        <w:left w:val="none" w:sz="0" w:space="0" w:color="auto"/>
        <w:bottom w:val="none" w:sz="0" w:space="0" w:color="auto"/>
        <w:right w:val="none" w:sz="0" w:space="0" w:color="auto"/>
      </w:divBdr>
    </w:div>
    <w:div w:id="329790941">
      <w:bodyDiv w:val="1"/>
      <w:marLeft w:val="0"/>
      <w:marRight w:val="0"/>
      <w:marTop w:val="0"/>
      <w:marBottom w:val="0"/>
      <w:divBdr>
        <w:top w:val="none" w:sz="0" w:space="0" w:color="auto"/>
        <w:left w:val="none" w:sz="0" w:space="0" w:color="auto"/>
        <w:bottom w:val="none" w:sz="0" w:space="0" w:color="auto"/>
        <w:right w:val="none" w:sz="0" w:space="0" w:color="auto"/>
      </w:divBdr>
    </w:div>
    <w:div w:id="350422774">
      <w:bodyDiv w:val="1"/>
      <w:marLeft w:val="0"/>
      <w:marRight w:val="0"/>
      <w:marTop w:val="0"/>
      <w:marBottom w:val="0"/>
      <w:divBdr>
        <w:top w:val="none" w:sz="0" w:space="0" w:color="auto"/>
        <w:left w:val="none" w:sz="0" w:space="0" w:color="auto"/>
        <w:bottom w:val="none" w:sz="0" w:space="0" w:color="auto"/>
        <w:right w:val="none" w:sz="0" w:space="0" w:color="auto"/>
      </w:divBdr>
    </w:div>
    <w:div w:id="353506112">
      <w:bodyDiv w:val="1"/>
      <w:marLeft w:val="0"/>
      <w:marRight w:val="0"/>
      <w:marTop w:val="0"/>
      <w:marBottom w:val="0"/>
      <w:divBdr>
        <w:top w:val="none" w:sz="0" w:space="0" w:color="auto"/>
        <w:left w:val="none" w:sz="0" w:space="0" w:color="auto"/>
        <w:bottom w:val="none" w:sz="0" w:space="0" w:color="auto"/>
        <w:right w:val="none" w:sz="0" w:space="0" w:color="auto"/>
      </w:divBdr>
    </w:div>
    <w:div w:id="357661603">
      <w:bodyDiv w:val="1"/>
      <w:marLeft w:val="0"/>
      <w:marRight w:val="0"/>
      <w:marTop w:val="0"/>
      <w:marBottom w:val="0"/>
      <w:divBdr>
        <w:top w:val="none" w:sz="0" w:space="0" w:color="auto"/>
        <w:left w:val="none" w:sz="0" w:space="0" w:color="auto"/>
        <w:bottom w:val="none" w:sz="0" w:space="0" w:color="auto"/>
        <w:right w:val="none" w:sz="0" w:space="0" w:color="auto"/>
      </w:divBdr>
    </w:div>
    <w:div w:id="410395297">
      <w:bodyDiv w:val="1"/>
      <w:marLeft w:val="0"/>
      <w:marRight w:val="0"/>
      <w:marTop w:val="0"/>
      <w:marBottom w:val="0"/>
      <w:divBdr>
        <w:top w:val="none" w:sz="0" w:space="0" w:color="auto"/>
        <w:left w:val="none" w:sz="0" w:space="0" w:color="auto"/>
        <w:bottom w:val="none" w:sz="0" w:space="0" w:color="auto"/>
        <w:right w:val="none" w:sz="0" w:space="0" w:color="auto"/>
      </w:divBdr>
    </w:div>
    <w:div w:id="440492896">
      <w:bodyDiv w:val="1"/>
      <w:marLeft w:val="0"/>
      <w:marRight w:val="0"/>
      <w:marTop w:val="0"/>
      <w:marBottom w:val="0"/>
      <w:divBdr>
        <w:top w:val="none" w:sz="0" w:space="0" w:color="auto"/>
        <w:left w:val="none" w:sz="0" w:space="0" w:color="auto"/>
        <w:bottom w:val="none" w:sz="0" w:space="0" w:color="auto"/>
        <w:right w:val="none" w:sz="0" w:space="0" w:color="auto"/>
      </w:divBdr>
    </w:div>
    <w:div w:id="470828134">
      <w:bodyDiv w:val="1"/>
      <w:marLeft w:val="0"/>
      <w:marRight w:val="0"/>
      <w:marTop w:val="0"/>
      <w:marBottom w:val="0"/>
      <w:divBdr>
        <w:top w:val="none" w:sz="0" w:space="0" w:color="auto"/>
        <w:left w:val="none" w:sz="0" w:space="0" w:color="auto"/>
        <w:bottom w:val="none" w:sz="0" w:space="0" w:color="auto"/>
        <w:right w:val="none" w:sz="0" w:space="0" w:color="auto"/>
      </w:divBdr>
    </w:div>
    <w:div w:id="480464002">
      <w:bodyDiv w:val="1"/>
      <w:marLeft w:val="0"/>
      <w:marRight w:val="0"/>
      <w:marTop w:val="0"/>
      <w:marBottom w:val="0"/>
      <w:divBdr>
        <w:top w:val="none" w:sz="0" w:space="0" w:color="auto"/>
        <w:left w:val="none" w:sz="0" w:space="0" w:color="auto"/>
        <w:bottom w:val="none" w:sz="0" w:space="0" w:color="auto"/>
        <w:right w:val="none" w:sz="0" w:space="0" w:color="auto"/>
      </w:divBdr>
    </w:div>
    <w:div w:id="496532464">
      <w:bodyDiv w:val="1"/>
      <w:marLeft w:val="0"/>
      <w:marRight w:val="0"/>
      <w:marTop w:val="0"/>
      <w:marBottom w:val="0"/>
      <w:divBdr>
        <w:top w:val="none" w:sz="0" w:space="0" w:color="auto"/>
        <w:left w:val="none" w:sz="0" w:space="0" w:color="auto"/>
        <w:bottom w:val="none" w:sz="0" w:space="0" w:color="auto"/>
        <w:right w:val="none" w:sz="0" w:space="0" w:color="auto"/>
      </w:divBdr>
    </w:div>
    <w:div w:id="505635167">
      <w:bodyDiv w:val="1"/>
      <w:marLeft w:val="0"/>
      <w:marRight w:val="0"/>
      <w:marTop w:val="0"/>
      <w:marBottom w:val="0"/>
      <w:divBdr>
        <w:top w:val="none" w:sz="0" w:space="0" w:color="auto"/>
        <w:left w:val="none" w:sz="0" w:space="0" w:color="auto"/>
        <w:bottom w:val="none" w:sz="0" w:space="0" w:color="auto"/>
        <w:right w:val="none" w:sz="0" w:space="0" w:color="auto"/>
      </w:divBdr>
    </w:div>
    <w:div w:id="526722528">
      <w:bodyDiv w:val="1"/>
      <w:marLeft w:val="0"/>
      <w:marRight w:val="0"/>
      <w:marTop w:val="0"/>
      <w:marBottom w:val="0"/>
      <w:divBdr>
        <w:top w:val="none" w:sz="0" w:space="0" w:color="auto"/>
        <w:left w:val="none" w:sz="0" w:space="0" w:color="auto"/>
        <w:bottom w:val="none" w:sz="0" w:space="0" w:color="auto"/>
        <w:right w:val="none" w:sz="0" w:space="0" w:color="auto"/>
      </w:divBdr>
    </w:div>
    <w:div w:id="546260429">
      <w:bodyDiv w:val="1"/>
      <w:marLeft w:val="0"/>
      <w:marRight w:val="0"/>
      <w:marTop w:val="0"/>
      <w:marBottom w:val="0"/>
      <w:divBdr>
        <w:top w:val="none" w:sz="0" w:space="0" w:color="auto"/>
        <w:left w:val="none" w:sz="0" w:space="0" w:color="auto"/>
        <w:bottom w:val="none" w:sz="0" w:space="0" w:color="auto"/>
        <w:right w:val="none" w:sz="0" w:space="0" w:color="auto"/>
      </w:divBdr>
    </w:div>
    <w:div w:id="576134585">
      <w:bodyDiv w:val="1"/>
      <w:marLeft w:val="0"/>
      <w:marRight w:val="0"/>
      <w:marTop w:val="0"/>
      <w:marBottom w:val="0"/>
      <w:divBdr>
        <w:top w:val="none" w:sz="0" w:space="0" w:color="auto"/>
        <w:left w:val="none" w:sz="0" w:space="0" w:color="auto"/>
        <w:bottom w:val="none" w:sz="0" w:space="0" w:color="auto"/>
        <w:right w:val="none" w:sz="0" w:space="0" w:color="auto"/>
      </w:divBdr>
    </w:div>
    <w:div w:id="596445269">
      <w:bodyDiv w:val="1"/>
      <w:marLeft w:val="0"/>
      <w:marRight w:val="0"/>
      <w:marTop w:val="0"/>
      <w:marBottom w:val="0"/>
      <w:divBdr>
        <w:top w:val="none" w:sz="0" w:space="0" w:color="auto"/>
        <w:left w:val="none" w:sz="0" w:space="0" w:color="auto"/>
        <w:bottom w:val="none" w:sz="0" w:space="0" w:color="auto"/>
        <w:right w:val="none" w:sz="0" w:space="0" w:color="auto"/>
      </w:divBdr>
    </w:div>
    <w:div w:id="604581575">
      <w:bodyDiv w:val="1"/>
      <w:marLeft w:val="0"/>
      <w:marRight w:val="0"/>
      <w:marTop w:val="0"/>
      <w:marBottom w:val="0"/>
      <w:divBdr>
        <w:top w:val="none" w:sz="0" w:space="0" w:color="auto"/>
        <w:left w:val="none" w:sz="0" w:space="0" w:color="auto"/>
        <w:bottom w:val="none" w:sz="0" w:space="0" w:color="auto"/>
        <w:right w:val="none" w:sz="0" w:space="0" w:color="auto"/>
      </w:divBdr>
    </w:div>
    <w:div w:id="641154061">
      <w:bodyDiv w:val="1"/>
      <w:marLeft w:val="0"/>
      <w:marRight w:val="0"/>
      <w:marTop w:val="0"/>
      <w:marBottom w:val="0"/>
      <w:divBdr>
        <w:top w:val="none" w:sz="0" w:space="0" w:color="auto"/>
        <w:left w:val="none" w:sz="0" w:space="0" w:color="auto"/>
        <w:bottom w:val="none" w:sz="0" w:space="0" w:color="auto"/>
        <w:right w:val="none" w:sz="0" w:space="0" w:color="auto"/>
      </w:divBdr>
    </w:div>
    <w:div w:id="651788207">
      <w:bodyDiv w:val="1"/>
      <w:marLeft w:val="0"/>
      <w:marRight w:val="0"/>
      <w:marTop w:val="0"/>
      <w:marBottom w:val="0"/>
      <w:divBdr>
        <w:top w:val="none" w:sz="0" w:space="0" w:color="auto"/>
        <w:left w:val="none" w:sz="0" w:space="0" w:color="auto"/>
        <w:bottom w:val="none" w:sz="0" w:space="0" w:color="auto"/>
        <w:right w:val="none" w:sz="0" w:space="0" w:color="auto"/>
      </w:divBdr>
    </w:div>
    <w:div w:id="686950297">
      <w:bodyDiv w:val="1"/>
      <w:marLeft w:val="0"/>
      <w:marRight w:val="0"/>
      <w:marTop w:val="0"/>
      <w:marBottom w:val="0"/>
      <w:divBdr>
        <w:top w:val="none" w:sz="0" w:space="0" w:color="auto"/>
        <w:left w:val="none" w:sz="0" w:space="0" w:color="auto"/>
        <w:bottom w:val="none" w:sz="0" w:space="0" w:color="auto"/>
        <w:right w:val="none" w:sz="0" w:space="0" w:color="auto"/>
      </w:divBdr>
    </w:div>
    <w:div w:id="716705382">
      <w:bodyDiv w:val="1"/>
      <w:marLeft w:val="0"/>
      <w:marRight w:val="0"/>
      <w:marTop w:val="0"/>
      <w:marBottom w:val="0"/>
      <w:divBdr>
        <w:top w:val="none" w:sz="0" w:space="0" w:color="auto"/>
        <w:left w:val="none" w:sz="0" w:space="0" w:color="auto"/>
        <w:bottom w:val="none" w:sz="0" w:space="0" w:color="auto"/>
        <w:right w:val="none" w:sz="0" w:space="0" w:color="auto"/>
      </w:divBdr>
    </w:div>
    <w:div w:id="719551592">
      <w:bodyDiv w:val="1"/>
      <w:marLeft w:val="0"/>
      <w:marRight w:val="0"/>
      <w:marTop w:val="0"/>
      <w:marBottom w:val="0"/>
      <w:divBdr>
        <w:top w:val="none" w:sz="0" w:space="0" w:color="auto"/>
        <w:left w:val="none" w:sz="0" w:space="0" w:color="auto"/>
        <w:bottom w:val="none" w:sz="0" w:space="0" w:color="auto"/>
        <w:right w:val="none" w:sz="0" w:space="0" w:color="auto"/>
      </w:divBdr>
    </w:div>
    <w:div w:id="768159267">
      <w:bodyDiv w:val="1"/>
      <w:marLeft w:val="0"/>
      <w:marRight w:val="0"/>
      <w:marTop w:val="0"/>
      <w:marBottom w:val="0"/>
      <w:divBdr>
        <w:top w:val="none" w:sz="0" w:space="0" w:color="auto"/>
        <w:left w:val="none" w:sz="0" w:space="0" w:color="auto"/>
        <w:bottom w:val="none" w:sz="0" w:space="0" w:color="auto"/>
        <w:right w:val="none" w:sz="0" w:space="0" w:color="auto"/>
      </w:divBdr>
    </w:div>
    <w:div w:id="775758363">
      <w:bodyDiv w:val="1"/>
      <w:marLeft w:val="0"/>
      <w:marRight w:val="0"/>
      <w:marTop w:val="0"/>
      <w:marBottom w:val="0"/>
      <w:divBdr>
        <w:top w:val="none" w:sz="0" w:space="0" w:color="auto"/>
        <w:left w:val="none" w:sz="0" w:space="0" w:color="auto"/>
        <w:bottom w:val="none" w:sz="0" w:space="0" w:color="auto"/>
        <w:right w:val="none" w:sz="0" w:space="0" w:color="auto"/>
      </w:divBdr>
    </w:div>
    <w:div w:id="775835043">
      <w:bodyDiv w:val="1"/>
      <w:marLeft w:val="0"/>
      <w:marRight w:val="0"/>
      <w:marTop w:val="0"/>
      <w:marBottom w:val="0"/>
      <w:divBdr>
        <w:top w:val="none" w:sz="0" w:space="0" w:color="auto"/>
        <w:left w:val="none" w:sz="0" w:space="0" w:color="auto"/>
        <w:bottom w:val="none" w:sz="0" w:space="0" w:color="auto"/>
        <w:right w:val="none" w:sz="0" w:space="0" w:color="auto"/>
      </w:divBdr>
    </w:div>
    <w:div w:id="812259928">
      <w:bodyDiv w:val="1"/>
      <w:marLeft w:val="0"/>
      <w:marRight w:val="0"/>
      <w:marTop w:val="0"/>
      <w:marBottom w:val="0"/>
      <w:divBdr>
        <w:top w:val="none" w:sz="0" w:space="0" w:color="auto"/>
        <w:left w:val="none" w:sz="0" w:space="0" w:color="auto"/>
        <w:bottom w:val="none" w:sz="0" w:space="0" w:color="auto"/>
        <w:right w:val="none" w:sz="0" w:space="0" w:color="auto"/>
      </w:divBdr>
    </w:div>
    <w:div w:id="836308796">
      <w:bodyDiv w:val="1"/>
      <w:marLeft w:val="0"/>
      <w:marRight w:val="0"/>
      <w:marTop w:val="0"/>
      <w:marBottom w:val="0"/>
      <w:divBdr>
        <w:top w:val="none" w:sz="0" w:space="0" w:color="auto"/>
        <w:left w:val="none" w:sz="0" w:space="0" w:color="auto"/>
        <w:bottom w:val="none" w:sz="0" w:space="0" w:color="auto"/>
        <w:right w:val="none" w:sz="0" w:space="0" w:color="auto"/>
      </w:divBdr>
    </w:div>
    <w:div w:id="845486405">
      <w:bodyDiv w:val="1"/>
      <w:marLeft w:val="0"/>
      <w:marRight w:val="0"/>
      <w:marTop w:val="0"/>
      <w:marBottom w:val="0"/>
      <w:divBdr>
        <w:top w:val="none" w:sz="0" w:space="0" w:color="auto"/>
        <w:left w:val="none" w:sz="0" w:space="0" w:color="auto"/>
        <w:bottom w:val="none" w:sz="0" w:space="0" w:color="auto"/>
        <w:right w:val="none" w:sz="0" w:space="0" w:color="auto"/>
      </w:divBdr>
    </w:div>
    <w:div w:id="850342537">
      <w:bodyDiv w:val="1"/>
      <w:marLeft w:val="0"/>
      <w:marRight w:val="0"/>
      <w:marTop w:val="0"/>
      <w:marBottom w:val="0"/>
      <w:divBdr>
        <w:top w:val="none" w:sz="0" w:space="0" w:color="auto"/>
        <w:left w:val="none" w:sz="0" w:space="0" w:color="auto"/>
        <w:bottom w:val="none" w:sz="0" w:space="0" w:color="auto"/>
        <w:right w:val="none" w:sz="0" w:space="0" w:color="auto"/>
      </w:divBdr>
    </w:div>
    <w:div w:id="893154804">
      <w:bodyDiv w:val="1"/>
      <w:marLeft w:val="0"/>
      <w:marRight w:val="0"/>
      <w:marTop w:val="0"/>
      <w:marBottom w:val="0"/>
      <w:divBdr>
        <w:top w:val="none" w:sz="0" w:space="0" w:color="auto"/>
        <w:left w:val="none" w:sz="0" w:space="0" w:color="auto"/>
        <w:bottom w:val="none" w:sz="0" w:space="0" w:color="auto"/>
        <w:right w:val="none" w:sz="0" w:space="0" w:color="auto"/>
      </w:divBdr>
    </w:div>
    <w:div w:id="901251177">
      <w:bodyDiv w:val="1"/>
      <w:marLeft w:val="0"/>
      <w:marRight w:val="0"/>
      <w:marTop w:val="0"/>
      <w:marBottom w:val="0"/>
      <w:divBdr>
        <w:top w:val="none" w:sz="0" w:space="0" w:color="auto"/>
        <w:left w:val="none" w:sz="0" w:space="0" w:color="auto"/>
        <w:bottom w:val="none" w:sz="0" w:space="0" w:color="auto"/>
        <w:right w:val="none" w:sz="0" w:space="0" w:color="auto"/>
      </w:divBdr>
    </w:div>
    <w:div w:id="937711592">
      <w:bodyDiv w:val="1"/>
      <w:marLeft w:val="0"/>
      <w:marRight w:val="0"/>
      <w:marTop w:val="0"/>
      <w:marBottom w:val="0"/>
      <w:divBdr>
        <w:top w:val="none" w:sz="0" w:space="0" w:color="auto"/>
        <w:left w:val="none" w:sz="0" w:space="0" w:color="auto"/>
        <w:bottom w:val="none" w:sz="0" w:space="0" w:color="auto"/>
        <w:right w:val="none" w:sz="0" w:space="0" w:color="auto"/>
      </w:divBdr>
    </w:div>
    <w:div w:id="960039579">
      <w:bodyDiv w:val="1"/>
      <w:marLeft w:val="0"/>
      <w:marRight w:val="0"/>
      <w:marTop w:val="0"/>
      <w:marBottom w:val="0"/>
      <w:divBdr>
        <w:top w:val="none" w:sz="0" w:space="0" w:color="auto"/>
        <w:left w:val="none" w:sz="0" w:space="0" w:color="auto"/>
        <w:bottom w:val="none" w:sz="0" w:space="0" w:color="auto"/>
        <w:right w:val="none" w:sz="0" w:space="0" w:color="auto"/>
      </w:divBdr>
    </w:div>
    <w:div w:id="990794495">
      <w:bodyDiv w:val="1"/>
      <w:marLeft w:val="0"/>
      <w:marRight w:val="0"/>
      <w:marTop w:val="0"/>
      <w:marBottom w:val="0"/>
      <w:divBdr>
        <w:top w:val="none" w:sz="0" w:space="0" w:color="auto"/>
        <w:left w:val="none" w:sz="0" w:space="0" w:color="auto"/>
        <w:bottom w:val="none" w:sz="0" w:space="0" w:color="auto"/>
        <w:right w:val="none" w:sz="0" w:space="0" w:color="auto"/>
      </w:divBdr>
    </w:div>
    <w:div w:id="1000737428">
      <w:bodyDiv w:val="1"/>
      <w:marLeft w:val="0"/>
      <w:marRight w:val="0"/>
      <w:marTop w:val="0"/>
      <w:marBottom w:val="0"/>
      <w:divBdr>
        <w:top w:val="none" w:sz="0" w:space="0" w:color="auto"/>
        <w:left w:val="none" w:sz="0" w:space="0" w:color="auto"/>
        <w:bottom w:val="none" w:sz="0" w:space="0" w:color="auto"/>
        <w:right w:val="none" w:sz="0" w:space="0" w:color="auto"/>
      </w:divBdr>
    </w:div>
    <w:div w:id="1011302341">
      <w:bodyDiv w:val="1"/>
      <w:marLeft w:val="0"/>
      <w:marRight w:val="0"/>
      <w:marTop w:val="0"/>
      <w:marBottom w:val="0"/>
      <w:divBdr>
        <w:top w:val="none" w:sz="0" w:space="0" w:color="auto"/>
        <w:left w:val="none" w:sz="0" w:space="0" w:color="auto"/>
        <w:bottom w:val="none" w:sz="0" w:space="0" w:color="auto"/>
        <w:right w:val="none" w:sz="0" w:space="0" w:color="auto"/>
      </w:divBdr>
    </w:div>
    <w:div w:id="1037196896">
      <w:bodyDiv w:val="1"/>
      <w:marLeft w:val="0"/>
      <w:marRight w:val="0"/>
      <w:marTop w:val="0"/>
      <w:marBottom w:val="0"/>
      <w:divBdr>
        <w:top w:val="none" w:sz="0" w:space="0" w:color="auto"/>
        <w:left w:val="none" w:sz="0" w:space="0" w:color="auto"/>
        <w:bottom w:val="none" w:sz="0" w:space="0" w:color="auto"/>
        <w:right w:val="none" w:sz="0" w:space="0" w:color="auto"/>
      </w:divBdr>
    </w:div>
    <w:div w:id="1043209617">
      <w:bodyDiv w:val="1"/>
      <w:marLeft w:val="0"/>
      <w:marRight w:val="0"/>
      <w:marTop w:val="0"/>
      <w:marBottom w:val="0"/>
      <w:divBdr>
        <w:top w:val="none" w:sz="0" w:space="0" w:color="auto"/>
        <w:left w:val="none" w:sz="0" w:space="0" w:color="auto"/>
        <w:bottom w:val="none" w:sz="0" w:space="0" w:color="auto"/>
        <w:right w:val="none" w:sz="0" w:space="0" w:color="auto"/>
      </w:divBdr>
    </w:div>
    <w:div w:id="1095320843">
      <w:bodyDiv w:val="1"/>
      <w:marLeft w:val="0"/>
      <w:marRight w:val="0"/>
      <w:marTop w:val="0"/>
      <w:marBottom w:val="0"/>
      <w:divBdr>
        <w:top w:val="none" w:sz="0" w:space="0" w:color="auto"/>
        <w:left w:val="none" w:sz="0" w:space="0" w:color="auto"/>
        <w:bottom w:val="none" w:sz="0" w:space="0" w:color="auto"/>
        <w:right w:val="none" w:sz="0" w:space="0" w:color="auto"/>
      </w:divBdr>
    </w:div>
    <w:div w:id="1115445023">
      <w:bodyDiv w:val="1"/>
      <w:marLeft w:val="0"/>
      <w:marRight w:val="0"/>
      <w:marTop w:val="0"/>
      <w:marBottom w:val="0"/>
      <w:divBdr>
        <w:top w:val="none" w:sz="0" w:space="0" w:color="auto"/>
        <w:left w:val="none" w:sz="0" w:space="0" w:color="auto"/>
        <w:bottom w:val="none" w:sz="0" w:space="0" w:color="auto"/>
        <w:right w:val="none" w:sz="0" w:space="0" w:color="auto"/>
      </w:divBdr>
    </w:div>
    <w:div w:id="1154033411">
      <w:bodyDiv w:val="1"/>
      <w:marLeft w:val="0"/>
      <w:marRight w:val="0"/>
      <w:marTop w:val="0"/>
      <w:marBottom w:val="0"/>
      <w:divBdr>
        <w:top w:val="none" w:sz="0" w:space="0" w:color="auto"/>
        <w:left w:val="none" w:sz="0" w:space="0" w:color="auto"/>
        <w:bottom w:val="none" w:sz="0" w:space="0" w:color="auto"/>
        <w:right w:val="none" w:sz="0" w:space="0" w:color="auto"/>
      </w:divBdr>
    </w:div>
    <w:div w:id="1185905074">
      <w:bodyDiv w:val="1"/>
      <w:marLeft w:val="0"/>
      <w:marRight w:val="0"/>
      <w:marTop w:val="0"/>
      <w:marBottom w:val="0"/>
      <w:divBdr>
        <w:top w:val="none" w:sz="0" w:space="0" w:color="auto"/>
        <w:left w:val="none" w:sz="0" w:space="0" w:color="auto"/>
        <w:bottom w:val="none" w:sz="0" w:space="0" w:color="auto"/>
        <w:right w:val="none" w:sz="0" w:space="0" w:color="auto"/>
      </w:divBdr>
    </w:div>
    <w:div w:id="1198087235">
      <w:bodyDiv w:val="1"/>
      <w:marLeft w:val="0"/>
      <w:marRight w:val="0"/>
      <w:marTop w:val="0"/>
      <w:marBottom w:val="0"/>
      <w:divBdr>
        <w:top w:val="none" w:sz="0" w:space="0" w:color="auto"/>
        <w:left w:val="none" w:sz="0" w:space="0" w:color="auto"/>
        <w:bottom w:val="none" w:sz="0" w:space="0" w:color="auto"/>
        <w:right w:val="none" w:sz="0" w:space="0" w:color="auto"/>
      </w:divBdr>
    </w:div>
    <w:div w:id="1207252199">
      <w:bodyDiv w:val="1"/>
      <w:marLeft w:val="0"/>
      <w:marRight w:val="0"/>
      <w:marTop w:val="0"/>
      <w:marBottom w:val="0"/>
      <w:divBdr>
        <w:top w:val="none" w:sz="0" w:space="0" w:color="auto"/>
        <w:left w:val="none" w:sz="0" w:space="0" w:color="auto"/>
        <w:bottom w:val="none" w:sz="0" w:space="0" w:color="auto"/>
        <w:right w:val="none" w:sz="0" w:space="0" w:color="auto"/>
      </w:divBdr>
    </w:div>
    <w:div w:id="1234967197">
      <w:bodyDiv w:val="1"/>
      <w:marLeft w:val="0"/>
      <w:marRight w:val="0"/>
      <w:marTop w:val="0"/>
      <w:marBottom w:val="0"/>
      <w:divBdr>
        <w:top w:val="none" w:sz="0" w:space="0" w:color="auto"/>
        <w:left w:val="none" w:sz="0" w:space="0" w:color="auto"/>
        <w:bottom w:val="none" w:sz="0" w:space="0" w:color="auto"/>
        <w:right w:val="none" w:sz="0" w:space="0" w:color="auto"/>
      </w:divBdr>
    </w:div>
    <w:div w:id="1242712888">
      <w:bodyDiv w:val="1"/>
      <w:marLeft w:val="0"/>
      <w:marRight w:val="0"/>
      <w:marTop w:val="0"/>
      <w:marBottom w:val="0"/>
      <w:divBdr>
        <w:top w:val="none" w:sz="0" w:space="0" w:color="auto"/>
        <w:left w:val="none" w:sz="0" w:space="0" w:color="auto"/>
        <w:bottom w:val="none" w:sz="0" w:space="0" w:color="auto"/>
        <w:right w:val="none" w:sz="0" w:space="0" w:color="auto"/>
      </w:divBdr>
    </w:div>
    <w:div w:id="1265074049">
      <w:bodyDiv w:val="1"/>
      <w:marLeft w:val="0"/>
      <w:marRight w:val="0"/>
      <w:marTop w:val="0"/>
      <w:marBottom w:val="0"/>
      <w:divBdr>
        <w:top w:val="none" w:sz="0" w:space="0" w:color="auto"/>
        <w:left w:val="none" w:sz="0" w:space="0" w:color="auto"/>
        <w:bottom w:val="none" w:sz="0" w:space="0" w:color="auto"/>
        <w:right w:val="none" w:sz="0" w:space="0" w:color="auto"/>
      </w:divBdr>
    </w:div>
    <w:div w:id="1282154651">
      <w:bodyDiv w:val="1"/>
      <w:marLeft w:val="0"/>
      <w:marRight w:val="0"/>
      <w:marTop w:val="0"/>
      <w:marBottom w:val="0"/>
      <w:divBdr>
        <w:top w:val="none" w:sz="0" w:space="0" w:color="auto"/>
        <w:left w:val="none" w:sz="0" w:space="0" w:color="auto"/>
        <w:bottom w:val="none" w:sz="0" w:space="0" w:color="auto"/>
        <w:right w:val="none" w:sz="0" w:space="0" w:color="auto"/>
      </w:divBdr>
    </w:div>
    <w:div w:id="1294480727">
      <w:bodyDiv w:val="1"/>
      <w:marLeft w:val="0"/>
      <w:marRight w:val="0"/>
      <w:marTop w:val="0"/>
      <w:marBottom w:val="0"/>
      <w:divBdr>
        <w:top w:val="none" w:sz="0" w:space="0" w:color="auto"/>
        <w:left w:val="none" w:sz="0" w:space="0" w:color="auto"/>
        <w:bottom w:val="none" w:sz="0" w:space="0" w:color="auto"/>
        <w:right w:val="none" w:sz="0" w:space="0" w:color="auto"/>
      </w:divBdr>
    </w:div>
    <w:div w:id="1296526062">
      <w:bodyDiv w:val="1"/>
      <w:marLeft w:val="0"/>
      <w:marRight w:val="0"/>
      <w:marTop w:val="0"/>
      <w:marBottom w:val="0"/>
      <w:divBdr>
        <w:top w:val="none" w:sz="0" w:space="0" w:color="auto"/>
        <w:left w:val="none" w:sz="0" w:space="0" w:color="auto"/>
        <w:bottom w:val="none" w:sz="0" w:space="0" w:color="auto"/>
        <w:right w:val="none" w:sz="0" w:space="0" w:color="auto"/>
      </w:divBdr>
    </w:div>
    <w:div w:id="1389257293">
      <w:bodyDiv w:val="1"/>
      <w:marLeft w:val="0"/>
      <w:marRight w:val="0"/>
      <w:marTop w:val="0"/>
      <w:marBottom w:val="0"/>
      <w:divBdr>
        <w:top w:val="none" w:sz="0" w:space="0" w:color="auto"/>
        <w:left w:val="none" w:sz="0" w:space="0" w:color="auto"/>
        <w:bottom w:val="none" w:sz="0" w:space="0" w:color="auto"/>
        <w:right w:val="none" w:sz="0" w:space="0" w:color="auto"/>
      </w:divBdr>
    </w:div>
    <w:div w:id="1392968968">
      <w:bodyDiv w:val="1"/>
      <w:marLeft w:val="0"/>
      <w:marRight w:val="0"/>
      <w:marTop w:val="0"/>
      <w:marBottom w:val="0"/>
      <w:divBdr>
        <w:top w:val="none" w:sz="0" w:space="0" w:color="auto"/>
        <w:left w:val="none" w:sz="0" w:space="0" w:color="auto"/>
        <w:bottom w:val="none" w:sz="0" w:space="0" w:color="auto"/>
        <w:right w:val="none" w:sz="0" w:space="0" w:color="auto"/>
      </w:divBdr>
    </w:div>
    <w:div w:id="1397703627">
      <w:bodyDiv w:val="1"/>
      <w:marLeft w:val="0"/>
      <w:marRight w:val="0"/>
      <w:marTop w:val="0"/>
      <w:marBottom w:val="0"/>
      <w:divBdr>
        <w:top w:val="none" w:sz="0" w:space="0" w:color="auto"/>
        <w:left w:val="none" w:sz="0" w:space="0" w:color="auto"/>
        <w:bottom w:val="none" w:sz="0" w:space="0" w:color="auto"/>
        <w:right w:val="none" w:sz="0" w:space="0" w:color="auto"/>
      </w:divBdr>
    </w:div>
    <w:div w:id="1404990067">
      <w:bodyDiv w:val="1"/>
      <w:marLeft w:val="0"/>
      <w:marRight w:val="0"/>
      <w:marTop w:val="0"/>
      <w:marBottom w:val="0"/>
      <w:divBdr>
        <w:top w:val="none" w:sz="0" w:space="0" w:color="auto"/>
        <w:left w:val="none" w:sz="0" w:space="0" w:color="auto"/>
        <w:bottom w:val="none" w:sz="0" w:space="0" w:color="auto"/>
        <w:right w:val="none" w:sz="0" w:space="0" w:color="auto"/>
      </w:divBdr>
    </w:div>
    <w:div w:id="1429694291">
      <w:bodyDiv w:val="1"/>
      <w:marLeft w:val="0"/>
      <w:marRight w:val="0"/>
      <w:marTop w:val="0"/>
      <w:marBottom w:val="0"/>
      <w:divBdr>
        <w:top w:val="none" w:sz="0" w:space="0" w:color="auto"/>
        <w:left w:val="none" w:sz="0" w:space="0" w:color="auto"/>
        <w:bottom w:val="none" w:sz="0" w:space="0" w:color="auto"/>
        <w:right w:val="none" w:sz="0" w:space="0" w:color="auto"/>
      </w:divBdr>
    </w:div>
    <w:div w:id="1430420429">
      <w:bodyDiv w:val="1"/>
      <w:marLeft w:val="0"/>
      <w:marRight w:val="0"/>
      <w:marTop w:val="0"/>
      <w:marBottom w:val="0"/>
      <w:divBdr>
        <w:top w:val="none" w:sz="0" w:space="0" w:color="auto"/>
        <w:left w:val="none" w:sz="0" w:space="0" w:color="auto"/>
        <w:bottom w:val="none" w:sz="0" w:space="0" w:color="auto"/>
        <w:right w:val="none" w:sz="0" w:space="0" w:color="auto"/>
      </w:divBdr>
    </w:div>
    <w:div w:id="1461341093">
      <w:bodyDiv w:val="1"/>
      <w:marLeft w:val="0"/>
      <w:marRight w:val="0"/>
      <w:marTop w:val="0"/>
      <w:marBottom w:val="0"/>
      <w:divBdr>
        <w:top w:val="none" w:sz="0" w:space="0" w:color="auto"/>
        <w:left w:val="none" w:sz="0" w:space="0" w:color="auto"/>
        <w:bottom w:val="none" w:sz="0" w:space="0" w:color="auto"/>
        <w:right w:val="none" w:sz="0" w:space="0" w:color="auto"/>
      </w:divBdr>
    </w:div>
    <w:div w:id="1468546754">
      <w:bodyDiv w:val="1"/>
      <w:marLeft w:val="0"/>
      <w:marRight w:val="0"/>
      <w:marTop w:val="0"/>
      <w:marBottom w:val="0"/>
      <w:divBdr>
        <w:top w:val="none" w:sz="0" w:space="0" w:color="auto"/>
        <w:left w:val="none" w:sz="0" w:space="0" w:color="auto"/>
        <w:bottom w:val="none" w:sz="0" w:space="0" w:color="auto"/>
        <w:right w:val="none" w:sz="0" w:space="0" w:color="auto"/>
      </w:divBdr>
    </w:div>
    <w:div w:id="1493332429">
      <w:bodyDiv w:val="1"/>
      <w:marLeft w:val="0"/>
      <w:marRight w:val="0"/>
      <w:marTop w:val="0"/>
      <w:marBottom w:val="0"/>
      <w:divBdr>
        <w:top w:val="none" w:sz="0" w:space="0" w:color="auto"/>
        <w:left w:val="none" w:sz="0" w:space="0" w:color="auto"/>
        <w:bottom w:val="none" w:sz="0" w:space="0" w:color="auto"/>
        <w:right w:val="none" w:sz="0" w:space="0" w:color="auto"/>
      </w:divBdr>
    </w:div>
    <w:div w:id="1507793962">
      <w:bodyDiv w:val="1"/>
      <w:marLeft w:val="0"/>
      <w:marRight w:val="0"/>
      <w:marTop w:val="0"/>
      <w:marBottom w:val="0"/>
      <w:divBdr>
        <w:top w:val="none" w:sz="0" w:space="0" w:color="auto"/>
        <w:left w:val="none" w:sz="0" w:space="0" w:color="auto"/>
        <w:bottom w:val="none" w:sz="0" w:space="0" w:color="auto"/>
        <w:right w:val="none" w:sz="0" w:space="0" w:color="auto"/>
      </w:divBdr>
    </w:div>
    <w:div w:id="1594124303">
      <w:bodyDiv w:val="1"/>
      <w:marLeft w:val="0"/>
      <w:marRight w:val="0"/>
      <w:marTop w:val="0"/>
      <w:marBottom w:val="0"/>
      <w:divBdr>
        <w:top w:val="none" w:sz="0" w:space="0" w:color="auto"/>
        <w:left w:val="none" w:sz="0" w:space="0" w:color="auto"/>
        <w:bottom w:val="none" w:sz="0" w:space="0" w:color="auto"/>
        <w:right w:val="none" w:sz="0" w:space="0" w:color="auto"/>
      </w:divBdr>
    </w:div>
    <w:div w:id="1611013285">
      <w:bodyDiv w:val="1"/>
      <w:marLeft w:val="0"/>
      <w:marRight w:val="0"/>
      <w:marTop w:val="0"/>
      <w:marBottom w:val="0"/>
      <w:divBdr>
        <w:top w:val="none" w:sz="0" w:space="0" w:color="auto"/>
        <w:left w:val="none" w:sz="0" w:space="0" w:color="auto"/>
        <w:bottom w:val="none" w:sz="0" w:space="0" w:color="auto"/>
        <w:right w:val="none" w:sz="0" w:space="0" w:color="auto"/>
      </w:divBdr>
    </w:div>
    <w:div w:id="1615209440">
      <w:bodyDiv w:val="1"/>
      <w:marLeft w:val="0"/>
      <w:marRight w:val="0"/>
      <w:marTop w:val="0"/>
      <w:marBottom w:val="0"/>
      <w:divBdr>
        <w:top w:val="none" w:sz="0" w:space="0" w:color="auto"/>
        <w:left w:val="none" w:sz="0" w:space="0" w:color="auto"/>
        <w:bottom w:val="none" w:sz="0" w:space="0" w:color="auto"/>
        <w:right w:val="none" w:sz="0" w:space="0" w:color="auto"/>
      </w:divBdr>
    </w:div>
    <w:div w:id="1639795843">
      <w:bodyDiv w:val="1"/>
      <w:marLeft w:val="0"/>
      <w:marRight w:val="0"/>
      <w:marTop w:val="0"/>
      <w:marBottom w:val="0"/>
      <w:divBdr>
        <w:top w:val="none" w:sz="0" w:space="0" w:color="auto"/>
        <w:left w:val="none" w:sz="0" w:space="0" w:color="auto"/>
        <w:bottom w:val="none" w:sz="0" w:space="0" w:color="auto"/>
        <w:right w:val="none" w:sz="0" w:space="0" w:color="auto"/>
      </w:divBdr>
    </w:div>
    <w:div w:id="1645811258">
      <w:bodyDiv w:val="1"/>
      <w:marLeft w:val="0"/>
      <w:marRight w:val="0"/>
      <w:marTop w:val="0"/>
      <w:marBottom w:val="0"/>
      <w:divBdr>
        <w:top w:val="none" w:sz="0" w:space="0" w:color="auto"/>
        <w:left w:val="none" w:sz="0" w:space="0" w:color="auto"/>
        <w:bottom w:val="none" w:sz="0" w:space="0" w:color="auto"/>
        <w:right w:val="none" w:sz="0" w:space="0" w:color="auto"/>
      </w:divBdr>
    </w:div>
    <w:div w:id="1651712236">
      <w:bodyDiv w:val="1"/>
      <w:marLeft w:val="0"/>
      <w:marRight w:val="0"/>
      <w:marTop w:val="0"/>
      <w:marBottom w:val="0"/>
      <w:divBdr>
        <w:top w:val="none" w:sz="0" w:space="0" w:color="auto"/>
        <w:left w:val="none" w:sz="0" w:space="0" w:color="auto"/>
        <w:bottom w:val="none" w:sz="0" w:space="0" w:color="auto"/>
        <w:right w:val="none" w:sz="0" w:space="0" w:color="auto"/>
      </w:divBdr>
    </w:div>
    <w:div w:id="1674604773">
      <w:bodyDiv w:val="1"/>
      <w:marLeft w:val="0"/>
      <w:marRight w:val="0"/>
      <w:marTop w:val="0"/>
      <w:marBottom w:val="0"/>
      <w:divBdr>
        <w:top w:val="none" w:sz="0" w:space="0" w:color="auto"/>
        <w:left w:val="none" w:sz="0" w:space="0" w:color="auto"/>
        <w:bottom w:val="none" w:sz="0" w:space="0" w:color="auto"/>
        <w:right w:val="none" w:sz="0" w:space="0" w:color="auto"/>
      </w:divBdr>
    </w:div>
    <w:div w:id="1694334174">
      <w:bodyDiv w:val="1"/>
      <w:marLeft w:val="0"/>
      <w:marRight w:val="0"/>
      <w:marTop w:val="0"/>
      <w:marBottom w:val="0"/>
      <w:divBdr>
        <w:top w:val="none" w:sz="0" w:space="0" w:color="auto"/>
        <w:left w:val="none" w:sz="0" w:space="0" w:color="auto"/>
        <w:bottom w:val="none" w:sz="0" w:space="0" w:color="auto"/>
        <w:right w:val="none" w:sz="0" w:space="0" w:color="auto"/>
      </w:divBdr>
    </w:div>
    <w:div w:id="1702977027">
      <w:bodyDiv w:val="1"/>
      <w:marLeft w:val="0"/>
      <w:marRight w:val="0"/>
      <w:marTop w:val="0"/>
      <w:marBottom w:val="0"/>
      <w:divBdr>
        <w:top w:val="none" w:sz="0" w:space="0" w:color="auto"/>
        <w:left w:val="none" w:sz="0" w:space="0" w:color="auto"/>
        <w:bottom w:val="none" w:sz="0" w:space="0" w:color="auto"/>
        <w:right w:val="none" w:sz="0" w:space="0" w:color="auto"/>
      </w:divBdr>
    </w:div>
    <w:div w:id="1714771540">
      <w:bodyDiv w:val="1"/>
      <w:marLeft w:val="0"/>
      <w:marRight w:val="0"/>
      <w:marTop w:val="0"/>
      <w:marBottom w:val="0"/>
      <w:divBdr>
        <w:top w:val="none" w:sz="0" w:space="0" w:color="auto"/>
        <w:left w:val="none" w:sz="0" w:space="0" w:color="auto"/>
        <w:bottom w:val="none" w:sz="0" w:space="0" w:color="auto"/>
        <w:right w:val="none" w:sz="0" w:space="0" w:color="auto"/>
      </w:divBdr>
    </w:div>
    <w:div w:id="1717970674">
      <w:bodyDiv w:val="1"/>
      <w:marLeft w:val="0"/>
      <w:marRight w:val="0"/>
      <w:marTop w:val="0"/>
      <w:marBottom w:val="0"/>
      <w:divBdr>
        <w:top w:val="none" w:sz="0" w:space="0" w:color="auto"/>
        <w:left w:val="none" w:sz="0" w:space="0" w:color="auto"/>
        <w:bottom w:val="none" w:sz="0" w:space="0" w:color="auto"/>
        <w:right w:val="none" w:sz="0" w:space="0" w:color="auto"/>
      </w:divBdr>
    </w:div>
    <w:div w:id="1718627999">
      <w:bodyDiv w:val="1"/>
      <w:marLeft w:val="0"/>
      <w:marRight w:val="0"/>
      <w:marTop w:val="0"/>
      <w:marBottom w:val="0"/>
      <w:divBdr>
        <w:top w:val="none" w:sz="0" w:space="0" w:color="auto"/>
        <w:left w:val="none" w:sz="0" w:space="0" w:color="auto"/>
        <w:bottom w:val="none" w:sz="0" w:space="0" w:color="auto"/>
        <w:right w:val="none" w:sz="0" w:space="0" w:color="auto"/>
      </w:divBdr>
    </w:div>
    <w:div w:id="1760364207">
      <w:bodyDiv w:val="1"/>
      <w:marLeft w:val="0"/>
      <w:marRight w:val="0"/>
      <w:marTop w:val="0"/>
      <w:marBottom w:val="0"/>
      <w:divBdr>
        <w:top w:val="none" w:sz="0" w:space="0" w:color="auto"/>
        <w:left w:val="none" w:sz="0" w:space="0" w:color="auto"/>
        <w:bottom w:val="none" w:sz="0" w:space="0" w:color="auto"/>
        <w:right w:val="none" w:sz="0" w:space="0" w:color="auto"/>
      </w:divBdr>
    </w:div>
    <w:div w:id="1788500207">
      <w:bodyDiv w:val="1"/>
      <w:marLeft w:val="0"/>
      <w:marRight w:val="0"/>
      <w:marTop w:val="0"/>
      <w:marBottom w:val="0"/>
      <w:divBdr>
        <w:top w:val="none" w:sz="0" w:space="0" w:color="auto"/>
        <w:left w:val="none" w:sz="0" w:space="0" w:color="auto"/>
        <w:bottom w:val="none" w:sz="0" w:space="0" w:color="auto"/>
        <w:right w:val="none" w:sz="0" w:space="0" w:color="auto"/>
      </w:divBdr>
    </w:div>
    <w:div w:id="1791583748">
      <w:bodyDiv w:val="1"/>
      <w:marLeft w:val="0"/>
      <w:marRight w:val="0"/>
      <w:marTop w:val="0"/>
      <w:marBottom w:val="0"/>
      <w:divBdr>
        <w:top w:val="none" w:sz="0" w:space="0" w:color="auto"/>
        <w:left w:val="none" w:sz="0" w:space="0" w:color="auto"/>
        <w:bottom w:val="none" w:sz="0" w:space="0" w:color="auto"/>
        <w:right w:val="none" w:sz="0" w:space="0" w:color="auto"/>
      </w:divBdr>
    </w:div>
    <w:div w:id="1820268103">
      <w:bodyDiv w:val="1"/>
      <w:marLeft w:val="0"/>
      <w:marRight w:val="0"/>
      <w:marTop w:val="0"/>
      <w:marBottom w:val="0"/>
      <w:divBdr>
        <w:top w:val="none" w:sz="0" w:space="0" w:color="auto"/>
        <w:left w:val="none" w:sz="0" w:space="0" w:color="auto"/>
        <w:bottom w:val="none" w:sz="0" w:space="0" w:color="auto"/>
        <w:right w:val="none" w:sz="0" w:space="0" w:color="auto"/>
      </w:divBdr>
    </w:div>
    <w:div w:id="1865365934">
      <w:bodyDiv w:val="1"/>
      <w:marLeft w:val="0"/>
      <w:marRight w:val="0"/>
      <w:marTop w:val="0"/>
      <w:marBottom w:val="0"/>
      <w:divBdr>
        <w:top w:val="none" w:sz="0" w:space="0" w:color="auto"/>
        <w:left w:val="none" w:sz="0" w:space="0" w:color="auto"/>
        <w:bottom w:val="none" w:sz="0" w:space="0" w:color="auto"/>
        <w:right w:val="none" w:sz="0" w:space="0" w:color="auto"/>
      </w:divBdr>
    </w:div>
    <w:div w:id="1870605754">
      <w:bodyDiv w:val="1"/>
      <w:marLeft w:val="0"/>
      <w:marRight w:val="0"/>
      <w:marTop w:val="0"/>
      <w:marBottom w:val="0"/>
      <w:divBdr>
        <w:top w:val="none" w:sz="0" w:space="0" w:color="auto"/>
        <w:left w:val="none" w:sz="0" w:space="0" w:color="auto"/>
        <w:bottom w:val="none" w:sz="0" w:space="0" w:color="auto"/>
        <w:right w:val="none" w:sz="0" w:space="0" w:color="auto"/>
      </w:divBdr>
    </w:div>
    <w:div w:id="1871601511">
      <w:bodyDiv w:val="1"/>
      <w:marLeft w:val="0"/>
      <w:marRight w:val="0"/>
      <w:marTop w:val="0"/>
      <w:marBottom w:val="0"/>
      <w:divBdr>
        <w:top w:val="none" w:sz="0" w:space="0" w:color="auto"/>
        <w:left w:val="none" w:sz="0" w:space="0" w:color="auto"/>
        <w:bottom w:val="none" w:sz="0" w:space="0" w:color="auto"/>
        <w:right w:val="none" w:sz="0" w:space="0" w:color="auto"/>
      </w:divBdr>
    </w:div>
    <w:div w:id="1914509998">
      <w:bodyDiv w:val="1"/>
      <w:marLeft w:val="0"/>
      <w:marRight w:val="0"/>
      <w:marTop w:val="0"/>
      <w:marBottom w:val="0"/>
      <w:divBdr>
        <w:top w:val="none" w:sz="0" w:space="0" w:color="auto"/>
        <w:left w:val="none" w:sz="0" w:space="0" w:color="auto"/>
        <w:bottom w:val="none" w:sz="0" w:space="0" w:color="auto"/>
        <w:right w:val="none" w:sz="0" w:space="0" w:color="auto"/>
      </w:divBdr>
    </w:div>
    <w:div w:id="1919703644">
      <w:bodyDiv w:val="1"/>
      <w:marLeft w:val="0"/>
      <w:marRight w:val="0"/>
      <w:marTop w:val="0"/>
      <w:marBottom w:val="0"/>
      <w:divBdr>
        <w:top w:val="none" w:sz="0" w:space="0" w:color="auto"/>
        <w:left w:val="none" w:sz="0" w:space="0" w:color="auto"/>
        <w:bottom w:val="none" w:sz="0" w:space="0" w:color="auto"/>
        <w:right w:val="none" w:sz="0" w:space="0" w:color="auto"/>
      </w:divBdr>
    </w:div>
    <w:div w:id="1963149470">
      <w:bodyDiv w:val="1"/>
      <w:marLeft w:val="0"/>
      <w:marRight w:val="0"/>
      <w:marTop w:val="0"/>
      <w:marBottom w:val="0"/>
      <w:divBdr>
        <w:top w:val="none" w:sz="0" w:space="0" w:color="auto"/>
        <w:left w:val="none" w:sz="0" w:space="0" w:color="auto"/>
        <w:bottom w:val="none" w:sz="0" w:space="0" w:color="auto"/>
        <w:right w:val="none" w:sz="0" w:space="0" w:color="auto"/>
      </w:divBdr>
    </w:div>
    <w:div w:id="1981298860">
      <w:bodyDiv w:val="1"/>
      <w:marLeft w:val="0"/>
      <w:marRight w:val="0"/>
      <w:marTop w:val="0"/>
      <w:marBottom w:val="0"/>
      <w:divBdr>
        <w:top w:val="none" w:sz="0" w:space="0" w:color="auto"/>
        <w:left w:val="none" w:sz="0" w:space="0" w:color="auto"/>
        <w:bottom w:val="none" w:sz="0" w:space="0" w:color="auto"/>
        <w:right w:val="none" w:sz="0" w:space="0" w:color="auto"/>
      </w:divBdr>
    </w:div>
    <w:div w:id="2027242316">
      <w:bodyDiv w:val="1"/>
      <w:marLeft w:val="0"/>
      <w:marRight w:val="0"/>
      <w:marTop w:val="0"/>
      <w:marBottom w:val="0"/>
      <w:divBdr>
        <w:top w:val="none" w:sz="0" w:space="0" w:color="auto"/>
        <w:left w:val="none" w:sz="0" w:space="0" w:color="auto"/>
        <w:bottom w:val="none" w:sz="0" w:space="0" w:color="auto"/>
        <w:right w:val="none" w:sz="0" w:space="0" w:color="auto"/>
      </w:divBdr>
    </w:div>
    <w:div w:id="2029721901">
      <w:bodyDiv w:val="1"/>
      <w:marLeft w:val="0"/>
      <w:marRight w:val="0"/>
      <w:marTop w:val="0"/>
      <w:marBottom w:val="0"/>
      <w:divBdr>
        <w:top w:val="none" w:sz="0" w:space="0" w:color="auto"/>
        <w:left w:val="none" w:sz="0" w:space="0" w:color="auto"/>
        <w:bottom w:val="none" w:sz="0" w:space="0" w:color="auto"/>
        <w:right w:val="none" w:sz="0" w:space="0" w:color="auto"/>
      </w:divBdr>
    </w:div>
    <w:div w:id="2135370551">
      <w:bodyDiv w:val="1"/>
      <w:marLeft w:val="0"/>
      <w:marRight w:val="0"/>
      <w:marTop w:val="0"/>
      <w:marBottom w:val="0"/>
      <w:divBdr>
        <w:top w:val="none" w:sz="0" w:space="0" w:color="auto"/>
        <w:left w:val="none" w:sz="0" w:space="0" w:color="auto"/>
        <w:bottom w:val="none" w:sz="0" w:space="0" w:color="auto"/>
        <w:right w:val="none" w:sz="0" w:space="0" w:color="auto"/>
      </w:divBdr>
      <w:divsChild>
        <w:div w:id="482041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medicines.org.uk/emc/product/14659/smpc"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nwmedinfo@nhs.net?subject=New%20Medicines%20Newslett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s.nhs.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hyperlink" Target="http://www.ukmi.nhs.uk/nd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nwmedinfo@nhs.net?subject=New%20Medicines%20Newslette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nwmedinfo@nhs.net?subject=New%20Medicines%20Newslett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https://www.sps.nhs.uk/articles/sps-horizon-scanning/" TargetMode="External"/><Relationship Id="rId2" Type="http://schemas.openxmlformats.org/officeDocument/2006/relationships/image" Target="media/image5.png"/><Relationship Id="rId1" Type="http://schemas.openxmlformats.org/officeDocument/2006/relationships/image" Target="media/image3.jpeg"/><Relationship Id="rId4" Type="http://schemas.openxmlformats.org/officeDocument/2006/relationships/hyperlink" Target="https://www.sps.nhs.uk/home/planning/annual-medicines-planning/" TargetMode="External"/></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c6437e3-65b5-4a7b-a123-cc0b1a712dbe" xsi:nil="true"/>
    <Checker xmlns="bc6437e3-65b5-4a7b-a123-cc0b1a712dbe">
      <UserInfo>
        <DisplayName/>
        <AccountId xsi:nil="true"/>
        <AccountType/>
      </UserInfo>
    </Checker>
    <TaxCatchAll xmlns="9930fb2e-2b64-4524-8d19-1f206af19760" xsi:nil="true"/>
    <lcf76f155ced4ddcb4097134ff3c332f xmlns="bc6437e3-65b5-4a7b-a123-cc0b1a712dbe">
      <Terms xmlns="http://schemas.microsoft.com/office/infopath/2007/PartnerControls"/>
    </lcf76f155ced4ddcb4097134ff3c332f>
    <_Flow_SignoffStatus xmlns="bc6437e3-65b5-4a7b-a123-cc0b1a712d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9F8181707A014BAADECFD0EF2EB9F0" ma:contentTypeVersion="17" ma:contentTypeDescription="Create a new document." ma:contentTypeScope="" ma:versionID="d649950a5bda45bd2e869b4ea2fa5a66">
  <xsd:schema xmlns:xsd="http://www.w3.org/2001/XMLSchema" xmlns:xs="http://www.w3.org/2001/XMLSchema" xmlns:p="http://schemas.microsoft.com/office/2006/metadata/properties" xmlns:ns2="bc6437e3-65b5-4a7b-a123-cc0b1a712dbe" xmlns:ns3="9930fb2e-2b64-4524-8d19-1f206af19760" targetNamespace="http://schemas.microsoft.com/office/2006/metadata/properties" ma:root="true" ma:fieldsID="7c05c2e963fe55e0bd9bce4d8261abcf" ns2:_="" ns3:_="">
    <xsd:import namespace="bc6437e3-65b5-4a7b-a123-cc0b1a712dbe"/>
    <xsd:import namespace="9930fb2e-2b64-4524-8d19-1f206af19760"/>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element ref="ns2:MediaServiceObjectDetectorVersions" minOccurs="0"/>
                <xsd:element ref="ns2:Checker"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437e3-65b5-4a7b-a123-cc0b1a712dbe"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Draft complete"/>
          <xsd:enumeration value="Draft screened"/>
          <xsd:enumeration value="Draft ready for check"/>
          <xsd:enumeration value="Draft checked"/>
          <xsd:enumeration value="Draft finalis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Checker" ma:index="13" nillable="true" ma:displayName="Checker" ma:format="Dropdown" ma:list="UserInfo" ma:SharePointGroup="0" ma:internalName="Chec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bbe51-9dae-4c22-8e8f-1dcfaba2806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30fb2e-2b64-4524-8d19-1f206af1976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974dfa-c764-4829-9cd5-f0d2f4cc9654}" ma:internalName="TaxCatchAll" ma:showField="CatchAllData" ma:web="9930fb2e-2b64-4524-8d19-1f206af19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1869-6A80-4380-B4C8-BDFECDE465A6}">
  <ds:schemaRefs>
    <ds:schemaRef ds:uri="http://schemas.microsoft.com/sharepoint/v3/contenttype/forms"/>
  </ds:schemaRefs>
</ds:datastoreItem>
</file>

<file path=customXml/itemProps2.xml><?xml version="1.0" encoding="utf-8"?>
<ds:datastoreItem xmlns:ds="http://schemas.openxmlformats.org/officeDocument/2006/customXml" ds:itemID="{1EB4F6B2-13C0-4835-BE83-75A0D0B4856D}">
  <ds:schemaRefs>
    <ds:schemaRef ds:uri="http://schemas.microsoft.com/office/2006/metadata/properties"/>
    <ds:schemaRef ds:uri="http://schemas.microsoft.com/office/infopath/2007/PartnerControls"/>
    <ds:schemaRef ds:uri="bc6437e3-65b5-4a7b-a123-cc0b1a712dbe"/>
    <ds:schemaRef ds:uri="9930fb2e-2b64-4524-8d19-1f206af19760"/>
  </ds:schemaRefs>
</ds:datastoreItem>
</file>

<file path=customXml/itemProps3.xml><?xml version="1.0" encoding="utf-8"?>
<ds:datastoreItem xmlns:ds="http://schemas.openxmlformats.org/officeDocument/2006/customXml" ds:itemID="{32A144AF-10D0-4936-B281-DDECC4E9C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437e3-65b5-4a7b-a123-cc0b1a712dbe"/>
    <ds:schemaRef ds:uri="9930fb2e-2b64-4524-8d19-1f206af19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F6E074-DAC3-464B-8E55-384774156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5</Pages>
  <Words>2530</Words>
  <Characters>15691</Characters>
  <Application>Microsoft Office Word</Application>
  <DocSecurity>0</DocSecurity>
  <Lines>412</Lines>
  <Paragraphs>222</Paragraphs>
  <ScaleCrop>false</ScaleCrop>
  <HeadingPairs>
    <vt:vector size="2" baseType="variant">
      <vt:variant>
        <vt:lpstr>Title</vt:lpstr>
      </vt:variant>
      <vt:variant>
        <vt:i4>1</vt:i4>
      </vt:variant>
    </vt:vector>
  </HeadingPairs>
  <TitlesOfParts>
    <vt:vector size="1" baseType="lpstr">
      <vt:lpstr>NDO home | Contact | Register for NDO access</vt:lpstr>
    </vt:vector>
  </TitlesOfParts>
  <Company>NMHIS</Company>
  <LinksUpToDate>false</LinksUpToDate>
  <CharactersWithSpaces>17999</CharactersWithSpaces>
  <SharedDoc>false</SharedDoc>
  <HLinks>
    <vt:vector size="498" baseType="variant">
      <vt:variant>
        <vt:i4>458841</vt:i4>
      </vt:variant>
      <vt:variant>
        <vt:i4>228</vt:i4>
      </vt:variant>
      <vt:variant>
        <vt:i4>0</vt:i4>
      </vt:variant>
      <vt:variant>
        <vt:i4>5</vt:i4>
      </vt:variant>
      <vt:variant>
        <vt:lpwstr>https://www.sps.nhs.uk/medicines/zuranolone/</vt:lpwstr>
      </vt:variant>
      <vt:variant>
        <vt:lpwstr/>
      </vt:variant>
      <vt:variant>
        <vt:i4>7602219</vt:i4>
      </vt:variant>
      <vt:variant>
        <vt:i4>225</vt:i4>
      </vt:variant>
      <vt:variant>
        <vt:i4>0</vt:i4>
      </vt:variant>
      <vt:variant>
        <vt:i4>5</vt:i4>
      </vt:variant>
      <vt:variant>
        <vt:lpwstr>https://www.sps.nhs.uk/medicines/zoliflodacin/</vt:lpwstr>
      </vt:variant>
      <vt:variant>
        <vt:lpwstr/>
      </vt:variant>
      <vt:variant>
        <vt:i4>8323111</vt:i4>
      </vt:variant>
      <vt:variant>
        <vt:i4>222</vt:i4>
      </vt:variant>
      <vt:variant>
        <vt:i4>0</vt:i4>
      </vt:variant>
      <vt:variant>
        <vt:i4>5</vt:i4>
      </vt:variant>
      <vt:variant>
        <vt:lpwstr>https://www.sps.nhs.uk/medicines/upadacitinib/</vt:lpwstr>
      </vt:variant>
      <vt:variant>
        <vt:lpwstr/>
      </vt:variant>
      <vt:variant>
        <vt:i4>5570648</vt:i4>
      </vt:variant>
      <vt:variant>
        <vt:i4>219</vt:i4>
      </vt:variant>
      <vt:variant>
        <vt:i4>0</vt:i4>
      </vt:variant>
      <vt:variant>
        <vt:i4>5</vt:i4>
      </vt:variant>
      <vt:variant>
        <vt:lpwstr>https://www.sps.nhs.uk/medicines/sep-363856/</vt:lpwstr>
      </vt:variant>
      <vt:variant>
        <vt:lpwstr/>
      </vt:variant>
      <vt:variant>
        <vt:i4>131160</vt:i4>
      </vt:variant>
      <vt:variant>
        <vt:i4>216</vt:i4>
      </vt:variant>
      <vt:variant>
        <vt:i4>0</vt:i4>
      </vt:variant>
      <vt:variant>
        <vt:i4>5</vt:i4>
      </vt:variant>
      <vt:variant>
        <vt:lpwstr>https://www.sps.nhs.uk/medicines/padesvonil/</vt:lpwstr>
      </vt:variant>
      <vt:variant>
        <vt:lpwstr/>
      </vt:variant>
      <vt:variant>
        <vt:i4>4456520</vt:i4>
      </vt:variant>
      <vt:variant>
        <vt:i4>213</vt:i4>
      </vt:variant>
      <vt:variant>
        <vt:i4>0</vt:i4>
      </vt:variant>
      <vt:variant>
        <vt:i4>5</vt:i4>
      </vt:variant>
      <vt:variant>
        <vt:lpwstr>https://www.sps.nhs.uk/medicines/opiranserin/</vt:lpwstr>
      </vt:variant>
      <vt:variant>
        <vt:lpwstr/>
      </vt:variant>
      <vt:variant>
        <vt:i4>2555944</vt:i4>
      </vt:variant>
      <vt:variant>
        <vt:i4>210</vt:i4>
      </vt:variant>
      <vt:variant>
        <vt:i4>0</vt:i4>
      </vt:variant>
      <vt:variant>
        <vt:i4>5</vt:i4>
      </vt:variant>
      <vt:variant>
        <vt:lpwstr>https://www.sps.nhs.uk/medicines/mitapivat/</vt:lpwstr>
      </vt:variant>
      <vt:variant>
        <vt:lpwstr/>
      </vt:variant>
      <vt:variant>
        <vt:i4>393288</vt:i4>
      </vt:variant>
      <vt:variant>
        <vt:i4>207</vt:i4>
      </vt:variant>
      <vt:variant>
        <vt:i4>0</vt:i4>
      </vt:variant>
      <vt:variant>
        <vt:i4>5</vt:i4>
      </vt:variant>
      <vt:variant>
        <vt:lpwstr>https://www.sps.nhs.uk/medicines/linzagolix/</vt:lpwstr>
      </vt:variant>
      <vt:variant>
        <vt:lpwstr/>
      </vt:variant>
      <vt:variant>
        <vt:i4>3604520</vt:i4>
      </vt:variant>
      <vt:variant>
        <vt:i4>204</vt:i4>
      </vt:variant>
      <vt:variant>
        <vt:i4>0</vt:i4>
      </vt:variant>
      <vt:variant>
        <vt:i4>5</vt:i4>
      </vt:variant>
      <vt:variant>
        <vt:lpwstr>https://www.sps.nhs.uk/medicines/leriglitazone/</vt:lpwstr>
      </vt:variant>
      <vt:variant>
        <vt:lpwstr/>
      </vt:variant>
      <vt:variant>
        <vt:i4>7929889</vt:i4>
      </vt:variant>
      <vt:variant>
        <vt:i4>201</vt:i4>
      </vt:variant>
      <vt:variant>
        <vt:i4>0</vt:i4>
      </vt:variant>
      <vt:variant>
        <vt:i4>5</vt:i4>
      </vt:variant>
      <vt:variant>
        <vt:lpwstr>https://www.sps.nhs.uk/medicines/lebrikizumab/</vt:lpwstr>
      </vt:variant>
      <vt:variant>
        <vt:lpwstr/>
      </vt:variant>
      <vt:variant>
        <vt:i4>524381</vt:i4>
      </vt:variant>
      <vt:variant>
        <vt:i4>198</vt:i4>
      </vt:variant>
      <vt:variant>
        <vt:i4>0</vt:i4>
      </vt:variant>
      <vt:variant>
        <vt:i4>5</vt:i4>
      </vt:variant>
      <vt:variant>
        <vt:lpwstr>https://www.sps.nhs.uk/medicines/glatiramer/</vt:lpwstr>
      </vt:variant>
      <vt:variant>
        <vt:lpwstr/>
      </vt:variant>
      <vt:variant>
        <vt:i4>5832790</vt:i4>
      </vt:variant>
      <vt:variant>
        <vt:i4>195</vt:i4>
      </vt:variant>
      <vt:variant>
        <vt:i4>0</vt:i4>
      </vt:variant>
      <vt:variant>
        <vt:i4>5</vt:i4>
      </vt:variant>
      <vt:variant>
        <vt:lpwstr>https://www.sps.nhs.uk/medicines/fcr-001/</vt:lpwstr>
      </vt:variant>
      <vt:variant>
        <vt:lpwstr/>
      </vt:variant>
      <vt:variant>
        <vt:i4>3080232</vt:i4>
      </vt:variant>
      <vt:variant>
        <vt:i4>192</vt:i4>
      </vt:variant>
      <vt:variant>
        <vt:i4>0</vt:i4>
      </vt:variant>
      <vt:variant>
        <vt:i4>5</vt:i4>
      </vt:variant>
      <vt:variant>
        <vt:lpwstr>https://www.sps.nhs.uk/medicines/empagliflozin/</vt:lpwstr>
      </vt:variant>
      <vt:variant>
        <vt:lpwstr/>
      </vt:variant>
      <vt:variant>
        <vt:i4>2752551</vt:i4>
      </vt:variant>
      <vt:variant>
        <vt:i4>189</vt:i4>
      </vt:variant>
      <vt:variant>
        <vt:i4>0</vt:i4>
      </vt:variant>
      <vt:variant>
        <vt:i4>5</vt:i4>
      </vt:variant>
      <vt:variant>
        <vt:lpwstr>https://www.sps.nhs.uk/medicines/diazoxide/</vt:lpwstr>
      </vt:variant>
      <vt:variant>
        <vt:lpwstr/>
      </vt:variant>
      <vt:variant>
        <vt:i4>6815782</vt:i4>
      </vt:variant>
      <vt:variant>
        <vt:i4>186</vt:i4>
      </vt:variant>
      <vt:variant>
        <vt:i4>0</vt:i4>
      </vt:variant>
      <vt:variant>
        <vt:i4>5</vt:i4>
      </vt:variant>
      <vt:variant>
        <vt:lpwstr>https://www.sps.nhs.uk/medicines/dasiglucagon/</vt:lpwstr>
      </vt:variant>
      <vt:variant>
        <vt:lpwstr/>
      </vt:variant>
      <vt:variant>
        <vt:i4>4194380</vt:i4>
      </vt:variant>
      <vt:variant>
        <vt:i4>183</vt:i4>
      </vt:variant>
      <vt:variant>
        <vt:i4>0</vt:i4>
      </vt:variant>
      <vt:variant>
        <vt:i4>5</vt:i4>
      </vt:variant>
      <vt:variant>
        <vt:lpwstr>https://www.sps.nhs.uk/medicines/cyclobenzaprine/</vt:lpwstr>
      </vt:variant>
      <vt:variant>
        <vt:lpwstr/>
      </vt:variant>
      <vt:variant>
        <vt:i4>1179733</vt:i4>
      </vt:variant>
      <vt:variant>
        <vt:i4>180</vt:i4>
      </vt:variant>
      <vt:variant>
        <vt:i4>0</vt:i4>
      </vt:variant>
      <vt:variant>
        <vt:i4>5</vt:i4>
      </vt:variant>
      <vt:variant>
        <vt:lpwstr>https://www.sps.nhs.uk/medicines/bumetanide/</vt:lpwstr>
      </vt:variant>
      <vt:variant>
        <vt:lpwstr/>
      </vt:variant>
      <vt:variant>
        <vt:i4>1835099</vt:i4>
      </vt:variant>
      <vt:variant>
        <vt:i4>177</vt:i4>
      </vt:variant>
      <vt:variant>
        <vt:i4>0</vt:i4>
      </vt:variant>
      <vt:variant>
        <vt:i4>5</vt:i4>
      </vt:variant>
      <vt:variant>
        <vt:lpwstr>https://www.sps.nhs.uk/medicines/budesonide/</vt:lpwstr>
      </vt:variant>
      <vt:variant>
        <vt:lpwstr/>
      </vt:variant>
      <vt:variant>
        <vt:i4>1638427</vt:i4>
      </vt:variant>
      <vt:variant>
        <vt:i4>174</vt:i4>
      </vt:variant>
      <vt:variant>
        <vt:i4>0</vt:i4>
      </vt:variant>
      <vt:variant>
        <vt:i4>5</vt:i4>
      </vt:variant>
      <vt:variant>
        <vt:lpwstr>https://www.sps.nhs.uk/medicines/bardoxolone-methyl/</vt:lpwstr>
      </vt:variant>
      <vt:variant>
        <vt:lpwstr/>
      </vt:variant>
      <vt:variant>
        <vt:i4>5767195</vt:i4>
      </vt:variant>
      <vt:variant>
        <vt:i4>171</vt:i4>
      </vt:variant>
      <vt:variant>
        <vt:i4>0</vt:i4>
      </vt:variant>
      <vt:variant>
        <vt:i4>5</vt:i4>
      </vt:variant>
      <vt:variant>
        <vt:lpwstr>https://www.sps.nhs.uk/medicines/autologous-bm-derived-stem-cell-therapy/</vt:lpwstr>
      </vt:variant>
      <vt:variant>
        <vt:lpwstr/>
      </vt:variant>
      <vt:variant>
        <vt:i4>4587591</vt:i4>
      </vt:variant>
      <vt:variant>
        <vt:i4>168</vt:i4>
      </vt:variant>
      <vt:variant>
        <vt:i4>0</vt:i4>
      </vt:variant>
      <vt:variant>
        <vt:i4>5</vt:i4>
      </vt:variant>
      <vt:variant>
        <vt:lpwstr>https://www.sps.nhs.uk/medicines/at-gtx-501/</vt:lpwstr>
      </vt:variant>
      <vt:variant>
        <vt:lpwstr/>
      </vt:variant>
      <vt:variant>
        <vt:i4>7864359</vt:i4>
      </vt:variant>
      <vt:variant>
        <vt:i4>165</vt:i4>
      </vt:variant>
      <vt:variant>
        <vt:i4>0</vt:i4>
      </vt:variant>
      <vt:variant>
        <vt:i4>5</vt:i4>
      </vt:variant>
      <vt:variant>
        <vt:lpwstr>https://www.sps.nhs.uk/medicines/telapristone/</vt:lpwstr>
      </vt:variant>
      <vt:variant>
        <vt:lpwstr/>
      </vt:variant>
      <vt:variant>
        <vt:i4>7864359</vt:i4>
      </vt:variant>
      <vt:variant>
        <vt:i4>162</vt:i4>
      </vt:variant>
      <vt:variant>
        <vt:i4>0</vt:i4>
      </vt:variant>
      <vt:variant>
        <vt:i4>5</vt:i4>
      </vt:variant>
      <vt:variant>
        <vt:lpwstr>https://www.sps.nhs.uk/medicines/telapristone/</vt:lpwstr>
      </vt:variant>
      <vt:variant>
        <vt:lpwstr/>
      </vt:variant>
      <vt:variant>
        <vt:i4>1769490</vt:i4>
      </vt:variant>
      <vt:variant>
        <vt:i4>159</vt:i4>
      </vt:variant>
      <vt:variant>
        <vt:i4>0</vt:i4>
      </vt:variant>
      <vt:variant>
        <vt:i4>5</vt:i4>
      </vt:variant>
      <vt:variant>
        <vt:lpwstr>https://www.sps.nhs.uk/medicines/t-cell-replacement-therapy/</vt:lpwstr>
      </vt:variant>
      <vt:variant>
        <vt:lpwstr/>
      </vt:variant>
      <vt:variant>
        <vt:i4>1245262</vt:i4>
      </vt:variant>
      <vt:variant>
        <vt:i4>156</vt:i4>
      </vt:variant>
      <vt:variant>
        <vt:i4>0</vt:i4>
      </vt:variant>
      <vt:variant>
        <vt:i4>5</vt:i4>
      </vt:variant>
      <vt:variant>
        <vt:lpwstr>https://www.sps.nhs.uk/medicines/salmeterol/</vt:lpwstr>
      </vt:variant>
      <vt:variant>
        <vt:lpwstr/>
      </vt:variant>
      <vt:variant>
        <vt:i4>1966174</vt:i4>
      </vt:variant>
      <vt:variant>
        <vt:i4>153</vt:i4>
      </vt:variant>
      <vt:variant>
        <vt:i4>0</vt:i4>
      </vt:variant>
      <vt:variant>
        <vt:i4>5</vt:i4>
      </vt:variant>
      <vt:variant>
        <vt:lpwstr>https://www.sps.nhs.uk/medicines/rapastinel/</vt:lpwstr>
      </vt:variant>
      <vt:variant>
        <vt:lpwstr/>
      </vt:variant>
      <vt:variant>
        <vt:i4>3276927</vt:i4>
      </vt:variant>
      <vt:variant>
        <vt:i4>150</vt:i4>
      </vt:variant>
      <vt:variant>
        <vt:i4>0</vt:i4>
      </vt:variant>
      <vt:variant>
        <vt:i4>5</vt:i4>
      </vt:variant>
      <vt:variant>
        <vt:lpwstr>https://www.sps.nhs.uk/medicines/pegylated-recombinant-human-hyaluronidase/</vt:lpwstr>
      </vt:variant>
      <vt:variant>
        <vt:lpwstr/>
      </vt:variant>
      <vt:variant>
        <vt:i4>4849741</vt:i4>
      </vt:variant>
      <vt:variant>
        <vt:i4>147</vt:i4>
      </vt:variant>
      <vt:variant>
        <vt:i4>0</vt:i4>
      </vt:variant>
      <vt:variant>
        <vt:i4>5</vt:i4>
      </vt:variant>
      <vt:variant>
        <vt:lpwstr>https://www.sps.nhs.uk/medicines/nilvadipine/</vt:lpwstr>
      </vt:variant>
      <vt:variant>
        <vt:lpwstr/>
      </vt:variant>
      <vt:variant>
        <vt:i4>7798828</vt:i4>
      </vt:variant>
      <vt:variant>
        <vt:i4>144</vt:i4>
      </vt:variant>
      <vt:variant>
        <vt:i4>0</vt:i4>
      </vt:variant>
      <vt:variant>
        <vt:i4>5</vt:i4>
      </vt:variant>
      <vt:variant>
        <vt:lpwstr>https://www.sps.nhs.uk/medicines/naloxone/</vt:lpwstr>
      </vt:variant>
      <vt:variant>
        <vt:lpwstr/>
      </vt:variant>
      <vt:variant>
        <vt:i4>1441887</vt:i4>
      </vt:variant>
      <vt:variant>
        <vt:i4>141</vt:i4>
      </vt:variant>
      <vt:variant>
        <vt:i4>0</vt:i4>
      </vt:variant>
      <vt:variant>
        <vt:i4>5</vt:i4>
      </vt:variant>
      <vt:variant>
        <vt:lpwstr>https://www.sps.nhs.uk/medicines/macitentan/</vt:lpwstr>
      </vt:variant>
      <vt:variant>
        <vt:lpwstr/>
      </vt:variant>
      <vt:variant>
        <vt:i4>6225993</vt:i4>
      </vt:variant>
      <vt:variant>
        <vt:i4>138</vt:i4>
      </vt:variant>
      <vt:variant>
        <vt:i4>0</vt:i4>
      </vt:variant>
      <vt:variant>
        <vt:i4>5</vt:i4>
      </vt:variant>
      <vt:variant>
        <vt:lpwstr>https://www.sps.nhs.uk/medicines/hydroxyprogesterone/</vt:lpwstr>
      </vt:variant>
      <vt:variant>
        <vt:lpwstr/>
      </vt:variant>
      <vt:variant>
        <vt:i4>2687026</vt:i4>
      </vt:variant>
      <vt:variant>
        <vt:i4>135</vt:i4>
      </vt:variant>
      <vt:variant>
        <vt:i4>0</vt:i4>
      </vt:variant>
      <vt:variant>
        <vt:i4>5</vt:i4>
      </vt:variant>
      <vt:variant>
        <vt:lpwstr>https://www.sps.nhs.uk/medicines/ciprofloxacin/</vt:lpwstr>
      </vt:variant>
      <vt:variant>
        <vt:lpwstr/>
      </vt:variant>
      <vt:variant>
        <vt:i4>196702</vt:i4>
      </vt:variant>
      <vt:variant>
        <vt:i4>132</vt:i4>
      </vt:variant>
      <vt:variant>
        <vt:i4>0</vt:i4>
      </vt:variant>
      <vt:variant>
        <vt:i4>5</vt:i4>
      </vt:variant>
      <vt:variant>
        <vt:lpwstr>https://www.sps.nhs.uk/medicines/calcitonin/</vt:lpwstr>
      </vt:variant>
      <vt:variant>
        <vt:lpwstr/>
      </vt:variant>
      <vt:variant>
        <vt:i4>7667749</vt:i4>
      </vt:variant>
      <vt:variant>
        <vt:i4>129</vt:i4>
      </vt:variant>
      <vt:variant>
        <vt:i4>0</vt:i4>
      </vt:variant>
      <vt:variant>
        <vt:i4>5</vt:i4>
      </vt:variant>
      <vt:variant>
        <vt:lpwstr>https://www.sps.nhs.uk/medicines/c1-esterase-inhibitor/</vt:lpwstr>
      </vt:variant>
      <vt:variant>
        <vt:lpwstr/>
      </vt:variant>
      <vt:variant>
        <vt:i4>2490478</vt:i4>
      </vt:variant>
      <vt:variant>
        <vt:i4>126</vt:i4>
      </vt:variant>
      <vt:variant>
        <vt:i4>0</vt:i4>
      </vt:variant>
      <vt:variant>
        <vt:i4>5</vt:i4>
      </vt:variant>
      <vt:variant>
        <vt:lpwstr>https://www.sps.nhs.uk/medicines/buprenorphine-samidorphan/</vt:lpwstr>
      </vt:variant>
      <vt:variant>
        <vt:lpwstr/>
      </vt:variant>
      <vt:variant>
        <vt:i4>2621493</vt:i4>
      </vt:variant>
      <vt:variant>
        <vt:i4>123</vt:i4>
      </vt:variant>
      <vt:variant>
        <vt:i4>0</vt:i4>
      </vt:variant>
      <vt:variant>
        <vt:i4>5</vt:i4>
      </vt:variant>
      <vt:variant>
        <vt:lpwstr>https://www.sps.nhs.uk/medicines/buprenorphine/</vt:lpwstr>
      </vt:variant>
      <vt:variant>
        <vt:lpwstr/>
      </vt:variant>
      <vt:variant>
        <vt:i4>3538984</vt:i4>
      </vt:variant>
      <vt:variant>
        <vt:i4>120</vt:i4>
      </vt:variant>
      <vt:variant>
        <vt:i4>0</vt:i4>
      </vt:variant>
      <vt:variant>
        <vt:i4>5</vt:i4>
      </vt:variant>
      <vt:variant>
        <vt:lpwstr>https://www.sps.nhs.uk/medicines/botulinum-a-toxin/</vt:lpwstr>
      </vt:variant>
      <vt:variant>
        <vt:lpwstr/>
      </vt:variant>
      <vt:variant>
        <vt:i4>458843</vt:i4>
      </vt:variant>
      <vt:variant>
        <vt:i4>117</vt:i4>
      </vt:variant>
      <vt:variant>
        <vt:i4>0</vt:i4>
      </vt:variant>
      <vt:variant>
        <vt:i4>5</vt:i4>
      </vt:variant>
      <vt:variant>
        <vt:lpwstr>https://www.sps.nhs.uk/medicines/biotin/</vt:lpwstr>
      </vt:variant>
      <vt:variant>
        <vt:lpwstr/>
      </vt:variant>
      <vt:variant>
        <vt:i4>3145761</vt:i4>
      </vt:variant>
      <vt:variant>
        <vt:i4>114</vt:i4>
      </vt:variant>
      <vt:variant>
        <vt:i4>0</vt:i4>
      </vt:variant>
      <vt:variant>
        <vt:i4>5</vt:i4>
      </vt:variant>
      <vt:variant>
        <vt:lpwstr>https://www.sps.nhs.uk/medicines/arbaclofen-placarbil/</vt:lpwstr>
      </vt:variant>
      <vt:variant>
        <vt:lpwstr/>
      </vt:variant>
      <vt:variant>
        <vt:i4>1572889</vt:i4>
      </vt:variant>
      <vt:variant>
        <vt:i4>111</vt:i4>
      </vt:variant>
      <vt:variant>
        <vt:i4>0</vt:i4>
      </vt:variant>
      <vt:variant>
        <vt:i4>5</vt:i4>
      </vt:variant>
      <vt:variant>
        <vt:lpwstr>https://www.sps.nhs.uk/medicines/valoctocogene-roxaparvovec/</vt:lpwstr>
      </vt:variant>
      <vt:variant>
        <vt:lpwstr/>
      </vt:variant>
      <vt:variant>
        <vt:i4>2031697</vt:i4>
      </vt:variant>
      <vt:variant>
        <vt:i4>108</vt:i4>
      </vt:variant>
      <vt:variant>
        <vt:i4>0</vt:i4>
      </vt:variant>
      <vt:variant>
        <vt:i4>5</vt:i4>
      </vt:variant>
      <vt:variant>
        <vt:lpwstr>https://www.sps.nhs.uk/medicines/meningococcal-groups-a-c-w135-y-vaccine/</vt:lpwstr>
      </vt:variant>
      <vt:variant>
        <vt:lpwstr/>
      </vt:variant>
      <vt:variant>
        <vt:i4>5374020</vt:i4>
      </vt:variant>
      <vt:variant>
        <vt:i4>105</vt:i4>
      </vt:variant>
      <vt:variant>
        <vt:i4>0</vt:i4>
      </vt:variant>
      <vt:variant>
        <vt:i4>5</vt:i4>
      </vt:variant>
      <vt:variant>
        <vt:lpwstr>https://www.sps.nhs.uk/medicines/encorafenib/</vt:lpwstr>
      </vt:variant>
      <vt:variant>
        <vt:lpwstr/>
      </vt:variant>
      <vt:variant>
        <vt:i4>7209001</vt:i4>
      </vt:variant>
      <vt:variant>
        <vt:i4>102</vt:i4>
      </vt:variant>
      <vt:variant>
        <vt:i4>0</vt:i4>
      </vt:variant>
      <vt:variant>
        <vt:i4>5</vt:i4>
      </vt:variant>
      <vt:variant>
        <vt:lpwstr>https://www.sps.nhs.uk/medicines/elexacaftor-ivacaftor-tezacaftor/</vt:lpwstr>
      </vt:variant>
      <vt:variant>
        <vt:lpwstr/>
      </vt:variant>
      <vt:variant>
        <vt:i4>4849729</vt:i4>
      </vt:variant>
      <vt:variant>
        <vt:i4>99</vt:i4>
      </vt:variant>
      <vt:variant>
        <vt:i4>0</vt:i4>
      </vt:variant>
      <vt:variant>
        <vt:i4>5</vt:i4>
      </vt:variant>
      <vt:variant>
        <vt:lpwstr>https://www.sps.nhs.uk/medicines/bulevirtide/</vt:lpwstr>
      </vt:variant>
      <vt:variant>
        <vt:lpwstr/>
      </vt:variant>
      <vt:variant>
        <vt:i4>5570637</vt:i4>
      </vt:variant>
      <vt:variant>
        <vt:i4>96</vt:i4>
      </vt:variant>
      <vt:variant>
        <vt:i4>0</vt:i4>
      </vt:variant>
      <vt:variant>
        <vt:i4>5</vt:i4>
      </vt:variant>
      <vt:variant>
        <vt:lpwstr>https://www.sps.nhs.uk/medicines/binimetinib/</vt:lpwstr>
      </vt:variant>
      <vt:variant>
        <vt:lpwstr/>
      </vt:variant>
      <vt:variant>
        <vt:i4>4128817</vt:i4>
      </vt:variant>
      <vt:variant>
        <vt:i4>93</vt:i4>
      </vt:variant>
      <vt:variant>
        <vt:i4>0</vt:i4>
      </vt:variant>
      <vt:variant>
        <vt:i4>5</vt:i4>
      </vt:variant>
      <vt:variant>
        <vt:lpwstr>https://www.sps.nhs.uk/medicines/ad26-ebov-vaccine/</vt:lpwstr>
      </vt:variant>
      <vt:variant>
        <vt:lpwstr/>
      </vt:variant>
      <vt:variant>
        <vt:i4>2555952</vt:i4>
      </vt:variant>
      <vt:variant>
        <vt:i4>90</vt:i4>
      </vt:variant>
      <vt:variant>
        <vt:i4>0</vt:i4>
      </vt:variant>
      <vt:variant>
        <vt:i4>5</vt:i4>
      </vt:variant>
      <vt:variant>
        <vt:lpwstr>https://www.sps.nhs.uk/medicines/acalabrutinib/</vt:lpwstr>
      </vt:variant>
      <vt:variant>
        <vt:lpwstr/>
      </vt:variant>
      <vt:variant>
        <vt:i4>2818164</vt:i4>
      </vt:variant>
      <vt:variant>
        <vt:i4>87</vt:i4>
      </vt:variant>
      <vt:variant>
        <vt:i4>0</vt:i4>
      </vt:variant>
      <vt:variant>
        <vt:i4>5</vt:i4>
      </vt:variant>
      <vt:variant>
        <vt:lpwstr>https://www.sps.nhs.uk/medicines/trastuzumab-emtansine/</vt:lpwstr>
      </vt:variant>
      <vt:variant>
        <vt:lpwstr/>
      </vt:variant>
      <vt:variant>
        <vt:i4>7471146</vt:i4>
      </vt:variant>
      <vt:variant>
        <vt:i4>84</vt:i4>
      </vt:variant>
      <vt:variant>
        <vt:i4>0</vt:i4>
      </vt:variant>
      <vt:variant>
        <vt:i4>5</vt:i4>
      </vt:variant>
      <vt:variant>
        <vt:lpwstr>https://www.sps.nhs.uk/medicines/solriamfetol/</vt:lpwstr>
      </vt:variant>
      <vt:variant>
        <vt:lpwstr/>
      </vt:variant>
      <vt:variant>
        <vt:i4>2621480</vt:i4>
      </vt:variant>
      <vt:variant>
        <vt:i4>81</vt:i4>
      </vt:variant>
      <vt:variant>
        <vt:i4>0</vt:i4>
      </vt:variant>
      <vt:variant>
        <vt:i4>5</vt:i4>
      </vt:variant>
      <vt:variant>
        <vt:lpwstr>https://www.sps.nhs.uk/medicines/siponimod/</vt:lpwstr>
      </vt:variant>
      <vt:variant>
        <vt:lpwstr/>
      </vt:variant>
      <vt:variant>
        <vt:i4>5308487</vt:i4>
      </vt:variant>
      <vt:variant>
        <vt:i4>78</vt:i4>
      </vt:variant>
      <vt:variant>
        <vt:i4>0</vt:i4>
      </vt:variant>
      <vt:variant>
        <vt:i4>5</vt:i4>
      </vt:variant>
      <vt:variant>
        <vt:lpwstr>https://www.sps.nhs.uk/medicines/polatuzumab/</vt:lpwstr>
      </vt:variant>
      <vt:variant>
        <vt:lpwstr/>
      </vt:variant>
      <vt:variant>
        <vt:i4>6946876</vt:i4>
      </vt:variant>
      <vt:variant>
        <vt:i4>75</vt:i4>
      </vt:variant>
      <vt:variant>
        <vt:i4>0</vt:i4>
      </vt:variant>
      <vt:variant>
        <vt:i4>5</vt:i4>
      </vt:variant>
      <vt:variant>
        <vt:lpwstr>https://www.sps.nhs.uk/medicines/osilodrostat/</vt:lpwstr>
      </vt:variant>
      <vt:variant>
        <vt:lpwstr/>
      </vt:variant>
      <vt:variant>
        <vt:i4>6291494</vt:i4>
      </vt:variant>
      <vt:variant>
        <vt:i4>72</vt:i4>
      </vt:variant>
      <vt:variant>
        <vt:i4>0</vt:i4>
      </vt:variant>
      <vt:variant>
        <vt:i4>5</vt:i4>
      </vt:variant>
      <vt:variant>
        <vt:lpwstr>https://www.sps.nhs.uk/medicines/lenalidomide/</vt:lpwstr>
      </vt:variant>
      <vt:variant>
        <vt:lpwstr/>
      </vt:variant>
      <vt:variant>
        <vt:i4>7733280</vt:i4>
      </vt:variant>
      <vt:variant>
        <vt:i4>69</vt:i4>
      </vt:variant>
      <vt:variant>
        <vt:i4>0</vt:i4>
      </vt:variant>
      <vt:variant>
        <vt:i4>5</vt:i4>
      </vt:variant>
      <vt:variant>
        <vt:lpwstr>https://www.sps.nhs.uk/medicines/fostamatinib-disodium/</vt:lpwstr>
      </vt:variant>
      <vt:variant>
        <vt:lpwstr/>
      </vt:variant>
      <vt:variant>
        <vt:i4>3342373</vt:i4>
      </vt:variant>
      <vt:variant>
        <vt:i4>66</vt:i4>
      </vt:variant>
      <vt:variant>
        <vt:i4>0</vt:i4>
      </vt:variant>
      <vt:variant>
        <vt:i4>5</vt:i4>
      </vt:variant>
      <vt:variant>
        <vt:lpwstr>https://www.sps.nhs.uk/medicines/trientine/</vt:lpwstr>
      </vt:variant>
      <vt:variant>
        <vt:lpwstr/>
      </vt:variant>
      <vt:variant>
        <vt:i4>1900625</vt:i4>
      </vt:variant>
      <vt:variant>
        <vt:i4>63</vt:i4>
      </vt:variant>
      <vt:variant>
        <vt:i4>0</vt:i4>
      </vt:variant>
      <vt:variant>
        <vt:i4>5</vt:i4>
      </vt:variant>
      <vt:variant>
        <vt:lpwstr>https://www.sps.nhs.uk/medicines/netarsudil-mesilate/</vt:lpwstr>
      </vt:variant>
      <vt:variant>
        <vt:lpwstr/>
      </vt:variant>
      <vt:variant>
        <vt:i4>7143468</vt:i4>
      </vt:variant>
      <vt:variant>
        <vt:i4>60</vt:i4>
      </vt:variant>
      <vt:variant>
        <vt:i4>0</vt:i4>
      </vt:variant>
      <vt:variant>
        <vt:i4>5</vt:i4>
      </vt:variant>
      <vt:variant>
        <vt:lpwstr>https://www.sps.nhs.uk/medicines/levodopa/</vt:lpwstr>
      </vt:variant>
      <vt:variant>
        <vt:lpwstr/>
      </vt:variant>
      <vt:variant>
        <vt:i4>852061</vt:i4>
      </vt:variant>
      <vt:variant>
        <vt:i4>57</vt:i4>
      </vt:variant>
      <vt:variant>
        <vt:i4>0</vt:i4>
      </vt:variant>
      <vt:variant>
        <vt:i4>5</vt:i4>
      </vt:variant>
      <vt:variant>
        <vt:lpwstr>https://www.sps.nhs.uk/medicines/infliximab/</vt:lpwstr>
      </vt:variant>
      <vt:variant>
        <vt:lpwstr/>
      </vt:variant>
      <vt:variant>
        <vt:i4>4063335</vt:i4>
      </vt:variant>
      <vt:variant>
        <vt:i4>54</vt:i4>
      </vt:variant>
      <vt:variant>
        <vt:i4>0</vt:i4>
      </vt:variant>
      <vt:variant>
        <vt:i4>5</vt:i4>
      </vt:variant>
      <vt:variant>
        <vt:lpwstr>https://www.sps.nhs.uk/medicines/ebola-vaccine/</vt:lpwstr>
      </vt:variant>
      <vt:variant>
        <vt:lpwstr/>
      </vt:variant>
      <vt:variant>
        <vt:i4>2621493</vt:i4>
      </vt:variant>
      <vt:variant>
        <vt:i4>51</vt:i4>
      </vt:variant>
      <vt:variant>
        <vt:i4>0</vt:i4>
      </vt:variant>
      <vt:variant>
        <vt:i4>5</vt:i4>
      </vt:variant>
      <vt:variant>
        <vt:lpwstr>https://www.sps.nhs.uk/medicines/buprenorphine/</vt:lpwstr>
      </vt:variant>
      <vt:variant>
        <vt:lpwstr/>
      </vt:variant>
      <vt:variant>
        <vt:i4>1179726</vt:i4>
      </vt:variant>
      <vt:variant>
        <vt:i4>48</vt:i4>
      </vt:variant>
      <vt:variant>
        <vt:i4>0</vt:i4>
      </vt:variant>
      <vt:variant>
        <vt:i4>5</vt:i4>
      </vt:variant>
      <vt:variant>
        <vt:lpwstr>https://www.sps.nhs.uk/medicines/arginine-lysine/</vt:lpwstr>
      </vt:variant>
      <vt:variant>
        <vt:lpwstr/>
      </vt:variant>
      <vt:variant>
        <vt:i4>7798824</vt:i4>
      </vt:variant>
      <vt:variant>
        <vt:i4>45</vt:i4>
      </vt:variant>
      <vt:variant>
        <vt:i4>0</vt:i4>
      </vt:variant>
      <vt:variant>
        <vt:i4>5</vt:i4>
      </vt:variant>
      <vt:variant>
        <vt:lpwstr>https://www.sps.nhs.uk/medicines/teriparatide/</vt:lpwstr>
      </vt:variant>
      <vt:variant>
        <vt:lpwstr/>
      </vt:variant>
      <vt:variant>
        <vt:i4>5767235</vt:i4>
      </vt:variant>
      <vt:variant>
        <vt:i4>42</vt:i4>
      </vt:variant>
      <vt:variant>
        <vt:i4>0</vt:i4>
      </vt:variant>
      <vt:variant>
        <vt:i4>5</vt:i4>
      </vt:variant>
      <vt:variant>
        <vt:lpwstr>https://www.sps.nhs.uk/medicines/paracetamol/</vt:lpwstr>
      </vt:variant>
      <vt:variant>
        <vt:lpwstr/>
      </vt:variant>
      <vt:variant>
        <vt:i4>2162736</vt:i4>
      </vt:variant>
      <vt:variant>
        <vt:i4>39</vt:i4>
      </vt:variant>
      <vt:variant>
        <vt:i4>0</vt:i4>
      </vt:variant>
      <vt:variant>
        <vt:i4>5</vt:i4>
      </vt:variant>
      <vt:variant>
        <vt:lpwstr>https://www.sps.nhs.uk/articles/ukmi-product-safety-assessments-2/</vt:lpwstr>
      </vt:variant>
      <vt:variant>
        <vt:lpwstr/>
      </vt:variant>
      <vt:variant>
        <vt:i4>5767196</vt:i4>
      </vt:variant>
      <vt:variant>
        <vt:i4>36</vt:i4>
      </vt:variant>
      <vt:variant>
        <vt:i4>0</vt:i4>
      </vt:variant>
      <vt:variant>
        <vt:i4>5</vt:i4>
      </vt:variant>
      <vt:variant>
        <vt:lpwstr>https://www.sps.nhs.uk/articles/prioritising-new-products-for-a-ukmi-product-safety-assessment-a-resource-for-ukmi-patient-safety-working-group/</vt:lpwstr>
      </vt:variant>
      <vt:variant>
        <vt:lpwstr/>
      </vt:variant>
      <vt:variant>
        <vt:i4>3211304</vt:i4>
      </vt:variant>
      <vt:variant>
        <vt:i4>33</vt:i4>
      </vt:variant>
      <vt:variant>
        <vt:i4>0</vt:i4>
      </vt:variant>
      <vt:variant>
        <vt:i4>5</vt:i4>
      </vt:variant>
      <vt:variant>
        <vt:lpwstr>https://www.sps.nhs.uk/medicines/zanamivir/</vt:lpwstr>
      </vt:variant>
      <vt:variant>
        <vt:lpwstr/>
      </vt:variant>
      <vt:variant>
        <vt:i4>5111887</vt:i4>
      </vt:variant>
      <vt:variant>
        <vt:i4>30</vt:i4>
      </vt:variant>
      <vt:variant>
        <vt:i4>0</vt:i4>
      </vt:variant>
      <vt:variant>
        <vt:i4>5</vt:i4>
      </vt:variant>
      <vt:variant>
        <vt:lpwstr>https://www.sps.nhs.uk/medicines/talazoparib/</vt:lpwstr>
      </vt:variant>
      <vt:variant>
        <vt:lpwstr/>
      </vt:variant>
      <vt:variant>
        <vt:i4>4653149</vt:i4>
      </vt:variant>
      <vt:variant>
        <vt:i4>27</vt:i4>
      </vt:variant>
      <vt:variant>
        <vt:i4>0</vt:i4>
      </vt:variant>
      <vt:variant>
        <vt:i4>5</vt:i4>
      </vt:variant>
      <vt:variant>
        <vt:lpwstr>https://www.sps.nhs.uk/medicines/ranibizumab/</vt:lpwstr>
      </vt:variant>
      <vt:variant>
        <vt:lpwstr/>
      </vt:variant>
      <vt:variant>
        <vt:i4>3801149</vt:i4>
      </vt:variant>
      <vt:variant>
        <vt:i4>24</vt:i4>
      </vt:variant>
      <vt:variant>
        <vt:i4>0</vt:i4>
      </vt:variant>
      <vt:variant>
        <vt:i4>5</vt:i4>
      </vt:variant>
      <vt:variant>
        <vt:lpwstr>https://www.sps.nhs.uk/medicines/pembrolizumab/</vt:lpwstr>
      </vt:variant>
      <vt:variant>
        <vt:lpwstr/>
      </vt:variant>
      <vt:variant>
        <vt:i4>7602210</vt:i4>
      </vt:variant>
      <vt:variant>
        <vt:i4>21</vt:i4>
      </vt:variant>
      <vt:variant>
        <vt:i4>0</vt:i4>
      </vt:variant>
      <vt:variant>
        <vt:i4>5</vt:i4>
      </vt:variant>
      <vt:variant>
        <vt:lpwstr>https://www.sps.nhs.uk/medicines/nicotine/</vt:lpwstr>
      </vt:variant>
      <vt:variant>
        <vt:lpwstr/>
      </vt:variant>
      <vt:variant>
        <vt:i4>4063329</vt:i4>
      </vt:variant>
      <vt:variant>
        <vt:i4>18</vt:i4>
      </vt:variant>
      <vt:variant>
        <vt:i4>0</vt:i4>
      </vt:variant>
      <vt:variant>
        <vt:i4>5</vt:i4>
      </vt:variant>
      <vt:variant>
        <vt:lpwstr>https://www.sps.nhs.uk/medicines/meropenem-vaborbactam/</vt:lpwstr>
      </vt:variant>
      <vt:variant>
        <vt:lpwstr/>
      </vt:variant>
      <vt:variant>
        <vt:i4>4980828</vt:i4>
      </vt:variant>
      <vt:variant>
        <vt:i4>15</vt:i4>
      </vt:variant>
      <vt:variant>
        <vt:i4>0</vt:i4>
      </vt:variant>
      <vt:variant>
        <vt:i4>5</vt:i4>
      </vt:variant>
      <vt:variant>
        <vt:lpwstr>https://www.sps.nhs.uk/medicines/liraglutide/</vt:lpwstr>
      </vt:variant>
      <vt:variant>
        <vt:lpwstr/>
      </vt:variant>
      <vt:variant>
        <vt:i4>6553663</vt:i4>
      </vt:variant>
      <vt:variant>
        <vt:i4>12</vt:i4>
      </vt:variant>
      <vt:variant>
        <vt:i4>0</vt:i4>
      </vt:variant>
      <vt:variant>
        <vt:i4>5</vt:i4>
      </vt:variant>
      <vt:variant>
        <vt:lpwstr>https://www.sps.nhs.uk/medicines/gilteritinib/</vt:lpwstr>
      </vt:variant>
      <vt:variant>
        <vt:lpwstr/>
      </vt:variant>
      <vt:variant>
        <vt:i4>4980809</vt:i4>
      </vt:variant>
      <vt:variant>
        <vt:i4>9</vt:i4>
      </vt:variant>
      <vt:variant>
        <vt:i4>0</vt:i4>
      </vt:variant>
      <vt:variant>
        <vt:i4>5</vt:i4>
      </vt:variant>
      <vt:variant>
        <vt:lpwstr>https://www.sps.nhs.uk/medicines/daratumumab/</vt:lpwstr>
      </vt:variant>
      <vt:variant>
        <vt:lpwstr/>
      </vt:variant>
      <vt:variant>
        <vt:i4>2883621</vt:i4>
      </vt:variant>
      <vt:variant>
        <vt:i4>6</vt:i4>
      </vt:variant>
      <vt:variant>
        <vt:i4>0</vt:i4>
      </vt:variant>
      <vt:variant>
        <vt:i4>5</vt:i4>
      </vt:variant>
      <vt:variant>
        <vt:lpwstr>https://www.sps.nhs.uk/medicines/beclometasone/</vt:lpwstr>
      </vt:variant>
      <vt:variant>
        <vt:lpwstr/>
      </vt:variant>
      <vt:variant>
        <vt:i4>589864</vt:i4>
      </vt:variant>
      <vt:variant>
        <vt:i4>3</vt:i4>
      </vt:variant>
      <vt:variant>
        <vt:i4>0</vt:i4>
      </vt:variant>
      <vt:variant>
        <vt:i4>5</vt:i4>
      </vt:variant>
      <vt:variant>
        <vt:lpwstr>mailto:nwmedinfo@nhs.net?subject=New%20Medicines%20Newsletter</vt:lpwstr>
      </vt:variant>
      <vt:variant>
        <vt:lpwstr/>
      </vt:variant>
      <vt:variant>
        <vt:i4>7077923</vt:i4>
      </vt:variant>
      <vt:variant>
        <vt:i4>0</vt:i4>
      </vt:variant>
      <vt:variant>
        <vt:i4>0</vt:i4>
      </vt:variant>
      <vt:variant>
        <vt:i4>5</vt:i4>
      </vt:variant>
      <vt:variant>
        <vt:lpwstr>http://www.sps.nhs.uk/</vt:lpwstr>
      </vt:variant>
      <vt:variant>
        <vt:lpwstr/>
      </vt:variant>
      <vt:variant>
        <vt:i4>589864</vt:i4>
      </vt:variant>
      <vt:variant>
        <vt:i4>18</vt:i4>
      </vt:variant>
      <vt:variant>
        <vt:i4>0</vt:i4>
      </vt:variant>
      <vt:variant>
        <vt:i4>5</vt:i4>
      </vt:variant>
      <vt:variant>
        <vt:lpwstr>mailto:nwmedinfo@nhs.net?subject=New%20Medicines%20Newsletter</vt:lpwstr>
      </vt:variant>
      <vt:variant>
        <vt:lpwstr/>
      </vt:variant>
      <vt:variant>
        <vt:i4>7929901</vt:i4>
      </vt:variant>
      <vt:variant>
        <vt:i4>15</vt:i4>
      </vt:variant>
      <vt:variant>
        <vt:i4>0</vt:i4>
      </vt:variant>
      <vt:variant>
        <vt:i4>5</vt:i4>
      </vt:variant>
      <vt:variant>
        <vt:lpwstr>https://www.sps.nhs.uk/wp-login.php?action=register</vt:lpwstr>
      </vt:variant>
      <vt:variant>
        <vt:lpwstr/>
      </vt:variant>
      <vt:variant>
        <vt:i4>7077923</vt:i4>
      </vt:variant>
      <vt:variant>
        <vt:i4>12</vt:i4>
      </vt:variant>
      <vt:variant>
        <vt:i4>0</vt:i4>
      </vt:variant>
      <vt:variant>
        <vt:i4>5</vt:i4>
      </vt:variant>
      <vt:variant>
        <vt:lpwstr>http://www.sps.nhs.uk/</vt:lpwstr>
      </vt:variant>
      <vt:variant>
        <vt:lpwstr/>
      </vt:variant>
      <vt:variant>
        <vt:i4>3211377</vt:i4>
      </vt:variant>
      <vt:variant>
        <vt:i4>9</vt:i4>
      </vt:variant>
      <vt:variant>
        <vt:i4>0</vt:i4>
      </vt:variant>
      <vt:variant>
        <vt:i4>5</vt:i4>
      </vt:variant>
      <vt:variant>
        <vt:lpwstr>http://www.ukmi.nhs.uk/ndo</vt:lpwstr>
      </vt:variant>
      <vt:variant>
        <vt:lpwstr/>
      </vt:variant>
      <vt:variant>
        <vt:i4>1638407</vt:i4>
      </vt:variant>
      <vt:variant>
        <vt:i4>6</vt:i4>
      </vt:variant>
      <vt:variant>
        <vt:i4>0</vt:i4>
      </vt:variant>
      <vt:variant>
        <vt:i4>5</vt:i4>
      </vt:variant>
      <vt:variant>
        <vt:lpwstr>https://www.sps.nhs.uk/prescribing-outlook-2019/</vt:lpwstr>
      </vt:variant>
      <vt:variant>
        <vt:lpwstr/>
      </vt:variant>
      <vt:variant>
        <vt:i4>7405691</vt:i4>
      </vt:variant>
      <vt:variant>
        <vt:i4>3</vt:i4>
      </vt:variant>
      <vt:variant>
        <vt:i4>0</vt:i4>
      </vt:variant>
      <vt:variant>
        <vt:i4>5</vt:i4>
      </vt:variant>
      <vt:variant>
        <vt:lpwstr>https://www.sps.nhs.uk/category/new-medicines/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NDO home | Contact | Register for NDO access</dc:title>
  <dc:creator>Joanne McEntee</dc:creator>
  <cp:lastModifiedBy>Joanne McEntee</cp:lastModifiedBy>
  <cp:revision>247</cp:revision>
  <cp:lastPrinted>2019-12-09T12:59:00Z</cp:lastPrinted>
  <dcterms:created xsi:type="dcterms:W3CDTF">2026-01-18T07:59:00Z</dcterms:created>
  <dcterms:modified xsi:type="dcterms:W3CDTF">2026-02-04T11:35:00Z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0x010100EF9F8181707A014BAADECFD0EF2EB9F0</vt:lpwstr>
  </property>
  <property fmtid="{D5CDD505-2E9C-101B-9397-08002B2CF9AE}" pid="4" name="MediaServiceImageTags">
    <vt:lpwstr/>
  </property>
  <property fmtid="{D5CDD505-2E9C-101B-9397-08002B2CF9AE}" pid="5" name="GrammarlyDocumentId">
    <vt:lpwstr>6e96017b-723c-4138-b31c-fc38d54ef7af</vt:lpwstr>
  </property>
</Properties>
</file>