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9C37FE8" w:rsidR="007A1448" w:rsidRPr="00DF77C7" w:rsidRDefault="0041543B" w:rsidP="006529F3">
      <w:pPr>
        <w:pStyle w:val="PGDTitle2"/>
      </w:pPr>
      <w:r w:rsidRPr="0041543B">
        <w:rPr>
          <w:bCs/>
        </w:rPr>
        <w:t xml:space="preserve">Supply of </w:t>
      </w:r>
      <w:r w:rsidR="0009531C" w:rsidRPr="0009531C">
        <w:rPr>
          <w:bCs/>
        </w:rPr>
        <w:t xml:space="preserve">doxycycline capsules/dispersible tablets </w:t>
      </w:r>
      <w:r w:rsidR="00CE2DD5" w:rsidRPr="00CE2DD5">
        <w:rPr>
          <w:bCs/>
        </w:rPr>
        <w:t xml:space="preserve">for the treatment of acute bacterial sinusitis (rhinosinusitis)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35BEBD8F" w14:textId="77777777" w:rsidR="0009531C" w:rsidRPr="0009531C" w:rsidRDefault="0009531C" w:rsidP="0009531C">
            <w:pPr>
              <w:pStyle w:val="Bulletindent1"/>
            </w:pPr>
            <w:r w:rsidRPr="0009531C">
              <w:t>Flucloxacillin” corrected to “doxycycline” in “Cautions including any relevant action to be taken” section</w:t>
            </w:r>
          </w:p>
          <w:p w14:paraId="54BE377A" w14:textId="49C20A11" w:rsidR="0041543B" w:rsidRPr="0009531C" w:rsidRDefault="0009531C" w:rsidP="0009531C">
            <w:pPr>
              <w:pStyle w:val="Bulletindent1"/>
            </w:pPr>
            <w:r w:rsidRPr="0009531C">
              <w:t>“10 days or more” corrected to “more than 10 days” in “Inclusion criteria” section</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proofErr w:type="spellStart"/>
            <w:r w:rsidRPr="0023356D">
              <w:t>Ravijyot</w:t>
            </w:r>
            <w:proofErr w:type="spellEnd"/>
            <w:r w:rsidRPr="0023356D">
              <w:t xml:space="preserve">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required;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1"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191D7749" w:rsidR="00D36D23" w:rsidRDefault="006E1B84" w:rsidP="00957B7C">
            <w:pPr>
              <w:pStyle w:val="Tabletext"/>
            </w:pPr>
            <w:r w:rsidRPr="006E1B84">
              <w:rPr>
                <w:iCs/>
                <w:lang w:val="en-GB"/>
              </w:rPr>
              <w:t>Acute bacterial sinusitis (sinusitis) in children aged 12 years and over and adults where phenoxymethylpenicillin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F3229">
            <w:pPr>
              <w:pStyle w:val="Bulletindent1"/>
            </w:pPr>
            <w:r w:rsidRPr="002561E8">
              <w:t>Informed consent</w:t>
            </w:r>
          </w:p>
          <w:p w14:paraId="4A978E89" w14:textId="77777777" w:rsidR="006E1B84" w:rsidRDefault="006E1B84" w:rsidP="00EF3229">
            <w:pPr>
              <w:pStyle w:val="Bulletindent1"/>
            </w:pPr>
            <w:r w:rsidRPr="006E1B84">
              <w:t>Individuals aged 12 years and over</w:t>
            </w:r>
          </w:p>
          <w:p w14:paraId="7586B6A5" w14:textId="77777777" w:rsidR="00024EE9" w:rsidRDefault="00024EE9" w:rsidP="00024EE9">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4C19E1BC" w14:textId="77777777" w:rsidR="00024EE9" w:rsidRDefault="00024EE9" w:rsidP="00024EE9">
            <w:pPr>
              <w:pStyle w:val="Bulletindent1"/>
            </w:pPr>
            <w:r w:rsidRPr="006E1B84">
              <w:t xml:space="preserve">Diagnosis of acute sinusitis using </w:t>
            </w:r>
            <w:hyperlink r:id="rId24" w:history="1">
              <w:r>
                <w:rPr>
                  <w:rStyle w:val="Hyperlink"/>
                </w:rPr>
                <w:t>the NICE CKS guidance - sinusitis</w:t>
              </w:r>
            </w:hyperlink>
          </w:p>
          <w:p w14:paraId="21D7B1DE" w14:textId="77777777" w:rsidR="006E1B84" w:rsidRPr="006E1B84" w:rsidRDefault="006E1B84" w:rsidP="006E1B84">
            <w:pPr>
              <w:pStyle w:val="Bulletindent1"/>
              <w:rPr>
                <w:rFonts w:cs="Arial"/>
              </w:rPr>
            </w:pPr>
            <w:r w:rsidRPr="006E1B84">
              <w:t>Presence of ONE of the following signs/symptoms (which suggests acute sinusitis is more likely):</w:t>
            </w:r>
          </w:p>
          <w:p w14:paraId="2F2429D2" w14:textId="77777777" w:rsidR="006E1B84" w:rsidRPr="006E1B84" w:rsidRDefault="006E1B84" w:rsidP="006E1B84">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6E1B84">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801F6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801F6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6E1B84">
            <w:pPr>
              <w:pStyle w:val="Bulletindent1"/>
              <w:numPr>
                <w:ilvl w:val="1"/>
                <w:numId w:val="15"/>
              </w:numPr>
            </w:pPr>
            <w:r w:rsidRPr="006E1B84">
              <w:t>Cough during the day or at night (in children)</w:t>
            </w:r>
          </w:p>
          <w:p w14:paraId="5164B515" w14:textId="1BF11804" w:rsidR="006E1B84" w:rsidRDefault="006E1B84" w:rsidP="006E1B84">
            <w:pPr>
              <w:pStyle w:val="Bulletindent1"/>
            </w:pPr>
            <w:r w:rsidRPr="006E1B84">
              <w:t>Symptom duration of more than 10 days with no improvement</w:t>
            </w:r>
            <w:r w:rsidR="00233CDD">
              <w:t>.</w:t>
            </w:r>
          </w:p>
          <w:p w14:paraId="204E8A5E" w14:textId="77777777" w:rsidR="006E1B84" w:rsidRDefault="006E1B84" w:rsidP="006E1B84">
            <w:pPr>
              <w:pStyle w:val="Bulletindent1"/>
            </w:pPr>
            <w:r w:rsidRPr="006E1B84">
              <w:t xml:space="preserve">Presence of </w:t>
            </w:r>
            <w:r w:rsidRPr="00233CDD">
              <w:rPr>
                <w:b/>
                <w:bCs/>
              </w:rPr>
              <w:t>TWO or more</w:t>
            </w:r>
            <w:r w:rsidRPr="006E1B84">
              <w:t xml:space="preserve"> of the following signs/symptoms (which suggests acute bacterial sinusitis is more likely):</w:t>
            </w:r>
          </w:p>
          <w:p w14:paraId="611D1071" w14:textId="77777777" w:rsidR="006E1B84" w:rsidRDefault="006E1B84" w:rsidP="00233CDD">
            <w:pPr>
              <w:pStyle w:val="Bulletindent1"/>
              <w:numPr>
                <w:ilvl w:val="1"/>
                <w:numId w:val="15"/>
              </w:numPr>
            </w:pPr>
            <w:r w:rsidRPr="006E1B84">
              <w:t>Marked deterioration after an initial milder phase</w:t>
            </w:r>
          </w:p>
          <w:p w14:paraId="16BABAEE" w14:textId="77777777" w:rsidR="006E1B84" w:rsidRDefault="006E1B84" w:rsidP="00233CDD">
            <w:pPr>
              <w:pStyle w:val="Bulletindent1"/>
              <w:numPr>
                <w:ilvl w:val="1"/>
                <w:numId w:val="15"/>
              </w:numPr>
            </w:pPr>
            <w:r w:rsidRPr="006E1B84">
              <w:t>Fever (&gt;38°C)</w:t>
            </w:r>
          </w:p>
          <w:p w14:paraId="7A6B4EEA" w14:textId="77777777" w:rsidR="006E1B84" w:rsidRDefault="006E1B84" w:rsidP="00233CDD">
            <w:pPr>
              <w:pStyle w:val="Bulletindent1"/>
              <w:numPr>
                <w:ilvl w:val="1"/>
                <w:numId w:val="15"/>
              </w:numPr>
            </w:pPr>
            <w:r w:rsidRPr="006E1B84">
              <w:t>Unremitting purulent nasal discharge</w:t>
            </w:r>
          </w:p>
          <w:p w14:paraId="1DD27747" w14:textId="77777777" w:rsidR="006E1B84" w:rsidRDefault="006E1B84" w:rsidP="00233CDD">
            <w:pPr>
              <w:pStyle w:val="Bulletindent1"/>
              <w:numPr>
                <w:ilvl w:val="1"/>
                <w:numId w:val="15"/>
              </w:numPr>
            </w:pPr>
            <w:r w:rsidRPr="006E1B84">
              <w:t>Severe localised unilateral pain, particularly pain over the teeth (toothache) and jaw</w:t>
            </w:r>
          </w:p>
          <w:p w14:paraId="017611A3" w14:textId="77777777" w:rsidR="006E1B84" w:rsidRDefault="006E1B84" w:rsidP="006E1B84">
            <w:pPr>
              <w:pStyle w:val="Bulletindent1"/>
            </w:pPr>
            <w:r w:rsidRPr="006E1B84">
              <w:t xml:space="preserve">Persistent symptoms despite use of high-dose nasal corticosteroid‡ (off-label) for 14 days </w:t>
            </w:r>
          </w:p>
          <w:p w14:paraId="33D5568C" w14:textId="77777777" w:rsidR="006E1B84" w:rsidRPr="00233CDD" w:rsidRDefault="006E1B84" w:rsidP="00233CDD">
            <w:pPr>
              <w:pStyle w:val="Bulletindent1"/>
              <w:numPr>
                <w:ilvl w:val="0"/>
                <w:numId w:val="0"/>
              </w:numPr>
              <w:ind w:left="360"/>
              <w:rPr>
                <w:b/>
                <w:bCs/>
              </w:rPr>
            </w:pPr>
            <w:r w:rsidRPr="00233CDD">
              <w:rPr>
                <w:b/>
                <w:bCs/>
              </w:rPr>
              <w:t>OR</w:t>
            </w:r>
          </w:p>
          <w:p w14:paraId="5B256779" w14:textId="77777777" w:rsidR="006E1B84" w:rsidRDefault="006E1B84" w:rsidP="006E1B84">
            <w:pPr>
              <w:pStyle w:val="Bulletindent1"/>
            </w:pPr>
            <w:r w:rsidRPr="006E1B84">
              <w:lastRenderedPageBreak/>
              <w:t>High-dose nasal corticosteroid‡ (off-label) unsuitable</w:t>
            </w:r>
          </w:p>
          <w:p w14:paraId="143FDB7C" w14:textId="520D0C53" w:rsidR="006E1B84" w:rsidRDefault="006E1B84" w:rsidP="006E1B84">
            <w:pPr>
              <w:pStyle w:val="Bulletindent1"/>
            </w:pPr>
            <w:r w:rsidRPr="006E1B84">
              <w:t xml:space="preserve">Known hypersensitivity to phenoxymethylpenicillin (penicillin V), any penicillin or any of the components within the formulation of phenoxymethylpenicillin formulations - </w:t>
            </w:r>
            <w:hyperlink r:id="rId25" w:history="1">
              <w:r w:rsidRPr="00233CDD">
                <w:rPr>
                  <w:rStyle w:val="Hyperlink"/>
                </w:rPr>
                <w:t>see Summary of Product Characteristics</w:t>
              </w:r>
              <w:r w:rsidR="00233CDD" w:rsidRPr="00233CDD">
                <w:rPr>
                  <w:rStyle w:val="Hyperlink"/>
                </w:rPr>
                <w:t xml:space="preserve"> on the EMC website</w:t>
              </w:r>
            </w:hyperlink>
            <w:r w:rsidRPr="006E1B84">
              <w:t xml:space="preserve">. </w:t>
            </w:r>
            <w:r w:rsidRPr="00233CDD">
              <w:rPr>
                <w:b/>
                <w:bCs/>
              </w:rPr>
              <w:t>Acceptable sources of allergy information include individual/carer/parent/guardian or National Care Record</w:t>
            </w:r>
          </w:p>
          <w:p w14:paraId="652CED9F" w14:textId="07A4E2B4" w:rsidR="00233CDD" w:rsidRDefault="006E1B84" w:rsidP="00233CDD">
            <w:pPr>
              <w:pStyle w:val="Bulletindent1"/>
              <w:numPr>
                <w:ilvl w:val="0"/>
                <w:numId w:val="0"/>
              </w:numPr>
              <w:ind w:left="360"/>
              <w:rPr>
                <w:b/>
                <w:bCs/>
              </w:rPr>
            </w:pPr>
            <w:r w:rsidRPr="00233CDD">
              <w:rPr>
                <w:b/>
                <w:bCs/>
              </w:rPr>
              <w:t>OR</w:t>
            </w:r>
          </w:p>
          <w:p w14:paraId="34DF4ACA" w14:textId="77777777" w:rsidR="00233CDD" w:rsidRDefault="006E1B84" w:rsidP="00233CDD">
            <w:pPr>
              <w:pStyle w:val="Bulletindent1"/>
              <w:numPr>
                <w:ilvl w:val="0"/>
                <w:numId w:val="0"/>
              </w:numPr>
              <w:ind w:left="360"/>
            </w:pPr>
            <w:r w:rsidRPr="006E1B84">
              <w:t xml:space="preserve">History of severe immediate hypersensitivity reaction (e.g. anaphylaxis) to another beta-lactam antibiotic (e.g. cephalosporin, carbapenem or monobactam). </w:t>
            </w:r>
            <w:r w:rsidRPr="00233CDD">
              <w:rPr>
                <w:b/>
                <w:bCs/>
              </w:rPr>
              <w:t>Acceptable sources of allergy information include individual/carer/parent/guardian or National Care Record</w:t>
            </w:r>
            <w:r w:rsidRPr="006E1B84">
              <w:t xml:space="preserve"> </w:t>
            </w:r>
          </w:p>
          <w:p w14:paraId="6F9DE3CC" w14:textId="77777777" w:rsidR="00233CDD" w:rsidRDefault="00233CDD" w:rsidP="00233CDD">
            <w:pPr>
              <w:pStyle w:val="Bulletindent1"/>
              <w:numPr>
                <w:ilvl w:val="0"/>
                <w:numId w:val="0"/>
              </w:numPr>
              <w:ind w:left="360"/>
            </w:pPr>
          </w:p>
          <w:p w14:paraId="02A2FFD7" w14:textId="4DE6E8FC" w:rsidR="00AE4F4B" w:rsidRDefault="006E1B84" w:rsidP="00233CDD">
            <w:pPr>
              <w:pStyle w:val="Bulletindent1"/>
              <w:numPr>
                <w:ilvl w:val="0"/>
                <w:numId w:val="0"/>
              </w:numPr>
              <w:ind w:left="360"/>
            </w:pPr>
            <w:r w:rsidRPr="006E1B84">
              <w:t xml:space="preserve">‡ high-dose nasal corticosteroid = mometasone 100 microgram each nostril twice daily or fluticasone 55 microgram each nostril twice daily as per </w:t>
            </w:r>
            <w:hyperlink r:id="rId26" w:history="1">
              <w:r w:rsidRPr="00233CDD">
                <w:rPr>
                  <w:rStyle w:val="Hyperlink"/>
                </w:rPr>
                <w:t xml:space="preserve">NICE </w:t>
              </w:r>
              <w:r w:rsidR="00233CDD" w:rsidRPr="00233CDD">
                <w:rPr>
                  <w:rStyle w:val="Hyperlink"/>
                </w:rPr>
                <w:t>CKS – sinusitis</w:t>
              </w:r>
            </w:hyperlink>
            <w:r w:rsidR="00233CDD">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5D580E">
            <w:pPr>
              <w:pStyle w:val="Bulletindent1"/>
            </w:pPr>
            <w:r w:rsidRPr="00801F6A">
              <w:t xml:space="preserve">Consent refused and documented in the individual’s clinical notes </w:t>
            </w:r>
          </w:p>
          <w:p w14:paraId="1B665F4B" w14:textId="12BCE6A6" w:rsidR="00801F6A" w:rsidRPr="00801F6A" w:rsidRDefault="00801F6A" w:rsidP="005D580E">
            <w:pPr>
              <w:pStyle w:val="Bulletindent1"/>
            </w:pPr>
            <w:r w:rsidRPr="00801F6A">
              <w:t>Individuals under 1</w:t>
            </w:r>
            <w:r w:rsidR="007210CD">
              <w:t>2</w:t>
            </w:r>
            <w:r w:rsidRPr="00801F6A">
              <w:t xml:space="preserve"> years of age</w:t>
            </w:r>
          </w:p>
          <w:p w14:paraId="7F4DF234" w14:textId="77777777" w:rsidR="00801F6A" w:rsidRDefault="00801F6A" w:rsidP="005D580E">
            <w:pPr>
              <w:pStyle w:val="Bulletindent1"/>
            </w:pPr>
            <w:r w:rsidRPr="00801F6A">
              <w:t>Pregnancy or suspected pregnancy</w:t>
            </w:r>
          </w:p>
          <w:p w14:paraId="477CAC0C" w14:textId="77777777" w:rsidR="000311FF" w:rsidRPr="0005618F" w:rsidRDefault="000311FF" w:rsidP="005D580E">
            <w:pPr>
              <w:pStyle w:val="Bulletindent1"/>
            </w:pPr>
            <w:r w:rsidRPr="00CC1B72">
              <w:t>Current</w:t>
            </w:r>
            <w:r>
              <w:t>ly</w:t>
            </w:r>
            <w:r w:rsidRPr="00CC1B72">
              <w:t xml:space="preserve"> breastfeeding </w:t>
            </w:r>
          </w:p>
          <w:p w14:paraId="1B6F58C0" w14:textId="77777777" w:rsidR="00801F6A" w:rsidRPr="00903730" w:rsidRDefault="00801F6A" w:rsidP="005D580E">
            <w:pPr>
              <w:pStyle w:val="Bulletindent1"/>
              <w:rPr>
                <w:b/>
                <w:sz w:val="20"/>
              </w:rPr>
            </w:pPr>
            <w:bookmarkStart w:id="5" w:name="Severe"/>
            <w:bookmarkEnd w:id="5"/>
            <w:r w:rsidRPr="00903730">
              <w:t>Severely immunosuppressed individual</w:t>
            </w:r>
            <w:r>
              <w:t>s as defined i</w:t>
            </w:r>
            <w:r w:rsidRPr="00903730">
              <w:t xml:space="preserve">n </w:t>
            </w:r>
            <w:hyperlink r:id="rId27"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5D580E">
            <w:pPr>
              <w:pStyle w:val="Bulletindent1"/>
            </w:pPr>
            <w:r w:rsidRPr="00903730">
              <w:t xml:space="preserve">acute and chronic </w:t>
            </w:r>
            <w:proofErr w:type="spellStart"/>
            <w:r w:rsidRPr="00903730">
              <w:t>leukaemias</w:t>
            </w:r>
            <w:proofErr w:type="spellEnd"/>
            <w:r w:rsidRPr="00903730">
              <w:t xml:space="preserve">, and clinically aggressive lymphomas (including Hodgkin’s lymphoma) who are less than 12 months since achieving cure </w:t>
            </w:r>
          </w:p>
          <w:p w14:paraId="07EE8B7B" w14:textId="77777777" w:rsidR="009A5C7D" w:rsidRPr="00903730" w:rsidRDefault="009A5C7D" w:rsidP="005D580E">
            <w:pPr>
              <w:pStyle w:val="Bulletindent1"/>
            </w:pPr>
            <w:r w:rsidRPr="00903730">
              <w:t xml:space="preserve">individuals under follow up for a chronic lymphoproliferative disorders including haematological malignancies such as indolent lymphoma, chronic lymphoid leukaemia, myeloma, Waldenstrom’s macroglobulinemia and other </w:t>
            </w:r>
            <w:r w:rsidRPr="00903730">
              <w:lastRenderedPageBreak/>
              <w:t xml:space="preserve">plasma cell dyscrasias (N.B: this list not exhaustive) </w:t>
            </w:r>
          </w:p>
          <w:p w14:paraId="65699B17" w14:textId="77777777" w:rsidR="009A5C7D" w:rsidRPr="00903730" w:rsidRDefault="009A5C7D" w:rsidP="005D580E">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9A5C7D" w:rsidRPr="00903730" w:rsidRDefault="009A5C7D" w:rsidP="005D580E">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9A5C7D" w:rsidRPr="00903730" w:rsidRDefault="009A5C7D" w:rsidP="005D580E">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5D580E">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5D580E">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5D580E">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5D580E">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5D580E">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5D580E">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5D580E">
            <w:pPr>
              <w:pStyle w:val="Bulletindent1"/>
            </w:pPr>
            <w:r w:rsidRPr="00903730">
              <w:lastRenderedPageBreak/>
              <w:t xml:space="preserve">any non-biological oral immune modulating drugs e.g. methotrexate &gt;20mg per week (oral and subcutaneous), azathioprine &gt;3.0mg/kg/day; 6-mercaptopurine &gt;1.5mg/kg/day, mycophenolate &gt;1g/day) in the previous 3 months </w:t>
            </w:r>
          </w:p>
          <w:p w14:paraId="7892FFE6" w14:textId="77777777" w:rsidR="009A5C7D" w:rsidRPr="00903730" w:rsidRDefault="009A5C7D" w:rsidP="005D580E">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5D580E">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5D580E">
            <w:pPr>
              <w:pStyle w:val="Bulletindent1"/>
              <w:numPr>
                <w:ilvl w:val="1"/>
                <w:numId w:val="15"/>
              </w:numPr>
            </w:pPr>
            <w:r w:rsidRPr="009A5C7D">
              <w:t>replacement corticosteroids for individuals with adrenal insufficiency</w:t>
            </w:r>
          </w:p>
          <w:p w14:paraId="6EB0C321" w14:textId="77777777" w:rsidR="009A5C7D" w:rsidRPr="009A5C7D" w:rsidRDefault="009A5C7D" w:rsidP="005D580E">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5D580E">
            <w:pPr>
              <w:pStyle w:val="Bulletindent1"/>
              <w:numPr>
                <w:ilvl w:val="1"/>
                <w:numId w:val="15"/>
              </w:numPr>
            </w:pPr>
            <w:r w:rsidRPr="009A5C7D">
              <w:t>intra-articular, -bursal or -tendon corticosteroid injections.</w:t>
            </w:r>
          </w:p>
          <w:p w14:paraId="7B5D0722" w14:textId="7002EBAE" w:rsidR="009A5C7D" w:rsidRPr="009A5C7D" w:rsidRDefault="000311FF" w:rsidP="005D580E">
            <w:pPr>
              <w:pStyle w:val="Bulletindent1"/>
            </w:pPr>
            <w:r w:rsidRPr="000311FF">
              <w:rPr>
                <w:iCs/>
              </w:rPr>
              <w:t xml:space="preserve">Known hypersensitivity to doxycycline, any tetracycline or any of the components within the formulation - </w:t>
            </w:r>
            <w:r w:rsidR="009A5C7D" w:rsidRPr="009A5C7D">
              <w:t xml:space="preserve">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6C1055F3" w14:textId="77777777" w:rsidR="000311FF" w:rsidRPr="000311FF" w:rsidRDefault="007210CD" w:rsidP="005D580E">
            <w:pPr>
              <w:pStyle w:val="Bulletindent1"/>
            </w:pPr>
            <w:r w:rsidRPr="007210CD">
              <w:t xml:space="preserve">Inability to absorb oral medications and/or inability to swallow oral dosage formulations (i.e. </w:t>
            </w:r>
            <w:r w:rsidR="000311FF" w:rsidRPr="000311FF">
              <w:t>capsules or dispersible tablets)</w:t>
            </w:r>
          </w:p>
          <w:p w14:paraId="3EBFE709" w14:textId="77777777" w:rsidR="000311FF" w:rsidRPr="00C540EA" w:rsidRDefault="000311FF" w:rsidP="005D580E">
            <w:pPr>
              <w:pStyle w:val="Bulletindent1"/>
            </w:pPr>
            <w:r w:rsidRPr="00085712">
              <w:t>Current long-term use of doxycycline or another tetracycline antibiotic (e.g. treatment of acne vulgaris, prophylaxis of malaria etc.)</w:t>
            </w:r>
            <w:r w:rsidRPr="00085712">
              <w:rPr>
                <w:iCs/>
              </w:rPr>
              <w:t xml:space="preserve"> </w:t>
            </w:r>
          </w:p>
          <w:p w14:paraId="7A6E849F" w14:textId="4E16F9D5" w:rsidR="00B45C68" w:rsidRDefault="00B45C68" w:rsidP="005D580E">
            <w:pPr>
              <w:pStyle w:val="Bulletindent1"/>
            </w:pPr>
            <w:r>
              <w:lastRenderedPageBreak/>
              <w:t xml:space="preserve">Individuals following a </w:t>
            </w:r>
            <w:hyperlink r:id="rId31"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12029108" w14:textId="77777777" w:rsidR="00B45C68" w:rsidRDefault="00B45C68" w:rsidP="005D580E">
            <w:pPr>
              <w:pStyle w:val="Bulletindent1"/>
            </w:pPr>
            <w:r>
              <w:t>Failed previous antibiotic for this episode of sinusitis</w:t>
            </w:r>
          </w:p>
          <w:p w14:paraId="48335592" w14:textId="77777777" w:rsidR="00B45C68" w:rsidRDefault="00B45C68" w:rsidP="005D580E">
            <w:pPr>
              <w:pStyle w:val="Bulletindent1"/>
            </w:pPr>
            <w:r>
              <w:t>Nasal trauma</w:t>
            </w:r>
          </w:p>
          <w:p w14:paraId="02CE5E72" w14:textId="77777777" w:rsidR="00BB00F5" w:rsidRDefault="00B45C68" w:rsidP="005D580E">
            <w:pPr>
              <w:pStyle w:val="Bulletindent1"/>
            </w:pPr>
            <w:r>
              <w:t>Epistaxis</w:t>
            </w:r>
          </w:p>
          <w:p w14:paraId="48BC0311" w14:textId="77777777" w:rsidR="00BB00F5" w:rsidRDefault="00B45C68" w:rsidP="005D580E">
            <w:pPr>
              <w:pStyle w:val="Bulletindent1"/>
            </w:pPr>
            <w:r>
              <w:t xml:space="preserve">Foreign body inserted into nasal passage </w:t>
            </w:r>
          </w:p>
          <w:p w14:paraId="44140812" w14:textId="77777777" w:rsidR="00BB00F5" w:rsidRDefault="00B45C68" w:rsidP="005D580E">
            <w:pPr>
              <w:pStyle w:val="Bulletindent1"/>
            </w:pPr>
            <w:r>
              <w:t xml:space="preserve">Recurrent sinusitis (4 or more annual episodes of sinusitis without persistent symptoms in the intervening periods) </w:t>
            </w:r>
          </w:p>
          <w:p w14:paraId="0FABB47C" w14:textId="686DAE43" w:rsidR="00BB00F5" w:rsidRDefault="00B45C68" w:rsidP="005D580E">
            <w:pPr>
              <w:pStyle w:val="Bulletindent1"/>
            </w:pPr>
            <w:r>
              <w:t>Chronic sinusitis (sinusitis that causes symptoms that last for more than 12 weeks</w:t>
            </w:r>
            <w:r w:rsidR="00BB00F5">
              <w:t>)</w:t>
            </w:r>
          </w:p>
          <w:p w14:paraId="278D064D" w14:textId="77777777" w:rsidR="00BB00F5" w:rsidRDefault="00B45C68" w:rsidP="005D580E">
            <w:pPr>
              <w:pStyle w:val="Bulletindent1"/>
            </w:pPr>
            <w:r>
              <w:t xml:space="preserve">Anatomic defect(s) causing nasal obstruction </w:t>
            </w:r>
          </w:p>
          <w:p w14:paraId="6641BE0B" w14:textId="77777777" w:rsidR="00BB00F5" w:rsidRDefault="00B45C68" w:rsidP="005D580E">
            <w:pPr>
              <w:pStyle w:val="Bulletindent1"/>
            </w:pPr>
            <w:r>
              <w:t>Suspected allergic or immunological cause of sinusitis</w:t>
            </w:r>
          </w:p>
          <w:p w14:paraId="2D515BD8" w14:textId="77777777" w:rsidR="00BB00F5" w:rsidRDefault="00B45C68" w:rsidP="005D580E">
            <w:pPr>
              <w:pStyle w:val="Bulletindent1"/>
            </w:pPr>
            <w:r>
              <w:t>Co-morbidities complicating management such as nasal polyps.</w:t>
            </w:r>
          </w:p>
          <w:p w14:paraId="57614AFA" w14:textId="362B83F7" w:rsidR="00B45C68" w:rsidRDefault="00B45C68" w:rsidP="005D580E">
            <w:pPr>
              <w:pStyle w:val="Bulletindent1"/>
            </w:pPr>
            <w:r>
              <w:t xml:space="preserve">Individual has signs of a more serious illness or condition (i.e. red flag symptoms) (e.g. </w:t>
            </w:r>
            <w:proofErr w:type="spellStart"/>
            <w:r>
              <w:t>intraorbital</w:t>
            </w:r>
            <w:proofErr w:type="spellEnd"/>
            <w:r>
              <w:t xml:space="preserve">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32"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5D580E">
            <w:pPr>
              <w:pStyle w:val="Bulletindent1"/>
            </w:pPr>
            <w:r>
              <w:rPr>
                <w:iCs/>
              </w:rPr>
              <w:t>A</w:t>
            </w:r>
            <w:r w:rsidRPr="00793D7D">
              <w:rPr>
                <w:iCs/>
              </w:rPr>
              <w:t xml:space="preserve">ny individual identified with symptoms of </w:t>
            </w:r>
            <w:hyperlink r:id="rId33"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5D580E">
            <w:pPr>
              <w:pStyle w:val="Bulletindent1"/>
            </w:pPr>
            <w:r w:rsidRPr="007210CD">
              <w:t>Possible cancer:</w:t>
            </w:r>
          </w:p>
          <w:p w14:paraId="74B334DB" w14:textId="77777777" w:rsidR="007210CD" w:rsidRDefault="007210CD" w:rsidP="005D580E">
            <w:pPr>
              <w:pStyle w:val="Bulletindent1"/>
              <w:numPr>
                <w:ilvl w:val="1"/>
                <w:numId w:val="15"/>
              </w:numPr>
            </w:pPr>
            <w:r w:rsidRPr="007210CD">
              <w:t>Unilateral (one sided) polyp or mass or bloody nasal discharge present</w:t>
            </w:r>
          </w:p>
          <w:p w14:paraId="0009E151" w14:textId="77777777" w:rsidR="007210CD" w:rsidRDefault="007210CD" w:rsidP="005D580E">
            <w:pPr>
              <w:pStyle w:val="Bulletindent1"/>
              <w:numPr>
                <w:ilvl w:val="1"/>
                <w:numId w:val="15"/>
              </w:numPr>
            </w:pPr>
            <w:r w:rsidRPr="007210CD">
              <w:t>Persistent unilateral symptoms, such as nasal obstruction, nasal discharge or nosebleeds, crusting or facial swelling</w:t>
            </w:r>
          </w:p>
          <w:p w14:paraId="50318BDA" w14:textId="77777777" w:rsidR="007210CD" w:rsidRDefault="007210CD" w:rsidP="005D580E">
            <w:pPr>
              <w:pStyle w:val="Bulletindent1"/>
            </w:pPr>
            <w:r w:rsidRPr="007210CD">
              <w:t>Known myasthenia gravis</w:t>
            </w:r>
          </w:p>
          <w:p w14:paraId="0FB74FA8" w14:textId="77777777" w:rsidR="005D580E" w:rsidRDefault="005D580E" w:rsidP="005D580E">
            <w:pPr>
              <w:pStyle w:val="Bulletindent1"/>
            </w:pPr>
            <w:r>
              <w:t>Known systemic lupus erythematosus (SLE)</w:t>
            </w:r>
          </w:p>
          <w:p w14:paraId="06779AA1" w14:textId="77777777" w:rsidR="005D580E" w:rsidRDefault="005D580E" w:rsidP="005D580E">
            <w:pPr>
              <w:pStyle w:val="Bulletindent1"/>
            </w:pPr>
            <w:r>
              <w:lastRenderedPageBreak/>
              <w:t>Known oesophagitis or oesophageal ulceration</w:t>
            </w:r>
          </w:p>
          <w:p w14:paraId="3573C79D" w14:textId="77777777" w:rsidR="005D580E" w:rsidRDefault="005D580E" w:rsidP="005D580E">
            <w:pPr>
              <w:pStyle w:val="Bulletindent1"/>
            </w:pPr>
            <w:r>
              <w:t xml:space="preserve">Known porphyria </w:t>
            </w:r>
          </w:p>
          <w:p w14:paraId="35BDA38F" w14:textId="77777777" w:rsidR="005D580E" w:rsidRPr="00607D12" w:rsidRDefault="005D580E" w:rsidP="005D580E">
            <w:pPr>
              <w:pStyle w:val="Bulletindent1"/>
            </w:pPr>
            <w:r>
              <w:t>Individual</w:t>
            </w:r>
            <w:r w:rsidRPr="00085712">
              <w:t xml:space="preserve">s taking enzyme inducing anti-epileptic medications (carbamazepine, </w:t>
            </w:r>
            <w:proofErr w:type="spellStart"/>
            <w:r w:rsidRPr="00085712">
              <w:t>fosphenytoin</w:t>
            </w:r>
            <w:proofErr w:type="spellEnd"/>
            <w:r w:rsidRPr="00085712">
              <w:t>, phenobarbitone/phenobarbital, primidone, phenytoin)</w:t>
            </w:r>
          </w:p>
          <w:p w14:paraId="47387067" w14:textId="77777777" w:rsidR="005D580E" w:rsidRDefault="005D580E" w:rsidP="005D580E">
            <w:pPr>
              <w:pStyle w:val="Bulletindent1"/>
            </w:pPr>
            <w:r>
              <w:t>Individual</w:t>
            </w:r>
            <w:r w:rsidRPr="00085712">
              <w:t xml:space="preserve">s unable to separate administration times of interacting medicines </w:t>
            </w:r>
            <w:r>
              <w:t>(</w:t>
            </w:r>
            <w:r w:rsidRPr="0046087C">
              <w:t>e.g. oral calcium/iron/magnesium/zinc</w:t>
            </w:r>
            <w:r>
              <w:t>/aluminium/bismuth</w:t>
            </w:r>
            <w:r w:rsidRPr="0046087C">
              <w:t xml:space="preserve"> salts</w:t>
            </w:r>
            <w:r>
              <w:t xml:space="preserve"> (including some over the counter preparations (e.g. antacids))</w:t>
            </w:r>
            <w:r w:rsidRPr="0046087C">
              <w:t>, lanthanum, sucralfate</w:t>
            </w:r>
            <w:r>
              <w:t xml:space="preserve">) </w:t>
            </w:r>
            <w:r w:rsidRPr="00085712">
              <w:t xml:space="preserve">and doxycycline by 2-3 hours </w:t>
            </w:r>
          </w:p>
          <w:p w14:paraId="28409FF0" w14:textId="3139D728" w:rsidR="007210CD" w:rsidRPr="005273D0" w:rsidRDefault="007210CD" w:rsidP="005D580E">
            <w:pPr>
              <w:pStyle w:val="Bulletindent1"/>
            </w:pPr>
            <w:r w:rsidRPr="007210CD">
              <w:t>Less than 3 days before receiving, or within 3 days after receiving, oral typhoid vaccine</w:t>
            </w:r>
          </w:p>
          <w:p w14:paraId="242D0FB3" w14:textId="5C52ED09" w:rsidR="00CB4A2B" w:rsidRDefault="00793D7D" w:rsidP="005D580E">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25ECAFE5" w14:textId="77777777" w:rsidR="005D580E" w:rsidRPr="005D580E" w:rsidRDefault="005D580E" w:rsidP="005D580E">
            <w:pPr>
              <w:pStyle w:val="Tabletext"/>
              <w:rPr>
                <w:lang w:val="en-GB"/>
              </w:rPr>
            </w:pPr>
            <w:r w:rsidRPr="005D580E">
              <w:rPr>
                <w:lang w:val="en-GB"/>
              </w:rPr>
              <w:t xml:space="preserve">Caution should be exercised when supplying doxycycline to individuals taking the following medicine(s):  </w:t>
            </w:r>
          </w:p>
          <w:p w14:paraId="09700D30" w14:textId="77777777" w:rsidR="00E12123" w:rsidRDefault="00E12123" w:rsidP="00E12123">
            <w:pPr>
              <w:pStyle w:val="Tabletext"/>
            </w:pPr>
          </w:p>
          <w:p w14:paraId="71F270EE" w14:textId="77777777" w:rsidR="005D580E" w:rsidRPr="005D580E" w:rsidRDefault="005D580E" w:rsidP="005D580E">
            <w:pPr>
              <w:pStyle w:val="Tabletext"/>
              <w:rPr>
                <w:lang w:val="en-GB"/>
              </w:rPr>
            </w:pPr>
            <w:r w:rsidRPr="005D580E">
              <w:rPr>
                <w:b/>
                <w:bCs/>
                <w:lang w:val="en-GB"/>
              </w:rPr>
              <w:t xml:space="preserve">Coumarin anticoagulants (e.g. warfarin, </w:t>
            </w:r>
            <w:proofErr w:type="spellStart"/>
            <w:r w:rsidRPr="005D580E">
              <w:rPr>
                <w:b/>
                <w:lang w:val="en-GB"/>
              </w:rPr>
              <w:t>acenocoumarol</w:t>
            </w:r>
            <w:proofErr w:type="spellEnd"/>
            <w:r w:rsidRPr="005D580E">
              <w:rPr>
                <w:b/>
                <w:lang w:val="en-GB"/>
              </w:rPr>
              <w:t>, phenindione</w:t>
            </w:r>
            <w:r w:rsidRPr="005D580E">
              <w:rPr>
                <w:b/>
                <w:bCs/>
                <w:lang w:val="en-GB"/>
              </w:rPr>
              <w:t>):</w:t>
            </w:r>
            <w:r w:rsidRPr="005D580E">
              <w:rPr>
                <w:lang w:val="en-GB"/>
              </w:rPr>
              <w:t xml:space="preserve"> rises in INR reported. Individuals should be advised to have their INR monitored while on treatment with doxycycline and should be counselled re: seeking medical attention if any episode of bleeding develops while taking.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2D85DBFF" w14:textId="77777777" w:rsidR="005D580E" w:rsidRPr="005D580E" w:rsidRDefault="005D580E" w:rsidP="005D580E">
            <w:pPr>
              <w:pStyle w:val="Tabletext"/>
              <w:rPr>
                <w:rFonts w:eastAsia="Calibri" w:cs="Arial"/>
                <w:szCs w:val="22"/>
                <w:lang w:val="en-GB"/>
              </w:rPr>
            </w:pPr>
            <w:r w:rsidRPr="005D580E">
              <w:rPr>
                <w:rFonts w:eastAsia="Calibri" w:cs="Arial"/>
                <w:szCs w:val="22"/>
                <w:lang w:val="en-GB"/>
              </w:rPr>
              <w:t>Caution should be exercised when supplying doxycycline capsules or dispersible tablets to individuals who should avoid the following excipients:</w:t>
            </w:r>
          </w:p>
          <w:p w14:paraId="66569D4B" w14:textId="77777777" w:rsidR="001F2113" w:rsidRDefault="001F2113" w:rsidP="001F2113">
            <w:pPr>
              <w:pStyle w:val="Tabletext"/>
              <w:rPr>
                <w:rFonts w:eastAsia="Calibri" w:cs="Arial"/>
                <w:szCs w:val="22"/>
              </w:rPr>
            </w:pPr>
          </w:p>
          <w:p w14:paraId="45C0AF55" w14:textId="77777777" w:rsidR="001F2113" w:rsidRDefault="001F2113" w:rsidP="001F2113">
            <w:pPr>
              <w:pStyle w:val="Tabletext"/>
              <w:rPr>
                <w:rFonts w:eastAsia="Calibri" w:cs="Arial"/>
                <w:szCs w:val="22"/>
              </w:rPr>
            </w:pPr>
            <w:r w:rsidRPr="001F2113">
              <w:rPr>
                <w:rFonts w:eastAsia="Calibri" w:cs="Arial"/>
                <w:b/>
                <w:bCs/>
                <w:szCs w:val="22"/>
              </w:rPr>
              <w:t xml:space="preserve">Medicines known to cause </w:t>
            </w:r>
            <w:proofErr w:type="spellStart"/>
            <w:r w:rsidRPr="001F2113">
              <w:rPr>
                <w:rFonts w:eastAsia="Calibri" w:cs="Arial"/>
                <w:b/>
                <w:bCs/>
                <w:szCs w:val="22"/>
              </w:rPr>
              <w:t>hypokalaemia</w:t>
            </w:r>
            <w:proofErr w:type="spellEnd"/>
            <w:r w:rsidRPr="001F2113">
              <w:rPr>
                <w:rFonts w:eastAsia="Calibri" w:cs="Arial"/>
                <w:szCs w:val="22"/>
              </w:rPr>
              <w:t xml:space="preserve"> (e.g. diuretics, corticosteroids, </w:t>
            </w:r>
            <w:proofErr w:type="spellStart"/>
            <w:r w:rsidRPr="001F2113">
              <w:rPr>
                <w:rFonts w:eastAsia="Calibri" w:cs="Arial"/>
                <w:szCs w:val="22"/>
              </w:rPr>
              <w:t>xanthines</w:t>
            </w:r>
            <w:proofErr w:type="spellEnd"/>
            <w:r w:rsidRPr="001F2113">
              <w:rPr>
                <w:rFonts w:eastAsia="Calibri" w:cs="Arial"/>
                <w:szCs w:val="22"/>
              </w:rPr>
              <w:t xml:space="preserve">): may cause electrolyte disturbances – monitoring may be indicated. Advise individuals to contact their prescriber to discuss need. </w:t>
            </w:r>
          </w:p>
          <w:p w14:paraId="0F4EAC76" w14:textId="77777777" w:rsidR="001F2113" w:rsidRDefault="001F2113" w:rsidP="001F2113">
            <w:pPr>
              <w:pStyle w:val="Tabletext"/>
              <w:rPr>
                <w:rFonts w:eastAsia="Calibri" w:cs="Arial"/>
                <w:szCs w:val="22"/>
              </w:rPr>
            </w:pPr>
          </w:p>
          <w:p w14:paraId="458E069B" w14:textId="2B5B24F7" w:rsidR="001F2113" w:rsidRDefault="001F2113" w:rsidP="001F2113">
            <w:pPr>
              <w:pStyle w:val="Tabletext"/>
              <w:rPr>
                <w:rFonts w:cs="Arial"/>
                <w:lang w:val="en-GB"/>
              </w:rPr>
            </w:pPr>
            <w:r w:rsidRPr="001F2113">
              <w:rPr>
                <w:rFonts w:eastAsia="Calibri" w:cs="Arial"/>
                <w:szCs w:val="22"/>
              </w:rPr>
              <w:t xml:space="preserve">This list is not exhaustive and a detailed list of drug interactions is available in the SPC, which is available from the </w:t>
            </w:r>
            <w:hyperlink r:id="rId34" w:history="1">
              <w:r>
                <w:rPr>
                  <w:rStyle w:val="Hyperlink"/>
                  <w:rFonts w:eastAsia="Calibri" w:cs="Arial"/>
                  <w:szCs w:val="22"/>
                </w:rPr>
                <w:t>electronic Medicines Compendium website.</w:t>
              </w:r>
            </w:hyperlink>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6A4F1E14" w14:textId="77777777" w:rsidR="005D580E" w:rsidRPr="005D580E" w:rsidRDefault="005D580E" w:rsidP="005D580E">
            <w:pPr>
              <w:pStyle w:val="TableParagraph"/>
              <w:rPr>
                <w:rFonts w:ascii="Arial" w:hAnsi="Arial" w:cs="Arial"/>
              </w:rPr>
            </w:pPr>
            <w:r w:rsidRPr="005D580E">
              <w:rPr>
                <w:rFonts w:ascii="Arial" w:hAnsi="Arial" w:cs="Arial"/>
              </w:rPr>
              <w:t>Caution should be exercised when supplying doxycycline capsules or dispersible tablets to individuals who should avoid the following excipients:</w:t>
            </w: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lastRenderedPageBreak/>
              <w:t>Lactose, sucrose, fructose and sorbitol:</w:t>
            </w:r>
          </w:p>
          <w:p w14:paraId="16544F96" w14:textId="497ABEBC" w:rsidR="00E12123" w:rsidRPr="000B32D0" w:rsidRDefault="00E12123" w:rsidP="00E12123">
            <w:pPr>
              <w:pStyle w:val="TableParagraph"/>
              <w:rPr>
                <w:rFonts w:ascii="Arial" w:hAnsi="Arial" w:cs="Arial"/>
              </w:rPr>
            </w:pPr>
            <w:r w:rsidRPr="000B32D0">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35" w:history="1">
              <w:r w:rsidR="00A16080">
                <w:rPr>
                  <w:rStyle w:val="Hyperlink"/>
                  <w:rFonts w:ascii="Arial" w:hAnsi="Arial" w:cs="Arial"/>
                </w:rPr>
                <w:t>SmPC which can be accessed on the EMC website</w:t>
              </w:r>
            </w:hyperlink>
            <w:r w:rsidRPr="000B32D0">
              <w:rPr>
                <w:rFonts w:ascii="Arial" w:hAnsi="Arial" w:cs="Arial"/>
              </w:rPr>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E12123">
            <w:pPr>
              <w:pStyle w:val="Bulletindent1"/>
            </w:pPr>
            <w:r w:rsidRPr="00186EC7">
              <w:rPr>
                <w:rFonts w:cs="Arial"/>
              </w:rPr>
              <w:t xml:space="preserve">Individuals with </w:t>
            </w:r>
            <w:hyperlink r:id="rId36"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37"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38"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39" w:history="1">
              <w:r w:rsidRPr="008A4BC6">
                <w:rPr>
                  <w:rStyle w:val="Hyperlink"/>
                </w:rPr>
                <w:t>self-care advice as detailed on the NHS website</w:t>
              </w:r>
            </w:hyperlink>
            <w:r>
              <w:t xml:space="preserve"> </w:t>
            </w:r>
            <w:r w:rsidRPr="008A4BC6">
              <w:t xml:space="preserve"> including:</w:t>
            </w:r>
          </w:p>
          <w:p w14:paraId="63DB2659" w14:textId="76CC3788" w:rsidR="008A4BC6" w:rsidRDefault="008A4BC6" w:rsidP="00E12123">
            <w:pPr>
              <w:pStyle w:val="Bulletindent1"/>
            </w:pPr>
            <w:r w:rsidRPr="008A4BC6">
              <w:t xml:space="preserve">Paracetamol and ibuprofen (over the counter) can be used for pain and/or fever (where appropriate). (For further information see: </w:t>
            </w:r>
            <w:hyperlink r:id="rId40" w:history="1">
              <w:r w:rsidRPr="008A4BC6">
                <w:rPr>
                  <w:rStyle w:val="Hyperlink"/>
                </w:rPr>
                <w:t>NICE CKS - Mild to moderate pain</w:t>
              </w:r>
            </w:hyperlink>
            <w:r w:rsidRPr="008A4BC6">
              <w:t xml:space="preserve"> and </w:t>
            </w:r>
            <w:hyperlink r:id="rId41" w:history="1">
              <w:r w:rsidRPr="008A4BC6">
                <w:rPr>
                  <w:rStyle w:val="Hyperlink"/>
                </w:rPr>
                <w:t>NICE CKS - NSAIDs-prescribing issues</w:t>
              </w:r>
            </w:hyperlink>
            <w:r w:rsidRPr="008A4BC6">
              <w:t>).</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42"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7C83B8A8" w14:textId="77777777" w:rsidR="007F1BF9" w:rsidRDefault="007F1BF9" w:rsidP="007F1BF9">
            <w:pPr>
              <w:pStyle w:val="Bulletindent1"/>
            </w:pPr>
            <w:r w:rsidRPr="007F1BF9">
              <w:t>Advise acute sinusitis is usually caused by a virus, can take 2–3 weeks to resolve, and most people will get better without antibiotics.</w:t>
            </w:r>
          </w:p>
          <w:p w14:paraId="07DA31A0" w14:textId="3B43FFFC" w:rsidR="007F1BF9" w:rsidRDefault="007F1BF9" w:rsidP="007F1BF9">
            <w:pPr>
              <w:pStyle w:val="Bulletindent1"/>
            </w:pPr>
            <w:r w:rsidRPr="007F1BF9">
              <w:lastRenderedPageBreak/>
              <w:t xml:space="preserve">Where antibiotics are unlikely to of benefit: provide </w:t>
            </w:r>
            <w:hyperlink r:id="rId43" w:history="1">
              <w:r w:rsidRPr="007F1BF9">
                <w:rPr>
                  <w:rStyle w:val="Hyperlink"/>
                </w:rPr>
                <w:t>self-care advice as detailed on the NHS website</w:t>
              </w:r>
            </w:hyperlink>
            <w:r>
              <w:t>.</w:t>
            </w:r>
          </w:p>
          <w:p w14:paraId="47ED7E85" w14:textId="77777777" w:rsidR="007F1BF9" w:rsidRDefault="007F1BF9" w:rsidP="007F1BF9">
            <w:pPr>
              <w:pStyle w:val="Bulletindent1"/>
            </w:pPr>
            <w:r w:rsidRPr="007F1BF9">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20E34A50" w:rsidR="00A16080" w:rsidRDefault="00A16080" w:rsidP="00A16080">
            <w:pPr>
              <w:pStyle w:val="Bulletindent1"/>
            </w:pPr>
            <w:r w:rsidRPr="00A16080">
              <w:t>Systemically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52AA4AB3" w14:textId="77777777" w:rsidR="00C3283F" w:rsidRDefault="00C3283F" w:rsidP="00C3283F">
            <w:pPr>
              <w:pStyle w:val="Bulletindent1"/>
            </w:pPr>
            <w:r w:rsidRPr="00C3283F">
              <w:t xml:space="preserve">Signs of a more serious illness or condition (e.g. </w:t>
            </w:r>
            <w:proofErr w:type="spellStart"/>
            <w:r w:rsidRPr="00C3283F">
              <w:t>intraorbital</w:t>
            </w:r>
            <w:proofErr w:type="spellEnd"/>
            <w:r w:rsidRPr="00C3283F">
              <w:t xml:space="preserve">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44" w:history="1">
              <w:r w:rsidRPr="00C3283F">
                <w:rPr>
                  <w:rStyle w:val="Hyperlink"/>
                </w:rPr>
                <w:t>symptoms or signs of meningitis as detailed on the NHS website</w:t>
              </w:r>
            </w:hyperlink>
            <w:r>
              <w:t xml:space="preserve"> </w:t>
            </w:r>
            <w:r w:rsidRPr="00C3283F">
              <w:t>, severe frontal headache or focal neurological signs).</w:t>
            </w:r>
          </w:p>
          <w:p w14:paraId="317030C5" w14:textId="77777777" w:rsidR="00A16080" w:rsidRDefault="00A16080" w:rsidP="00A16080">
            <w:pPr>
              <w:pStyle w:val="Tabletext"/>
              <w:rPr>
                <w:b/>
                <w:bCs/>
                <w:lang w:val="en-GB"/>
              </w:rPr>
            </w:pPr>
            <w:r w:rsidRPr="00A16080">
              <w:rPr>
                <w:b/>
                <w:bCs/>
                <w:lang w:val="en-GB"/>
              </w:rPr>
              <w:t>If sepsis or serious complications are suspected refer the individual urgently to A&amp;E</w:t>
            </w:r>
          </w:p>
          <w:p w14:paraId="1ACA62F4" w14:textId="34C11127" w:rsidR="00C3283F" w:rsidRPr="00A16080" w:rsidRDefault="00C3283F" w:rsidP="00A16080">
            <w:pPr>
              <w:pStyle w:val="Tabletext"/>
              <w:rPr>
                <w:b/>
                <w:bCs/>
              </w:rPr>
            </w:pPr>
            <w:r w:rsidRPr="00C3283F">
              <w:rPr>
                <w:b/>
                <w:bCs/>
                <w:lang w:val="en-GB"/>
              </w:rPr>
              <w:t xml:space="preserve">For children: </w:t>
            </w:r>
            <w:r w:rsidRPr="00C3283F">
              <w:rPr>
                <w:lang w:val="en-GB"/>
              </w:rPr>
              <w:t xml:space="preserve">see </w:t>
            </w:r>
            <w:hyperlink r:id="rId45" w:history="1">
              <w:r w:rsidRPr="00C3283F">
                <w:rPr>
                  <w:rStyle w:val="Hyperlink"/>
                  <w:lang w:val="en-GB"/>
                </w:rPr>
                <w:t>Healthier Together guidance (rhinosinusitis/persistent runny nose)</w:t>
              </w:r>
            </w:hyperlink>
            <w:r w:rsidRPr="00C3283F">
              <w:rPr>
                <w:lang w:val="en-GB"/>
              </w:rPr>
              <w:t xml:space="preserve"> for further information on appropriate signposting and parent information sheets.</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lastRenderedPageBreak/>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lastRenderedPageBreak/>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w:t>
            </w:r>
            <w:r w:rsidRPr="00A16080">
              <w:lastRenderedPageBreak/>
              <w:t xml:space="preserve">treatment available using </w:t>
            </w:r>
            <w:r w:rsidR="00C3283F" w:rsidRPr="00C3283F">
              <w:t xml:space="preserve">the </w:t>
            </w:r>
            <w:hyperlink r:id="rId46" w:history="1">
              <w:r w:rsidR="00C3283F" w:rsidRPr="00C3283F">
                <w:rPr>
                  <w:rStyle w:val="Hyperlink"/>
                </w:rPr>
                <w:t>Treating Your 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84B890" w:rsidR="00A16080" w:rsidRPr="00A16080" w:rsidRDefault="00A16080" w:rsidP="0040595B">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4D1577FC" w14:textId="77777777" w:rsidR="0040595B" w:rsidRPr="0040595B" w:rsidRDefault="0040595B" w:rsidP="0040595B">
            <w:pPr>
              <w:pStyle w:val="Tabletext"/>
            </w:pPr>
            <w:r w:rsidRPr="0040595B">
              <w:t>Doxycycline 50mg capsules</w:t>
            </w:r>
          </w:p>
          <w:p w14:paraId="4BA8D2FE" w14:textId="77777777" w:rsidR="0040595B" w:rsidRPr="0040595B" w:rsidRDefault="0040595B" w:rsidP="0040595B">
            <w:pPr>
              <w:pStyle w:val="Tabletext"/>
            </w:pPr>
            <w:r w:rsidRPr="0040595B">
              <w:t xml:space="preserve">Doxycycline 100mg capsules </w:t>
            </w:r>
          </w:p>
          <w:p w14:paraId="2B104BB5" w14:textId="26B328F3" w:rsidR="00BA5AC3" w:rsidRPr="0012506B" w:rsidRDefault="0040595B" w:rsidP="0040595B">
            <w:pPr>
              <w:pStyle w:val="Tabletext"/>
            </w:pPr>
            <w:r w:rsidRPr="0040595B">
              <w:rPr>
                <w:lang w:val="en-GB"/>
              </w:rPr>
              <w:t>Doxycycline 100mg dispersible tablets</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787625">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13A6CD5D" w14:textId="77777777" w:rsidR="0040595B" w:rsidRPr="0040595B" w:rsidRDefault="0040595B" w:rsidP="0040595B">
            <w:pPr>
              <w:pStyle w:val="Tabletext"/>
              <w:rPr>
                <w:iCs/>
                <w:lang w:val="en-GB"/>
              </w:rPr>
            </w:pPr>
            <w:r w:rsidRPr="0040595B">
              <w:rPr>
                <w:iCs/>
                <w:lang w:val="en-GB"/>
              </w:rPr>
              <w:t xml:space="preserve">50mg or 100mg capsules: Orally, swallowed whole with plenty of water while sitting or standing well before (at least one hour before) bedtime. </w:t>
            </w:r>
          </w:p>
          <w:p w14:paraId="012119B8" w14:textId="77777777" w:rsidR="0040595B" w:rsidRPr="0040595B" w:rsidRDefault="0040595B" w:rsidP="0040595B">
            <w:pPr>
              <w:pStyle w:val="Tabletext"/>
              <w:rPr>
                <w:iCs/>
                <w:lang w:val="en-GB"/>
              </w:rPr>
            </w:pPr>
          </w:p>
          <w:p w14:paraId="6DE44C68" w14:textId="77777777" w:rsidR="0040595B" w:rsidRPr="0040595B" w:rsidRDefault="0040595B" w:rsidP="0040595B">
            <w:pPr>
              <w:pStyle w:val="Tabletext"/>
              <w:rPr>
                <w:iCs/>
                <w:lang w:val="en-GB"/>
              </w:rPr>
            </w:pPr>
            <w:r w:rsidRPr="0040595B">
              <w:rPr>
                <w:iCs/>
                <w:lang w:val="en-GB"/>
              </w:rPr>
              <w:t xml:space="preserve">100mg dispersible tablets: Orally, after allowing to disperse in a small amount of water, while sitting or standing well before (at least one hour before) bedtime. </w:t>
            </w:r>
          </w:p>
          <w:p w14:paraId="6A542432" w14:textId="77777777" w:rsidR="0040595B" w:rsidRPr="0040595B" w:rsidRDefault="0040595B" w:rsidP="0040595B">
            <w:pPr>
              <w:pStyle w:val="Tabletext"/>
              <w:rPr>
                <w:iCs/>
                <w:lang w:val="en-GB"/>
              </w:rPr>
            </w:pPr>
          </w:p>
          <w:p w14:paraId="04517ADA" w14:textId="38FD85A1" w:rsidR="004A295D" w:rsidRPr="00C3283F" w:rsidRDefault="0040595B" w:rsidP="0040595B">
            <w:pPr>
              <w:pStyle w:val="Tabletext"/>
            </w:pPr>
            <w:r w:rsidRPr="0040595B">
              <w:rPr>
                <w:iCs/>
                <w:lang w:val="en-GB"/>
              </w:rPr>
              <w:t>If gastric irritation occurs, doxycycline can be taken with food or milk</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0CAECCF3" w14:textId="3C044D02"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74240E7C" w14:textId="587EF712" w:rsidR="003E69CD" w:rsidRPr="003B61FD" w:rsidRDefault="005F17C5" w:rsidP="005F17C5">
            <w:pPr>
              <w:pStyle w:val="Tabletext"/>
              <w:rPr>
                <w:szCs w:val="22"/>
              </w:rPr>
            </w:pPr>
            <w:r w:rsidRPr="005A6885">
              <w:t xml:space="preserve">Where a medicine is recommended off-label consider, as part of the consent process, informing the </w:t>
            </w:r>
            <w:r w:rsidRPr="005A6885">
              <w:lastRenderedPageBreak/>
              <w:t>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E8A13E" w14:textId="77777777"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5A51C9DD" w:rsidR="0012506B" w:rsidRDefault="0040595B" w:rsidP="00A16080">
            <w:pPr>
              <w:pStyle w:val="Tabletext"/>
            </w:pPr>
            <w:r>
              <w:rPr>
                <w:rFonts w:eastAsia="Calibri" w:cs="Arial"/>
                <w:szCs w:val="22"/>
              </w:rPr>
              <w:t>200mg as a single dose on the first day and then 100mg once daily for 4 days</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3207AFB9" w14:textId="77777777" w:rsidR="00FA5C07" w:rsidRDefault="00FA5C07" w:rsidP="009B62D2">
            <w:pPr>
              <w:pStyle w:val="Tabletext"/>
              <w:rPr>
                <w:b/>
                <w:bCs/>
                <w:szCs w:val="22"/>
                <w:lang w:val="en-GB"/>
              </w:rPr>
            </w:pPr>
            <w:r w:rsidRPr="00FA5C07">
              <w:rPr>
                <w:b/>
                <w:bCs/>
                <w:szCs w:val="22"/>
                <w:lang w:val="en-GB"/>
              </w:rPr>
              <w:t>Children 12–17 years and adults:</w:t>
            </w:r>
          </w:p>
          <w:p w14:paraId="1BDDBFD7" w14:textId="52EC66A4" w:rsidR="00165DD9" w:rsidRPr="00FA5C07" w:rsidRDefault="0040595B" w:rsidP="009B62D2">
            <w:pPr>
              <w:pStyle w:val="Tabletext"/>
            </w:pPr>
            <w:r w:rsidRPr="00677C74">
              <w:rPr>
                <w:rFonts w:cs="Arial"/>
                <w:iCs/>
              </w:rPr>
              <w:t xml:space="preserve">Appropriately labelled pack of </w:t>
            </w:r>
            <w:r>
              <w:rPr>
                <w:rFonts w:cs="Arial"/>
                <w:iCs/>
              </w:rPr>
              <w:t xml:space="preserve">6 x 100mg capsules or 100mg dispersible tablets </w:t>
            </w:r>
            <w:r w:rsidRPr="007F68F1">
              <w:rPr>
                <w:rFonts w:cs="Arial"/>
                <w:b/>
                <w:iCs/>
              </w:rPr>
              <w:t>OR</w:t>
            </w:r>
            <w:r>
              <w:rPr>
                <w:rFonts w:cs="Arial"/>
                <w:b/>
                <w:iCs/>
              </w:rPr>
              <w:t xml:space="preserve"> </w:t>
            </w:r>
            <w:r>
              <w:rPr>
                <w:rFonts w:cs="Arial"/>
                <w:iCs/>
              </w:rPr>
              <w:t>a</w:t>
            </w:r>
            <w:r w:rsidRPr="00677C74">
              <w:rPr>
                <w:rFonts w:cs="Arial"/>
                <w:iCs/>
              </w:rPr>
              <w:t>ppropriately labelled pack of 12</w:t>
            </w:r>
            <w:r>
              <w:rPr>
                <w:rFonts w:cs="Arial"/>
                <w:iCs/>
              </w:rPr>
              <w:t xml:space="preserve"> x</w:t>
            </w:r>
            <w:r w:rsidRPr="00677C74">
              <w:rPr>
                <w:rFonts w:cs="Arial"/>
                <w:iCs/>
              </w:rPr>
              <w:t xml:space="preserve"> </w:t>
            </w:r>
            <w:r>
              <w:rPr>
                <w:rFonts w:cs="Arial"/>
                <w:iCs/>
              </w:rPr>
              <w:t>50mg</w:t>
            </w:r>
            <w:r w:rsidRPr="00677C74">
              <w:rPr>
                <w:rFonts w:cs="Arial"/>
                <w:iCs/>
              </w:rPr>
              <w:t xml:space="preserve"> capsules.</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B4A2B">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B4A2B">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15BC7291" w:rsidR="005F17C5" w:rsidRPr="00C434B8" w:rsidRDefault="00A16080"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005F17C5" w:rsidRPr="005A6885">
              <w:rPr>
                <w:rFonts w:ascii="Arial" w:eastAsia="Times New Roman" w:hAnsi="Arial" w:cs="Arial"/>
                <w:kern w:val="0"/>
                <w:sz w:val="22"/>
                <w:lang w:val="en-US"/>
                <w14:ligatures w14:val="none"/>
              </w:rPr>
              <w:t>the</w:t>
            </w:r>
            <w:hyperlink r:id="rId47" w:history="1">
              <w:r w:rsidR="0018109D">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0018109D" w:rsidRPr="0018109D">
                <w:rPr>
                  <w:rStyle w:val="Hyperlink"/>
                  <w:rFonts w:ascii="Arial" w:eastAsia="Times New Roman" w:hAnsi="Arial" w:cs="Arial"/>
                  <w:kern w:val="0"/>
                  <w:sz w:val="22"/>
                  <w:lang w:val="en-US"/>
                  <w14:ligatures w14:val="none"/>
                </w:rPr>
                <w:t xml:space="preserve"> SmPC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4DBC6E45" w14:textId="77777777" w:rsidR="0040595B" w:rsidRDefault="0040595B" w:rsidP="0040595B">
            <w:pPr>
              <w:pStyle w:val="TableParagraph"/>
              <w:rPr>
                <w:rFonts w:ascii="Arial" w:eastAsia="Times New Roman" w:hAnsi="Arial" w:cs="Arial"/>
                <w:lang w:val="en-GB" w:eastAsia="en-GB"/>
              </w:rPr>
            </w:pPr>
            <w:r w:rsidRPr="00677C74">
              <w:rPr>
                <w:rFonts w:ascii="Arial" w:eastAsia="Times New Roman" w:hAnsi="Arial" w:cs="Arial"/>
                <w:lang w:val="en-GB" w:eastAsia="en-GB"/>
              </w:rPr>
              <w:t>Where it is known an individual is concurrently taking one of the following medicines</w:t>
            </w:r>
            <w:r>
              <w:rPr>
                <w:rFonts w:ascii="Arial" w:eastAsia="Times New Roman" w:hAnsi="Arial" w:cs="Arial"/>
                <w:lang w:val="en-GB" w:eastAsia="en-GB"/>
              </w:rPr>
              <w:t>,</w:t>
            </w:r>
            <w:r w:rsidRPr="00677C74">
              <w:rPr>
                <w:rFonts w:ascii="Arial" w:eastAsia="Times New Roman" w:hAnsi="Arial" w:cs="Arial"/>
                <w:lang w:val="en-GB" w:eastAsia="en-GB"/>
              </w:rPr>
              <w:t xml:space="preserve"> </w:t>
            </w:r>
            <w:r>
              <w:rPr>
                <w:rFonts w:ascii="Arial" w:eastAsia="Times New Roman" w:hAnsi="Arial" w:cs="Arial"/>
                <w:lang w:val="en-GB" w:eastAsia="en-GB"/>
              </w:rPr>
              <w:t>doxycycline must</w:t>
            </w:r>
            <w:r w:rsidRPr="00677C74">
              <w:rPr>
                <w:rFonts w:ascii="Arial" w:eastAsia="Times New Roman" w:hAnsi="Arial" w:cs="Arial"/>
                <w:lang w:val="en-GB" w:eastAsia="en-GB"/>
              </w:rPr>
              <w:t xml:space="preserve"> not be </w:t>
            </w:r>
            <w:r>
              <w:rPr>
                <w:rFonts w:ascii="Arial" w:eastAsia="Times New Roman" w:hAnsi="Arial" w:cs="Arial"/>
                <w:lang w:val="en-GB" w:eastAsia="en-GB"/>
              </w:rPr>
              <w:t>supplied</w:t>
            </w:r>
            <w:r w:rsidRPr="00677C74">
              <w:rPr>
                <w:rFonts w:ascii="Arial" w:eastAsia="Times New Roman" w:hAnsi="Arial" w:cs="Arial"/>
                <w:lang w:val="en-GB" w:eastAsia="en-GB"/>
              </w:rPr>
              <w:t xml:space="preserve"> under this PGD and the individual referred to a prescriber:</w:t>
            </w:r>
          </w:p>
          <w:p w14:paraId="00A20B92" w14:textId="77777777" w:rsidR="0040595B" w:rsidRPr="005D649B" w:rsidRDefault="0040595B" w:rsidP="0040595B">
            <w:pPr>
              <w:pStyle w:val="Bulletindent1"/>
              <w:rPr>
                <w:rFonts w:eastAsia="Calibri"/>
              </w:rPr>
            </w:pPr>
            <w:r>
              <w:rPr>
                <w:rFonts w:eastAsia="Calibri"/>
              </w:rPr>
              <w:t>Ciclosporin</w:t>
            </w:r>
          </w:p>
          <w:p w14:paraId="63A283C7" w14:textId="77777777" w:rsidR="0040595B" w:rsidRPr="005D649B" w:rsidRDefault="0040595B" w:rsidP="0040595B">
            <w:pPr>
              <w:pStyle w:val="Bulletindent1"/>
              <w:rPr>
                <w:rFonts w:eastAsia="Calibri"/>
              </w:rPr>
            </w:pPr>
            <w:r w:rsidRPr="005D649B">
              <w:rPr>
                <w:rFonts w:eastAsia="Calibri"/>
              </w:rPr>
              <w:t>Acitretin</w:t>
            </w:r>
            <w:r>
              <w:rPr>
                <w:rFonts w:eastAsia="Calibri"/>
              </w:rPr>
              <w:t xml:space="preserve">, alitretinoin, isotretinoin, tretinoin </w:t>
            </w:r>
          </w:p>
          <w:p w14:paraId="6CA65BC8" w14:textId="77777777" w:rsidR="0040595B" w:rsidRDefault="0040595B" w:rsidP="0040595B">
            <w:pPr>
              <w:pStyle w:val="Bulletindent1"/>
              <w:rPr>
                <w:rFonts w:eastAsia="Calibri"/>
              </w:rPr>
            </w:pPr>
            <w:r w:rsidRPr="005D649B">
              <w:rPr>
                <w:rFonts w:eastAsia="Calibri"/>
              </w:rPr>
              <w:t>Lithium</w:t>
            </w:r>
          </w:p>
          <w:p w14:paraId="5E996F21" w14:textId="77777777" w:rsidR="00910EBA" w:rsidRDefault="00FA5C07" w:rsidP="0040595B">
            <w:pPr>
              <w:pStyle w:val="Bulletindent1"/>
            </w:pPr>
            <w:r w:rsidRPr="00FA5C07">
              <w:t xml:space="preserve">Typhoid vaccine (oral): </w:t>
            </w:r>
            <w:hyperlink w:anchor="Exclusions" w:history="1">
              <w:r w:rsidRPr="00910EBA">
                <w:rPr>
                  <w:rStyle w:val="Hyperlink"/>
                </w:rPr>
                <w:t>see Criteria for exclusion</w:t>
              </w:r>
            </w:hyperlink>
          </w:p>
          <w:p w14:paraId="43E86100" w14:textId="2148912E" w:rsidR="00FA5C07" w:rsidRPr="00FA5C07" w:rsidRDefault="00FA5C07" w:rsidP="0040595B">
            <w:pPr>
              <w:pStyle w:val="Tabletext"/>
            </w:pPr>
            <w:r w:rsidRPr="00FA5C07">
              <w:t xml:space="preserve"> See </w:t>
            </w:r>
            <w:hyperlink r:id="rId48" w:history="1">
              <w:r w:rsidRPr="00EA214D">
                <w:rPr>
                  <w:rStyle w:val="Hyperlink"/>
                </w:rPr>
                <w:t>BNF</w:t>
              </w:r>
            </w:hyperlink>
            <w:r w:rsidRPr="00FA5C07">
              <w:t xml:space="preserve"> for all drugs that can interact with </w:t>
            </w:r>
            <w:r w:rsidR="00C3593F">
              <w:t>doxycycline</w:t>
            </w:r>
            <w:r w:rsidRPr="00FA5C07">
              <w:t>.</w:t>
            </w:r>
          </w:p>
          <w:p w14:paraId="06B6C616" w14:textId="558092C5"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49"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50"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51" w:history="1">
              <w:r w:rsidR="00A16080">
                <w:rPr>
                  <w:rStyle w:val="Hyperlink"/>
                  <w:lang w:val="en-GB"/>
                </w:rPr>
                <w:t>SmPC which is available on the EMC website</w:t>
              </w:r>
            </w:hyperlink>
            <w:r w:rsidRPr="00E82744">
              <w:rPr>
                <w:lang w:val="en-GB"/>
              </w:rPr>
              <w:t xml:space="preserve"> or </w:t>
            </w:r>
            <w:hyperlink r:id="rId52"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001D53F" w14:textId="77777777" w:rsidR="0040595B" w:rsidRDefault="0040595B" w:rsidP="0040595B">
            <w:pPr>
              <w:widowControl w:val="0"/>
              <w:rPr>
                <w:rFonts w:ascii="Arial" w:hAnsi="Arial" w:cs="Arial"/>
                <w:bCs/>
                <w:iCs/>
                <w:sz w:val="22"/>
                <w:szCs w:val="22"/>
              </w:rPr>
            </w:pPr>
            <w:r>
              <w:rPr>
                <w:rFonts w:ascii="Arial" w:eastAsia="Calibri" w:hAnsi="Arial" w:cs="Arial"/>
                <w:sz w:val="22"/>
                <w:szCs w:val="22"/>
              </w:rPr>
              <w:t xml:space="preserve">The following side effects are listed in the product SPC or BNF as </w:t>
            </w:r>
            <w:r>
              <w:rPr>
                <w:rFonts w:ascii="Arial" w:eastAsia="Calibri" w:hAnsi="Arial" w:cs="Arial"/>
                <w:b/>
                <w:sz w:val="22"/>
                <w:szCs w:val="22"/>
              </w:rPr>
              <w:t>common</w:t>
            </w:r>
            <w:r>
              <w:rPr>
                <w:rFonts w:ascii="Arial" w:eastAsia="Calibri" w:hAnsi="Arial" w:cs="Arial"/>
                <w:sz w:val="22"/>
                <w:szCs w:val="22"/>
              </w:rPr>
              <w:t xml:space="preserve"> with doxycycline (but may not reflect all reported side effects):</w:t>
            </w:r>
          </w:p>
          <w:p w14:paraId="12C2ADA0" w14:textId="77777777" w:rsidR="0040595B" w:rsidRDefault="0040595B" w:rsidP="0040595B">
            <w:pPr>
              <w:pStyle w:val="Bulletindent1"/>
              <w:rPr>
                <w:rFonts w:eastAsia="Calibri"/>
              </w:rPr>
            </w:pPr>
            <w:r>
              <w:rPr>
                <w:rFonts w:eastAsia="Calibri"/>
              </w:rPr>
              <w:t>Diarrhoea</w:t>
            </w:r>
          </w:p>
          <w:p w14:paraId="518B84EF" w14:textId="77777777" w:rsidR="0040595B" w:rsidRPr="005D649B" w:rsidRDefault="0040595B" w:rsidP="0040595B">
            <w:pPr>
              <w:pStyle w:val="Bulletindent1"/>
              <w:rPr>
                <w:rFonts w:eastAsia="Calibri"/>
              </w:rPr>
            </w:pPr>
            <w:r>
              <w:rPr>
                <w:rFonts w:eastAsia="Calibri"/>
              </w:rPr>
              <w:t>H</w:t>
            </w:r>
            <w:r w:rsidRPr="005D649B">
              <w:rPr>
                <w:rFonts w:eastAsia="Calibri"/>
              </w:rPr>
              <w:t xml:space="preserve">ypersensitivity reactions </w:t>
            </w:r>
          </w:p>
          <w:p w14:paraId="70779E7E" w14:textId="77777777" w:rsidR="0040595B" w:rsidRPr="005D649B" w:rsidRDefault="0040595B" w:rsidP="0040595B">
            <w:pPr>
              <w:pStyle w:val="Bulletindent1"/>
              <w:rPr>
                <w:rFonts w:eastAsia="Calibri"/>
              </w:rPr>
            </w:pPr>
            <w:r>
              <w:rPr>
                <w:rFonts w:eastAsia="Calibri"/>
              </w:rPr>
              <w:t>He</w:t>
            </w:r>
            <w:r w:rsidRPr="005D649B">
              <w:rPr>
                <w:rFonts w:eastAsia="Calibri"/>
              </w:rPr>
              <w:t xml:space="preserve">adache </w:t>
            </w:r>
          </w:p>
          <w:p w14:paraId="380839BD" w14:textId="77777777" w:rsidR="0040595B" w:rsidRPr="00F63060" w:rsidRDefault="0040595B" w:rsidP="0040595B">
            <w:pPr>
              <w:pStyle w:val="Bulletindent1"/>
              <w:rPr>
                <w:rFonts w:eastAsia="Calibri"/>
              </w:rPr>
            </w:pPr>
            <w:r>
              <w:rPr>
                <w:rFonts w:eastAsia="Calibri"/>
              </w:rPr>
              <w:lastRenderedPageBreak/>
              <w:t>N</w:t>
            </w:r>
            <w:r w:rsidRPr="005D649B">
              <w:rPr>
                <w:rFonts w:eastAsia="Calibri"/>
              </w:rPr>
              <w:t>ausea</w:t>
            </w:r>
            <w:r>
              <w:rPr>
                <w:rFonts w:eastAsia="Calibri"/>
              </w:rPr>
              <w:t>, vomiting</w:t>
            </w:r>
          </w:p>
          <w:p w14:paraId="17ECAFF1" w14:textId="77777777" w:rsidR="0040595B" w:rsidRPr="005D649B" w:rsidRDefault="0040595B" w:rsidP="0040595B">
            <w:pPr>
              <w:pStyle w:val="Bulletindent1"/>
              <w:rPr>
                <w:rFonts w:eastAsia="Calibri"/>
              </w:rPr>
            </w:pPr>
            <w:r>
              <w:rPr>
                <w:rFonts w:eastAsia="Calibri"/>
                <w:shd w:val="clear" w:color="auto" w:fill="FFFFFF"/>
                <w:lang w:val="en-US"/>
              </w:rPr>
              <w:t>P</w:t>
            </w:r>
            <w:r w:rsidRPr="005D649B">
              <w:rPr>
                <w:rFonts w:eastAsia="Calibri"/>
                <w:shd w:val="clear" w:color="auto" w:fill="FFFFFF"/>
                <w:lang w:val="en-US"/>
              </w:rPr>
              <w:t>hotosensitivity skin reactions</w:t>
            </w:r>
          </w:p>
          <w:p w14:paraId="6E2669A5" w14:textId="77777777" w:rsidR="0040595B" w:rsidRPr="005D649B" w:rsidRDefault="0040595B" w:rsidP="0040595B">
            <w:pPr>
              <w:pStyle w:val="Bulletindent1"/>
              <w:rPr>
                <w:rFonts w:eastAsia="Calibri"/>
              </w:rPr>
            </w:pPr>
            <w:r>
              <w:rPr>
                <w:rFonts w:eastAsia="Calibri"/>
                <w:shd w:val="clear" w:color="auto" w:fill="FFFFFF"/>
                <w:lang w:val="en-US"/>
              </w:rPr>
              <w:t>Ra</w:t>
            </w:r>
            <w:r w:rsidRPr="005D649B">
              <w:rPr>
                <w:rFonts w:eastAsia="Calibri"/>
                <w:shd w:val="clear" w:color="auto" w:fill="FFFFFF"/>
                <w:lang w:val="en-US"/>
              </w:rPr>
              <w:t>sh including maculopapular, erythematous rashes and Henoch-</w:t>
            </w:r>
            <w:proofErr w:type="spellStart"/>
            <w:r w:rsidRPr="005D649B">
              <w:rPr>
                <w:rFonts w:eastAsia="Calibri"/>
                <w:shd w:val="clear" w:color="auto" w:fill="FFFFFF"/>
                <w:lang w:val="en-US"/>
              </w:rPr>
              <w:t>Schonlein</w:t>
            </w:r>
            <w:proofErr w:type="spellEnd"/>
            <w:r w:rsidRPr="005D649B">
              <w:rPr>
                <w:rFonts w:eastAsia="Calibri"/>
                <w:shd w:val="clear" w:color="auto" w:fill="FFFFFF"/>
                <w:lang w:val="en-US"/>
              </w:rPr>
              <w:t xml:space="preserve"> purpura</w:t>
            </w:r>
          </w:p>
          <w:p w14:paraId="52AFC884" w14:textId="77777777" w:rsidR="0040595B" w:rsidRPr="005D649B" w:rsidRDefault="0040595B" w:rsidP="0040595B">
            <w:pPr>
              <w:pStyle w:val="Bulletindent1"/>
              <w:rPr>
                <w:rFonts w:eastAsia="Calibri"/>
              </w:rPr>
            </w:pPr>
            <w:r>
              <w:rPr>
                <w:rFonts w:eastAsia="Calibri"/>
                <w:shd w:val="clear" w:color="auto" w:fill="FFFFFF"/>
                <w:lang w:val="en-US"/>
              </w:rPr>
              <w:t>U</w:t>
            </w:r>
            <w:r w:rsidRPr="005D649B">
              <w:rPr>
                <w:rFonts w:eastAsia="Calibri"/>
                <w:shd w:val="clear" w:color="auto" w:fill="FFFFFF"/>
                <w:lang w:val="en-US"/>
              </w:rPr>
              <w:t>rticaria</w:t>
            </w:r>
          </w:p>
          <w:p w14:paraId="3CAC473F" w14:textId="77777777" w:rsidR="0040595B" w:rsidRPr="005D649B" w:rsidRDefault="0040595B" w:rsidP="0040595B">
            <w:pPr>
              <w:pStyle w:val="Bulletindent1"/>
              <w:rPr>
                <w:rFonts w:eastAsia="Calibri"/>
              </w:rPr>
            </w:pPr>
            <w:r>
              <w:rPr>
                <w:rFonts w:eastAsia="Calibri"/>
                <w:shd w:val="clear" w:color="auto" w:fill="FFFFFF"/>
                <w:lang w:val="en-US"/>
              </w:rPr>
              <w:t>Hy</w:t>
            </w:r>
            <w:r w:rsidRPr="005D649B">
              <w:rPr>
                <w:rFonts w:eastAsia="Calibri"/>
                <w:shd w:val="clear" w:color="auto" w:fill="FFFFFF"/>
                <w:lang w:val="en-US"/>
              </w:rPr>
              <w:t>potension</w:t>
            </w:r>
          </w:p>
          <w:p w14:paraId="383606D1" w14:textId="77777777" w:rsidR="0040595B" w:rsidRPr="005D649B" w:rsidRDefault="0040595B" w:rsidP="0040595B">
            <w:pPr>
              <w:pStyle w:val="Bulletindent1"/>
              <w:rPr>
                <w:rFonts w:eastAsia="Calibri"/>
              </w:rPr>
            </w:pPr>
            <w:r>
              <w:rPr>
                <w:rFonts w:eastAsia="Calibri"/>
              </w:rPr>
              <w:t>P</w:t>
            </w:r>
            <w:r w:rsidRPr="005D649B">
              <w:rPr>
                <w:rFonts w:eastAsia="Calibri"/>
              </w:rPr>
              <w:t>ericarditis</w:t>
            </w:r>
          </w:p>
          <w:p w14:paraId="0BB04BFB" w14:textId="77777777" w:rsidR="0040595B" w:rsidRPr="005D649B" w:rsidRDefault="0040595B" w:rsidP="0040595B">
            <w:pPr>
              <w:pStyle w:val="Bulletindent1"/>
              <w:rPr>
                <w:rFonts w:eastAsia="Calibri"/>
              </w:rPr>
            </w:pPr>
            <w:r>
              <w:rPr>
                <w:rFonts w:eastAsia="Calibri"/>
              </w:rPr>
              <w:t>T</w:t>
            </w:r>
            <w:r w:rsidRPr="005D649B">
              <w:rPr>
                <w:rFonts w:eastAsia="Calibri"/>
              </w:rPr>
              <w:t>achycardia</w:t>
            </w:r>
          </w:p>
          <w:p w14:paraId="055F9DAD" w14:textId="77777777" w:rsidR="0040595B" w:rsidRDefault="0040595B" w:rsidP="0040595B">
            <w:pPr>
              <w:pStyle w:val="Bulletindent1"/>
              <w:rPr>
                <w:rFonts w:eastAsia="Calibri"/>
              </w:rPr>
            </w:pPr>
            <w:r>
              <w:rPr>
                <w:rFonts w:eastAsia="Calibri"/>
              </w:rPr>
              <w:t>D</w:t>
            </w:r>
            <w:r w:rsidRPr="005D649B">
              <w:rPr>
                <w:rFonts w:eastAsia="Calibri"/>
              </w:rPr>
              <w:t>yspnoea</w:t>
            </w:r>
          </w:p>
          <w:p w14:paraId="40309FE2" w14:textId="77777777" w:rsidR="0040595B" w:rsidRPr="007F68F1" w:rsidRDefault="0040595B" w:rsidP="0040595B">
            <w:pPr>
              <w:pStyle w:val="Bulletindent1"/>
              <w:rPr>
                <w:rFonts w:eastAsia="Calibri"/>
              </w:rPr>
            </w:pPr>
            <w:r>
              <w:rPr>
                <w:rFonts w:eastAsia="Calibri"/>
              </w:rPr>
              <w:t>P</w:t>
            </w:r>
            <w:r w:rsidRPr="0075173D">
              <w:rPr>
                <w:rFonts w:eastAsia="Calibri"/>
              </w:rPr>
              <w:t>eripheral oedema</w:t>
            </w:r>
          </w:p>
          <w:p w14:paraId="1A1C02DF" w14:textId="77777777" w:rsidR="0040595B" w:rsidRDefault="0040595B" w:rsidP="0040595B">
            <w:pPr>
              <w:pStyle w:val="Tabletext"/>
            </w:pPr>
            <w:r w:rsidRPr="00607D12">
              <w:rPr>
                <w:b/>
              </w:rPr>
              <w:t>Photosensitivity reactions:</w:t>
            </w:r>
            <w:r w:rsidRPr="00607D12">
              <w:t xml:space="preserve"> advise </w:t>
            </w:r>
            <w:r>
              <w:t>individual</w:t>
            </w:r>
            <w:r w:rsidRPr="00607D12">
              <w:t xml:space="preserve">s to avoid exposure to direct sunlight or ultraviolet light (including sunbeds and sun lamps) while taking doxycycline. </w:t>
            </w:r>
          </w:p>
          <w:p w14:paraId="3FA6DEA2" w14:textId="77777777" w:rsidR="0040595B" w:rsidRDefault="0040595B" w:rsidP="0040595B">
            <w:pPr>
              <w:widowControl w:val="0"/>
              <w:rPr>
                <w:rFonts w:ascii="Arial" w:hAnsi="Arial" w:cs="Arial"/>
                <w:bCs/>
                <w:iCs/>
                <w:sz w:val="22"/>
                <w:szCs w:val="22"/>
              </w:rPr>
            </w:pPr>
            <w:r>
              <w:rPr>
                <w:rFonts w:ascii="Arial" w:hAnsi="Arial" w:cs="Arial"/>
                <w:bCs/>
                <w:iCs/>
                <w:sz w:val="22"/>
                <w:szCs w:val="22"/>
              </w:rPr>
              <w:t>If exposure to sunlight is unavoidable, advise individuals to protect their skin by:</w:t>
            </w:r>
          </w:p>
          <w:p w14:paraId="7FB7BA79" w14:textId="77777777" w:rsidR="0040595B" w:rsidRDefault="0040595B" w:rsidP="0040595B">
            <w:pPr>
              <w:pStyle w:val="Bulletindent1"/>
            </w:pPr>
            <w:r>
              <w:t xml:space="preserve">Wearing clothes that cover them up, </w:t>
            </w:r>
          </w:p>
          <w:p w14:paraId="4679BB0D" w14:textId="77777777" w:rsidR="0040595B" w:rsidRDefault="0040595B" w:rsidP="0040595B">
            <w:pPr>
              <w:pStyle w:val="Bulletindent1"/>
            </w:pPr>
            <w:r>
              <w:t>W</w:t>
            </w:r>
            <w:r w:rsidRPr="00D554F6">
              <w:t>earing a hat and sunglasses</w:t>
            </w:r>
            <w:r w:rsidRPr="00A60986">
              <w:t>,</w:t>
            </w:r>
          </w:p>
          <w:p w14:paraId="4709CEBE" w14:textId="77777777" w:rsidR="0040595B" w:rsidRDefault="0040595B" w:rsidP="0040595B">
            <w:pPr>
              <w:pStyle w:val="Bulletindent1"/>
            </w:pPr>
            <w:r>
              <w:t>U</w:t>
            </w:r>
            <w:r w:rsidRPr="00D554F6">
              <w:t>s</w:t>
            </w:r>
            <w:r>
              <w:t>ing</w:t>
            </w:r>
            <w:r w:rsidRPr="00D554F6">
              <w:t xml:space="preserve"> a high factor (minimum SPF 30) sunscreen or sunblock. </w:t>
            </w:r>
          </w:p>
          <w:p w14:paraId="5E4D33E0" w14:textId="77777777" w:rsidR="0040595B" w:rsidRPr="00FB2F9E" w:rsidRDefault="0040595B" w:rsidP="0040595B">
            <w:pPr>
              <w:widowControl w:val="0"/>
              <w:ind w:left="720"/>
              <w:rPr>
                <w:rFonts w:ascii="Arial" w:hAnsi="Arial" w:cs="Arial"/>
                <w:bCs/>
                <w:iCs/>
                <w:sz w:val="22"/>
                <w:szCs w:val="22"/>
              </w:rPr>
            </w:pPr>
          </w:p>
          <w:p w14:paraId="52CC04F2" w14:textId="77777777" w:rsidR="0040595B" w:rsidRDefault="0040595B" w:rsidP="0040595B">
            <w:pPr>
              <w:pStyle w:val="Tabletext"/>
            </w:pPr>
            <w:r w:rsidRPr="00607D12">
              <w:rPr>
                <w:b/>
              </w:rPr>
              <w:t>Gastric irritation</w:t>
            </w:r>
            <w:r w:rsidRPr="00607D12">
              <w:t xml:space="preserve">: If </w:t>
            </w:r>
            <w:r>
              <w:t>individuals</w:t>
            </w:r>
            <w:r w:rsidRPr="00607D12">
              <w:t xml:space="preserve"> experience nausea or vomiting while taking doxycycline, advise them to take it with food</w:t>
            </w:r>
            <w:r>
              <w:t xml:space="preserve"> or milk</w:t>
            </w:r>
            <w:r w:rsidRPr="00607D12">
              <w:t xml:space="preserve">. </w:t>
            </w: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53"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59A213F4" w14:textId="34B9BB1D" w:rsidR="00A16080" w:rsidRDefault="003F13C6" w:rsidP="00A1608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lastRenderedPageBreak/>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lastRenderedPageBreak/>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D37A41">
            <w:pPr>
              <w:pStyle w:val="Bulletindent1"/>
            </w:pPr>
            <w:r w:rsidRPr="00A16080">
              <w:t>Provide marketing authorisation holder's patient information leaflet (PIL) provided with the product.</w:t>
            </w:r>
          </w:p>
          <w:p w14:paraId="4E7F1DF2" w14:textId="77777777" w:rsidR="00D37A41" w:rsidRDefault="00D37A41" w:rsidP="00D37A41">
            <w:pPr>
              <w:pStyle w:val="Bulletindent1"/>
            </w:pPr>
            <w:r>
              <w:t>Provide</w:t>
            </w:r>
            <w:r w:rsidRPr="00FF7E56">
              <w:t xml:space="preserve"> the</w:t>
            </w:r>
            <w:r>
              <w:t xml:space="preserve"> </w:t>
            </w:r>
            <w:hyperlink r:id="rId55" w:history="1">
              <w:r w:rsidRPr="006767D3">
                <w:rPr>
                  <w:rStyle w:val="Hyperlink"/>
                  <w:rFonts w:cs="Arial"/>
                  <w:iCs/>
                </w:rPr>
                <w:t>TARGET RTI leaflet</w:t>
              </w:r>
            </w:hyperlink>
          </w:p>
          <w:p w14:paraId="7DACADA5" w14:textId="77777777" w:rsidR="00D37A41" w:rsidRPr="006767D3" w:rsidRDefault="00D37A41" w:rsidP="00D37A41">
            <w:pPr>
              <w:pStyle w:val="Bulletindent1"/>
            </w:pPr>
            <w:r>
              <w:t xml:space="preserve">Utilise </w:t>
            </w:r>
            <w:hyperlink r:id="rId56" w:history="1">
              <w:r w:rsidRPr="00936DA7">
                <w:rPr>
                  <w:rStyle w:val="Hyperlink"/>
                  <w:rFonts w:cs="Arial"/>
                  <w:iCs/>
                </w:rPr>
                <w:t>TARGET antibiotic checklist</w:t>
              </w:r>
            </w:hyperlink>
            <w:r>
              <w:t xml:space="preserve"> for counselling individuals/carers/parents/guardians. </w:t>
            </w:r>
          </w:p>
          <w:p w14:paraId="72AB3536" w14:textId="0DCDD72B" w:rsidR="00700627" w:rsidRDefault="00A16080" w:rsidP="00D37A41">
            <w:pPr>
              <w:pStyle w:val="Bulletindent1"/>
            </w:pPr>
            <w:r w:rsidRPr="00A16080">
              <w:t xml:space="preserve"> Give any additional information in accordance with the local service specification.</w:t>
            </w:r>
          </w:p>
        </w:tc>
      </w:tr>
      <w:tr w:rsidR="00700627" w14:paraId="09A371CA" w14:textId="77777777" w:rsidTr="00787625">
        <w:tc>
          <w:tcPr>
            <w:tcW w:w="3397" w:type="dxa"/>
          </w:tcPr>
          <w:p w14:paraId="3FBD5E90" w14:textId="77777777" w:rsidR="00A16080" w:rsidRPr="00A16080" w:rsidRDefault="00A16080" w:rsidP="00A16080">
            <w:pPr>
              <w:rPr>
                <w:rStyle w:val="TableHeaderColumn"/>
                <w:kern w:val="0"/>
                <w:sz w:val="22"/>
              </w:rPr>
            </w:pPr>
            <w:r w:rsidRPr="00A16080">
              <w:rPr>
                <w:rStyle w:val="TableHeaderColumn"/>
                <w:kern w:val="0"/>
                <w:sz w:val="22"/>
              </w:rPr>
              <w:t>Individual advice / follow up</w:t>
            </w:r>
          </w:p>
          <w:p w14:paraId="5EE185C4" w14:textId="1AF298CF" w:rsidR="00A16080" w:rsidRPr="00A16080" w:rsidRDefault="00A16080" w:rsidP="00A16080">
            <w:pPr>
              <w:rPr>
                <w:rStyle w:val="TableHeaderColumn"/>
                <w:kern w:val="0"/>
                <w:sz w:val="22"/>
              </w:rPr>
            </w:pP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C3593F">
            <w:pPr>
              <w:pStyle w:val="Bulletindent1"/>
            </w:pPr>
            <w:r w:rsidRPr="00A16080">
              <w:t>Explain the dose, frequency and method of administration.</w:t>
            </w:r>
          </w:p>
          <w:p w14:paraId="23E8B7C4" w14:textId="77777777" w:rsidR="00C3593F" w:rsidRPr="00C3593F" w:rsidRDefault="00C3593F" w:rsidP="00C3593F">
            <w:pPr>
              <w:pStyle w:val="Bulletindent1"/>
            </w:pPr>
            <w:r w:rsidRPr="00C3593F">
              <w:rPr>
                <w:lang w:eastAsia="en-GB"/>
              </w:rPr>
              <w:t xml:space="preserve">If supplying dispersible tablets, advise individual/carer/parent/guardian to disperse (in a small amount of water) before taking. </w:t>
            </w:r>
          </w:p>
          <w:p w14:paraId="60EF541A" w14:textId="2D36A1C4" w:rsidR="00C3593F" w:rsidRDefault="00C3593F" w:rsidP="00C3593F">
            <w:pPr>
              <w:pStyle w:val="Bulletindent1"/>
            </w:pPr>
            <w:r w:rsidRPr="00C3593F">
              <w:rPr>
                <w:lang w:eastAsia="en-GB"/>
              </w:rPr>
              <w:t>The individual/carer/parent/guardian should be advised to read the PIL.</w:t>
            </w:r>
          </w:p>
          <w:p w14:paraId="73258149" w14:textId="33ED60E5" w:rsidR="00D37A41" w:rsidRPr="00D37A41" w:rsidRDefault="00D37A41" w:rsidP="00C3593F">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w:t>
            </w:r>
            <w:proofErr w:type="spellStart"/>
            <w:r w:rsidRPr="00D37A41">
              <w:rPr>
                <w:rFonts w:eastAsia="Calibri"/>
              </w:rPr>
              <w:t>intraorbital</w:t>
            </w:r>
            <w:proofErr w:type="spellEnd"/>
            <w:r w:rsidRPr="00D37A41">
              <w:rPr>
                <w:rFonts w:eastAsia="Calibri"/>
              </w:rPr>
              <w:t xml:space="preserve"> (within the eye) or 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57"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35382DE9" w14:textId="77777777" w:rsidR="00C3593F" w:rsidRDefault="00C3593F" w:rsidP="00C3593F">
            <w:pPr>
              <w:pStyle w:val="Bulletindent1"/>
            </w:pPr>
            <w:r w:rsidRPr="00F9104C">
              <w:t>Symptoms s</w:t>
            </w:r>
            <w:r>
              <w:t>hould start to improve within 3-5 days</w:t>
            </w:r>
            <w:r w:rsidRPr="00F9104C">
              <w:t xml:space="preserve"> of </w:t>
            </w:r>
            <w:r>
              <w:t>starting doxycycline -</w:t>
            </w:r>
            <w:r w:rsidRPr="00F9104C">
              <w:t xml:space="preserve"> advise individual to seek medical advice if no improvement within this time.</w:t>
            </w:r>
          </w:p>
          <w:p w14:paraId="5635DA75" w14:textId="77777777" w:rsidR="00D37A41" w:rsidRPr="00D37A41" w:rsidRDefault="00D37A41" w:rsidP="00C3593F">
            <w:pPr>
              <w:pStyle w:val="Bulletindent1"/>
              <w:rPr>
                <w:rFonts w:eastAsia="Calibri"/>
              </w:rPr>
            </w:pPr>
            <w:r w:rsidRPr="00D37A41">
              <w:rPr>
                <w:rFonts w:eastAsia="Calibri"/>
              </w:rPr>
              <w:t xml:space="preserve">Advise individual/carer/parent/guardian to seek medical help if symptoms worsen rapidly or significantly or do not improve after completion of treatment course. </w:t>
            </w:r>
          </w:p>
          <w:p w14:paraId="6B0A8F06" w14:textId="30B0D813" w:rsidR="00D37A41" w:rsidRPr="00D37A41" w:rsidRDefault="00D37A41" w:rsidP="00C3593F">
            <w:pPr>
              <w:pStyle w:val="Bulletindent1"/>
              <w:rPr>
                <w:rFonts w:eastAsia="Calibri"/>
              </w:rPr>
            </w:pPr>
            <w:r w:rsidRPr="00D37A41">
              <w:rPr>
                <w:rFonts w:eastAsia="Calibri"/>
              </w:rPr>
              <w:lastRenderedPageBreak/>
              <w:t xml:space="preserve">Advise individual/carer/parent/guardian to seek immediate medical attention (by calling 999 or going to A&amp;E) if the individual develops </w:t>
            </w:r>
            <w:hyperlink r:id="rId58" w:history="1">
              <w:r>
                <w:rPr>
                  <w:rFonts w:eastAsia="Calibri"/>
                  <w:color w:val="0000FF"/>
                  <w:u w:val="single"/>
                </w:rPr>
                <w:t>signs or symptoms of sepsis as described on the NHS website</w:t>
              </w:r>
            </w:hyperlink>
            <w:r w:rsidRPr="00D37A41">
              <w:rPr>
                <w:rFonts w:eastAsia="Calibri"/>
              </w:rPr>
              <w:t xml:space="preserve">. </w:t>
            </w:r>
          </w:p>
          <w:p w14:paraId="0DE56394" w14:textId="77777777" w:rsidR="00C3593F" w:rsidRPr="00677C74" w:rsidRDefault="00C3593F" w:rsidP="00C3593F">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 xml:space="preserve">possible side effects and their management, </w:t>
            </w:r>
            <w:r>
              <w:rPr>
                <w:rFonts w:eastAsia="Arial"/>
              </w:rPr>
              <w:t xml:space="preserve">including advice to swallow whole with plenty of water while sitting or standing well before (at least one hour before) bedtime.  </w:t>
            </w:r>
          </w:p>
          <w:p w14:paraId="7FED6BDA" w14:textId="77777777" w:rsidR="00C3593F" w:rsidRPr="00607D12" w:rsidRDefault="00C3593F" w:rsidP="00C3593F">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Pr>
                <w:rFonts w:eastAsia="Arial"/>
              </w:rPr>
              <w:t xml:space="preserve">(ideally the same time each day) </w:t>
            </w:r>
            <w:r w:rsidRPr="00A64695">
              <w:rPr>
                <w:rFonts w:eastAsia="Arial"/>
              </w:rPr>
              <w:t>and to finish the course.</w:t>
            </w:r>
          </w:p>
          <w:p w14:paraId="12B3DAB0" w14:textId="77777777" w:rsidR="00C3593F" w:rsidRPr="00C3593F" w:rsidRDefault="00C3593F" w:rsidP="00C3593F">
            <w:pPr>
              <w:pStyle w:val="Bulletindent1"/>
              <w:rPr>
                <w:rFonts w:eastAsia="Arial"/>
                <w:lang w:val="en-US"/>
              </w:rPr>
            </w:pPr>
            <w:r w:rsidRPr="00C3593F">
              <w:rPr>
                <w:rFonts w:eastAsia="Arial"/>
                <w:bCs/>
                <w:iCs/>
                <w:lang w:val="en-US"/>
              </w:rPr>
              <w:t xml:space="preserve">Advise </w:t>
            </w:r>
            <w:r w:rsidRPr="00C3593F">
              <w:rPr>
                <w:rFonts w:eastAsia="Arial"/>
              </w:rPr>
              <w:t xml:space="preserve">individual/carer/parent/guardian </w:t>
            </w:r>
            <w:r w:rsidRPr="00C3593F">
              <w:rPr>
                <w:rFonts w:eastAsia="Arial"/>
                <w:bCs/>
                <w:iCs/>
                <w:lang w:val="en-US"/>
              </w:rPr>
              <w:t>that if the individual experiences nausea or vomiting while taking doxycycline, they can take it with food.</w:t>
            </w:r>
          </w:p>
          <w:p w14:paraId="634B798A" w14:textId="79E78EB8" w:rsidR="00C3593F" w:rsidRPr="00C3593F" w:rsidRDefault="00C3593F" w:rsidP="00394BD4">
            <w:pPr>
              <w:pStyle w:val="Bulletindent1"/>
              <w:rPr>
                <w:rFonts w:eastAsia="Arial"/>
                <w:i/>
              </w:rPr>
            </w:pPr>
            <w:r w:rsidRPr="00C3593F">
              <w:rPr>
                <w:rFonts w:eastAsia="Arial"/>
              </w:rPr>
              <w:t xml:space="preserve">Advise individual/carer/parent/guardian not to take antacids or preparations containing calcium/iron/magnesium/zinc/aluminium/bismuth salts (including some bought over the counter) within 2-3 hours of taking doxycycline. </w:t>
            </w:r>
            <w:r w:rsidRPr="00C3593F">
              <w:rPr>
                <w:rFonts w:eastAsia="Arial"/>
                <w:i/>
              </w:rPr>
              <w:t>Note: consider medicines contained within a medicines compliance aid (MCA or “blister pack”) and tailor advice (i.e. alerting individual/carer/parent/guardian which medicines to omit while on treatment) to individual/carer/parent/guardian on a case-by-case basis.</w:t>
            </w:r>
          </w:p>
          <w:p w14:paraId="61828942" w14:textId="77777777" w:rsidR="00C3593F" w:rsidRPr="00C3593F" w:rsidRDefault="00C3593F" w:rsidP="00C3593F">
            <w:pPr>
              <w:pStyle w:val="Bulletindent1"/>
              <w:rPr>
                <w:rFonts w:eastAsia="Arial"/>
              </w:rPr>
            </w:pPr>
            <w:r w:rsidRPr="00C3593F">
              <w:rPr>
                <w:rFonts w:eastAsia="Arial"/>
              </w:rPr>
              <w:t xml:space="preserve">Advise individual/carer/parent/guardian to avoid exposure </w:t>
            </w:r>
            <w:r w:rsidRPr="00C3593F">
              <w:rPr>
                <w:rFonts w:eastAsia="Arial"/>
                <w:bCs/>
                <w:iCs/>
              </w:rPr>
              <w:t>to direct sunlight or ultraviolet light (including sunbeds and sun lamps) while taking doxycycline.</w:t>
            </w:r>
          </w:p>
          <w:p w14:paraId="44F6E36A" w14:textId="0A5DB8D3" w:rsidR="00D37A41" w:rsidRPr="00D37A41" w:rsidRDefault="00D37A41" w:rsidP="00C3593F">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D37A41" w:rsidRPr="003275A9" w:rsidRDefault="00D37A41" w:rsidP="00C3593F">
            <w:pPr>
              <w:pStyle w:val="Bulletindent1"/>
            </w:pPr>
            <w:r w:rsidRPr="003275A9">
              <w:t>If a dose is missed</w:t>
            </w:r>
            <w:r>
              <w:t>,</w:t>
            </w:r>
            <w:r w:rsidRPr="003275A9">
              <w:t xml:space="preserve"> advise to refer to PIL supplied with the product</w:t>
            </w:r>
          </w:p>
          <w:p w14:paraId="6DC7E4E6" w14:textId="77777777" w:rsidR="00D37A41" w:rsidRPr="00644130" w:rsidRDefault="00D37A41" w:rsidP="00C3593F">
            <w:pPr>
              <w:pStyle w:val="Bulletindent1"/>
            </w:pPr>
            <w:r w:rsidRPr="003275A9">
              <w:t>Advise individual/carer/parent/guardian to complete the full course even if symptoms improve.</w:t>
            </w:r>
          </w:p>
          <w:p w14:paraId="2BF8FA34" w14:textId="5912C861" w:rsidR="00700627" w:rsidRPr="00D54EC6" w:rsidRDefault="00D37A41" w:rsidP="00C3593F">
            <w:pPr>
              <w:pStyle w:val="Bulletindent1"/>
            </w:pPr>
            <w:r>
              <w:t xml:space="preserve">Advise individual/carer/parent/guardian to return any unused medicines to a pharmacy for </w:t>
            </w:r>
            <w:r>
              <w:lastRenderedPageBreak/>
              <w:t>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77777777" w:rsidR="004133DF" w:rsidRDefault="004133DF" w:rsidP="004133DF">
            <w:pPr>
              <w:pStyle w:val="Bulletindent1"/>
            </w:pPr>
            <w:r w:rsidRPr="004133DF">
              <w:t xml:space="preserve"> 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59"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4133DF" w:rsidRPr="004133DF" w:rsidRDefault="004133DF" w:rsidP="004133DF">
            <w:pPr>
              <w:pStyle w:val="Tabletext"/>
              <w:rPr>
                <w:b/>
                <w:bCs/>
              </w:rPr>
            </w:pPr>
            <w:r w:rsidRPr="004133DF">
              <w:rPr>
                <w:b/>
                <w:bCs/>
              </w:rPr>
              <w:lastRenderedPageBreak/>
              <w:t>Records must be signed and dated (or password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0"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61"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62"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63" w:history="1">
        <w:r w:rsidRPr="009B77E7">
          <w:rPr>
            <w:rStyle w:val="Hyperlink"/>
          </w:rPr>
          <w:t>Reference guide to consent for examination or treatment</w:t>
        </w:r>
      </w:hyperlink>
    </w:p>
    <w:p w14:paraId="3BD7766D" w14:textId="79F0699F" w:rsidR="00AF0367" w:rsidRPr="00720435" w:rsidRDefault="00AF0367" w:rsidP="00720435">
      <w:pPr>
        <w:pStyle w:val="Bulletindent1"/>
        <w:rPr>
          <w:rStyle w:val="Hyperlink"/>
        </w:rPr>
      </w:pPr>
      <w:hyperlink r:id="rId64" w:history="1">
        <w:r w:rsidRPr="00720435">
          <w:rPr>
            <w:rStyle w:val="Hyperlink"/>
          </w:rPr>
          <w:t>NICE Medicines practice guideline MPG2 - Patient Group Directions - Last Updated 27 March 2017</w:t>
        </w:r>
      </w:hyperlink>
    </w:p>
    <w:p w14:paraId="6B56058C" w14:textId="5B02637B" w:rsidR="00AF0367" w:rsidRPr="00720435" w:rsidRDefault="00AF0367" w:rsidP="00720435">
      <w:pPr>
        <w:pStyle w:val="Bulletindent1"/>
        <w:rPr>
          <w:rStyle w:val="Hyperlink"/>
        </w:rPr>
      </w:pPr>
      <w:hyperlink r:id="rId65" w:history="1">
        <w:r w:rsidRPr="00720435">
          <w:rPr>
            <w:rStyle w:val="Hyperlink"/>
          </w:rPr>
          <w:t>UK Sepsis Trust. Sepsis e-learning resources</w:t>
        </w:r>
      </w:hyperlink>
    </w:p>
    <w:p w14:paraId="3869CEAE" w14:textId="120BD205" w:rsidR="00AF0367" w:rsidRPr="00720435" w:rsidRDefault="00AF0367" w:rsidP="00720435">
      <w:pPr>
        <w:pStyle w:val="Bulletindent1"/>
        <w:rPr>
          <w:rStyle w:val="Hyperlink"/>
        </w:rPr>
      </w:pPr>
      <w:hyperlink r:id="rId66" w:history="1">
        <w:r w:rsidRPr="00720435">
          <w:rPr>
            <w:rStyle w:val="Hyperlink"/>
          </w:rPr>
          <w:t>TARGET Treating your infection - Respiratory Tract Infection (TYI-RTI) leaflet</w:t>
        </w:r>
      </w:hyperlink>
    </w:p>
    <w:p w14:paraId="7E229EA8" w14:textId="22720870" w:rsidR="00AF0367" w:rsidRPr="00720435" w:rsidRDefault="00AF0367" w:rsidP="00720435">
      <w:pPr>
        <w:pStyle w:val="Bulletindent1"/>
        <w:rPr>
          <w:rStyle w:val="Hyperlink"/>
        </w:rPr>
      </w:pPr>
      <w:hyperlink r:id="rId67" w:history="1">
        <w:r w:rsidRPr="00720435">
          <w:rPr>
            <w:rStyle w:val="Hyperlink"/>
          </w:rPr>
          <w:t>NICE Clinical Knowledge Summary. Acute sinusitis.</w:t>
        </w:r>
      </w:hyperlink>
    </w:p>
    <w:p w14:paraId="0F8AEB45" w14:textId="1F14F1B2" w:rsidR="00AF0367" w:rsidRPr="00720435" w:rsidRDefault="00AF0367" w:rsidP="00720435">
      <w:pPr>
        <w:pStyle w:val="Bulletindent1"/>
        <w:rPr>
          <w:rStyle w:val="Hyperlink"/>
        </w:rPr>
      </w:pPr>
      <w:hyperlink r:id="rId68" w:history="1">
        <w:r w:rsidRPr="00720435">
          <w:rPr>
            <w:rStyle w:val="Hyperlink"/>
          </w:rPr>
          <w:t>NICE Guideline 79 [NG79]. Sinusitis (acute): antimicrobial prescribing</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9"/>
      <w:headerReference w:type="default" r:id="rId70"/>
      <w:footerReference w:type="default" r:id="rId71"/>
      <w:headerReference w:type="first" r:id="rId72"/>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5533D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5533D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5533D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6061D"/>
    <w:multiLevelType w:val="hybridMultilevel"/>
    <w:tmpl w:val="70304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DEE458C"/>
    <w:multiLevelType w:val="hybridMultilevel"/>
    <w:tmpl w:val="37144C6A"/>
    <w:lvl w:ilvl="0" w:tplc="08090001">
      <w:start w:val="1"/>
      <w:numFmt w:val="bullet"/>
      <w:lvlText w:val=""/>
      <w:lvlJc w:val="left"/>
      <w:pPr>
        <w:ind w:left="398" w:hanging="360"/>
      </w:pPr>
      <w:rPr>
        <w:rFonts w:ascii="Symbol" w:hAnsi="Symbol" w:hint="default"/>
      </w:rPr>
    </w:lvl>
    <w:lvl w:ilvl="1" w:tplc="FFFFFFFF">
      <w:start w:val="1"/>
      <w:numFmt w:val="bullet"/>
      <w:lvlText w:val="o"/>
      <w:lvlJc w:val="left"/>
      <w:pPr>
        <w:ind w:left="1118" w:hanging="360"/>
      </w:pPr>
      <w:rPr>
        <w:rFonts w:ascii="Courier New" w:hAnsi="Courier New" w:cs="Courier New" w:hint="default"/>
      </w:rPr>
    </w:lvl>
    <w:lvl w:ilvl="2" w:tplc="FFFFFFFF">
      <w:start w:val="1"/>
      <w:numFmt w:val="bullet"/>
      <w:lvlText w:val=""/>
      <w:lvlJc w:val="left"/>
      <w:pPr>
        <w:ind w:left="1838" w:hanging="360"/>
      </w:pPr>
      <w:rPr>
        <w:rFonts w:ascii="Wingdings" w:hAnsi="Wingdings" w:hint="default"/>
      </w:rPr>
    </w:lvl>
    <w:lvl w:ilvl="3" w:tplc="FFFFFFFF" w:tentative="1">
      <w:start w:val="1"/>
      <w:numFmt w:val="bullet"/>
      <w:lvlText w:val=""/>
      <w:lvlJc w:val="left"/>
      <w:pPr>
        <w:ind w:left="2558" w:hanging="360"/>
      </w:pPr>
      <w:rPr>
        <w:rFonts w:ascii="Symbol" w:hAnsi="Symbol" w:hint="default"/>
      </w:rPr>
    </w:lvl>
    <w:lvl w:ilvl="4" w:tplc="FFFFFFFF" w:tentative="1">
      <w:start w:val="1"/>
      <w:numFmt w:val="bullet"/>
      <w:lvlText w:val="o"/>
      <w:lvlJc w:val="left"/>
      <w:pPr>
        <w:ind w:left="3278" w:hanging="360"/>
      </w:pPr>
      <w:rPr>
        <w:rFonts w:ascii="Courier New" w:hAnsi="Courier New" w:cs="Courier New" w:hint="default"/>
      </w:rPr>
    </w:lvl>
    <w:lvl w:ilvl="5" w:tplc="FFFFFFFF" w:tentative="1">
      <w:start w:val="1"/>
      <w:numFmt w:val="bullet"/>
      <w:lvlText w:val=""/>
      <w:lvlJc w:val="left"/>
      <w:pPr>
        <w:ind w:left="3998" w:hanging="360"/>
      </w:pPr>
      <w:rPr>
        <w:rFonts w:ascii="Wingdings" w:hAnsi="Wingdings" w:hint="default"/>
      </w:rPr>
    </w:lvl>
    <w:lvl w:ilvl="6" w:tplc="FFFFFFFF" w:tentative="1">
      <w:start w:val="1"/>
      <w:numFmt w:val="bullet"/>
      <w:lvlText w:val=""/>
      <w:lvlJc w:val="left"/>
      <w:pPr>
        <w:ind w:left="4718" w:hanging="360"/>
      </w:pPr>
      <w:rPr>
        <w:rFonts w:ascii="Symbol" w:hAnsi="Symbol" w:hint="default"/>
      </w:rPr>
    </w:lvl>
    <w:lvl w:ilvl="7" w:tplc="FFFFFFFF" w:tentative="1">
      <w:start w:val="1"/>
      <w:numFmt w:val="bullet"/>
      <w:lvlText w:val="o"/>
      <w:lvlJc w:val="left"/>
      <w:pPr>
        <w:ind w:left="5438" w:hanging="360"/>
      </w:pPr>
      <w:rPr>
        <w:rFonts w:ascii="Courier New" w:hAnsi="Courier New" w:cs="Courier New" w:hint="default"/>
      </w:rPr>
    </w:lvl>
    <w:lvl w:ilvl="8" w:tplc="FFFFFFFF" w:tentative="1">
      <w:start w:val="1"/>
      <w:numFmt w:val="bullet"/>
      <w:lvlText w:val=""/>
      <w:lvlJc w:val="left"/>
      <w:pPr>
        <w:ind w:left="6158" w:hanging="360"/>
      </w:pPr>
      <w:rPr>
        <w:rFonts w:ascii="Wingdings" w:hAnsi="Wingdings" w:hint="default"/>
      </w:r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1"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037090"/>
    <w:multiLevelType w:val="hybridMultilevel"/>
    <w:tmpl w:val="13A4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EA55B1"/>
    <w:multiLevelType w:val="hybridMultilevel"/>
    <w:tmpl w:val="FF342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5196FAF"/>
    <w:multiLevelType w:val="hybridMultilevel"/>
    <w:tmpl w:val="9350F1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5AF3140"/>
    <w:multiLevelType w:val="hybridMultilevel"/>
    <w:tmpl w:val="2E107A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2" w15:restartNumberingAfterBreak="0">
    <w:nsid w:val="770133B3"/>
    <w:multiLevelType w:val="hybridMultilevel"/>
    <w:tmpl w:val="EE28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5"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9"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7"/>
  </w:num>
  <w:num w:numId="2" w16cid:durableId="460340545">
    <w:abstractNumId w:val="13"/>
  </w:num>
  <w:num w:numId="3" w16cid:durableId="862549155">
    <w:abstractNumId w:val="33"/>
  </w:num>
  <w:num w:numId="4" w16cid:durableId="1902785077">
    <w:abstractNumId w:val="34"/>
  </w:num>
  <w:num w:numId="5" w16cid:durableId="1400252542">
    <w:abstractNumId w:val="20"/>
  </w:num>
  <w:num w:numId="6" w16cid:durableId="585113440">
    <w:abstractNumId w:val="12"/>
  </w:num>
  <w:num w:numId="7" w16cid:durableId="1512915418">
    <w:abstractNumId w:val="31"/>
  </w:num>
  <w:num w:numId="8" w16cid:durableId="759831936">
    <w:abstractNumId w:val="38"/>
  </w:num>
  <w:num w:numId="9" w16cid:durableId="1747412429">
    <w:abstractNumId w:val="3"/>
  </w:num>
  <w:num w:numId="10" w16cid:durableId="1297833641">
    <w:abstractNumId w:val="1"/>
  </w:num>
  <w:num w:numId="11" w16cid:durableId="1684160055">
    <w:abstractNumId w:val="37"/>
  </w:num>
  <w:num w:numId="12" w16cid:durableId="1610894224">
    <w:abstractNumId w:val="40"/>
  </w:num>
  <w:num w:numId="13" w16cid:durableId="1880973297">
    <w:abstractNumId w:val="18"/>
  </w:num>
  <w:num w:numId="14" w16cid:durableId="77676389">
    <w:abstractNumId w:val="6"/>
  </w:num>
  <w:num w:numId="15" w16cid:durableId="1496384920">
    <w:abstractNumId w:val="17"/>
  </w:num>
  <w:num w:numId="16" w16cid:durableId="441388192">
    <w:abstractNumId w:val="29"/>
    <w:lvlOverride w:ilvl="0">
      <w:startOverride w:val="1"/>
    </w:lvlOverride>
  </w:num>
  <w:num w:numId="17" w16cid:durableId="73867840">
    <w:abstractNumId w:val="8"/>
    <w:lvlOverride w:ilvl="0">
      <w:startOverride w:val="1"/>
    </w:lvlOverride>
  </w:num>
  <w:num w:numId="18" w16cid:durableId="604196735">
    <w:abstractNumId w:val="35"/>
  </w:num>
  <w:num w:numId="19" w16cid:durableId="373623662">
    <w:abstractNumId w:val="0"/>
  </w:num>
  <w:num w:numId="20" w16cid:durableId="219051108">
    <w:abstractNumId w:val="39"/>
  </w:num>
  <w:num w:numId="21" w16cid:durableId="58136785">
    <w:abstractNumId w:val="16"/>
  </w:num>
  <w:num w:numId="22" w16cid:durableId="349381989">
    <w:abstractNumId w:val="26"/>
  </w:num>
  <w:num w:numId="23" w16cid:durableId="1668512549">
    <w:abstractNumId w:val="5"/>
  </w:num>
  <w:num w:numId="24" w16cid:durableId="1466704068">
    <w:abstractNumId w:val="14"/>
  </w:num>
  <w:num w:numId="25" w16cid:durableId="1515025951">
    <w:abstractNumId w:val="36"/>
  </w:num>
  <w:num w:numId="26" w16cid:durableId="1985234507">
    <w:abstractNumId w:val="7"/>
  </w:num>
  <w:num w:numId="27" w16cid:durableId="1851486575">
    <w:abstractNumId w:val="9"/>
  </w:num>
  <w:num w:numId="28" w16cid:durableId="574559493">
    <w:abstractNumId w:val="11"/>
  </w:num>
  <w:num w:numId="29" w16cid:durableId="1487279491">
    <w:abstractNumId w:val="22"/>
  </w:num>
  <w:num w:numId="30" w16cid:durableId="1211065534">
    <w:abstractNumId w:val="30"/>
  </w:num>
  <w:num w:numId="31" w16cid:durableId="1170832544">
    <w:abstractNumId w:val="2"/>
  </w:num>
  <w:num w:numId="32" w16cid:durableId="1136143790">
    <w:abstractNumId w:val="25"/>
  </w:num>
  <w:num w:numId="33" w16cid:durableId="903611649">
    <w:abstractNumId w:val="17"/>
  </w:num>
  <w:num w:numId="34" w16cid:durableId="366176039">
    <w:abstractNumId w:val="17"/>
  </w:num>
  <w:num w:numId="35" w16cid:durableId="1642493762">
    <w:abstractNumId w:val="17"/>
  </w:num>
  <w:num w:numId="36" w16cid:durableId="1368407027">
    <w:abstractNumId w:val="17"/>
  </w:num>
  <w:num w:numId="37" w16cid:durableId="416630652">
    <w:abstractNumId w:val="21"/>
  </w:num>
  <w:num w:numId="38" w16cid:durableId="113066247">
    <w:abstractNumId w:val="17"/>
  </w:num>
  <w:num w:numId="39" w16cid:durableId="203980380">
    <w:abstractNumId w:val="28"/>
  </w:num>
  <w:num w:numId="40" w16cid:durableId="1903250743">
    <w:abstractNumId w:val="17"/>
  </w:num>
  <w:num w:numId="41" w16cid:durableId="1210335975">
    <w:abstractNumId w:val="32"/>
  </w:num>
  <w:num w:numId="42" w16cid:durableId="907494828">
    <w:abstractNumId w:val="15"/>
  </w:num>
  <w:num w:numId="43" w16cid:durableId="1939098777">
    <w:abstractNumId w:val="15"/>
  </w:num>
  <w:num w:numId="44" w16cid:durableId="2055081008">
    <w:abstractNumId w:val="17"/>
  </w:num>
  <w:num w:numId="45" w16cid:durableId="791755298">
    <w:abstractNumId w:val="17"/>
  </w:num>
  <w:num w:numId="46" w16cid:durableId="1048918460">
    <w:abstractNumId w:val="23"/>
  </w:num>
  <w:num w:numId="47" w16cid:durableId="63111491">
    <w:abstractNumId w:val="19"/>
  </w:num>
  <w:num w:numId="48" w16cid:durableId="45167830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EE9"/>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E9"/>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024E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4EE9"/>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sinusitis/diagnosis/diagnosis-acute-sinusitis/"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cdc.gov/naegleria/prevention/sinus-rinsing.html?CDC_AAref_Val=https://www.cdc.gov/parasites/naegleria/ritual-ablution.html" TargetMode="External"/><Relationship Id="rId47" Type="http://schemas.openxmlformats.org/officeDocument/2006/relationships/hyperlink" Target="https://www.medicines.org.uk/emc" TargetMode="External"/><Relationship Id="rId63" Type="http://schemas.openxmlformats.org/officeDocument/2006/relationships/hyperlink" Target="https://assets.publishing.service.gov.uk/government/uploads/system/uploads/attachment_data/file/138296/dh_103653__1_.pdf" TargetMode="External"/><Relationship Id="rId68" Type="http://schemas.openxmlformats.org/officeDocument/2006/relationships/hyperlink" Target="https://www.nice.org.uk/guidance/ng79" TargetMode="External"/><Relationship Id="rId2" Type="http://schemas.openxmlformats.org/officeDocument/2006/relationships/numbering" Target="numbering.xml"/><Relationship Id="rId16" Type="http://schemas.openxmlformats.org/officeDocument/2006/relationships/hyperlink" Target="https://www.cliniskills.com/community-pharmacists/" TargetMode="External"/><Relationship Id="rId29" Type="http://schemas.openxmlformats.org/officeDocument/2006/relationships/hyperlink" Target="https://www.medicines.org.uk/emc"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cks.nice.org.uk/topics/sinusitis/diagnosis/diagnosis-acute-sinusitis/" TargetMode="External"/><Relationship Id="rId32" Type="http://schemas.openxmlformats.org/officeDocument/2006/relationships/hyperlink" Target="https://www.nhs.uk/conditions/meningitis/symptoms/" TargetMode="External"/><Relationship Id="rId37" Type="http://schemas.openxmlformats.org/officeDocument/2006/relationships/hyperlink" Target="https://www.medicines.org.uk/emc" TargetMode="External"/><Relationship Id="rId40" Type="http://schemas.openxmlformats.org/officeDocument/2006/relationships/hyperlink" Target="https://cks.nice.org.uk/topics/analgesia-mild-to-moderate-pain/" TargetMode="External"/><Relationship Id="rId45" Type="http://schemas.openxmlformats.org/officeDocument/2006/relationships/hyperlink" Target="https://www.healthiertogether.nhs.uk/" TargetMode="External"/><Relationship Id="rId53" Type="http://schemas.openxmlformats.org/officeDocument/2006/relationships/hyperlink" Target="https://www.nhs.uk/health-a-to-z/conditions/" TargetMode="External"/><Relationship Id="rId58" Type="http://schemas.openxmlformats.org/officeDocument/2006/relationships/hyperlink" Target="https://www.nhs.uk/conditions/sepsis/" TargetMode="External"/><Relationship Id="rId66" Type="http://schemas.openxmlformats.org/officeDocument/2006/relationships/hyperlink" Target="https://elearning.rcgp.org.uk/mod/book/view.php?id=12647&amp;chapterid=444"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nf.nice.org.uk/"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assets.publishing.service.gov.uk/government/uploads/system/uploads/attachment_data/file/1012943/Green_book_of_immunisation_28a_Shingles.pdf" TargetMode="External"/><Relationship Id="rId30" Type="http://schemas.openxmlformats.org/officeDocument/2006/relationships/hyperlink" Target="https://www.medicines.org.uk/emc" TargetMode="External"/><Relationship Id="rId35" Type="http://schemas.openxmlformats.org/officeDocument/2006/relationships/hyperlink" Target="https://www.medicines.org.uk/emc" TargetMode="External"/><Relationship Id="rId43" Type="http://schemas.openxmlformats.org/officeDocument/2006/relationships/hyperlink" Target="https://www.nhs.uk/conditions/sinusitis-sinus-infection/" TargetMode="External"/><Relationship Id="rId48" Type="http://schemas.openxmlformats.org/officeDocument/2006/relationships/hyperlink" Target="https://bnf.nice.org.uk/" TargetMode="External"/><Relationship Id="rId56" Type="http://schemas.openxmlformats.org/officeDocument/2006/relationships/hyperlink" Target="https://elearning.rcgp.org.uk/mod/book/view.php?id=13511&amp;chapterid=784" TargetMode="External"/><Relationship Id="rId64" Type="http://schemas.openxmlformats.org/officeDocument/2006/relationships/hyperlink" Target="https://www.nice.org.uk/guidance/mpg2" TargetMode="External"/><Relationship Id="rId69" Type="http://schemas.openxmlformats.org/officeDocument/2006/relationships/header" Target="header1.xml"/><Relationship Id="rId8" Type="http://schemas.openxmlformats.org/officeDocument/2006/relationships/hyperlink" Target="https://www.nice.org.uk/guidance/mpg2/chapter/Recommendations" TargetMode="External"/><Relationship Id="rId51" Type="http://schemas.openxmlformats.org/officeDocument/2006/relationships/hyperlink" Target="https://www.medicines.org.uk/emc"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yperlink" Target="https://www.nhs.uk/conditions/sepsis/" TargetMode="External"/><Relationship Id="rId38" Type="http://schemas.openxmlformats.org/officeDocument/2006/relationships/hyperlink" Target="https://elearning.rcgp.org.uk/mod/book/view.php?id=12647&amp;chapterid=444" TargetMode="External"/><Relationship Id="rId46" Type="http://schemas.openxmlformats.org/officeDocument/2006/relationships/hyperlink" Target="https://elearning.rcgp.org.uk/mod/book/view.php?id=12647&amp;chapterid=444"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cks.nice.org.uk/topics/sinusitis/diagnosis/diagnosis-acute-sinusitis/" TargetMode="Externa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cks.nice.org.uk/topics/nsaids-prescribing-issues/" TargetMode="External"/><Relationship Id="rId54" Type="http://schemas.openxmlformats.org/officeDocument/2006/relationships/hyperlink" Target="https://yellowcard.mhra.gov.uk/" TargetMode="External"/><Relationship Id="rId62" Type="http://schemas.openxmlformats.org/officeDocument/2006/relationships/hyperlink" Target="https://bnfc.nice.org.uk/"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nhs.uk/conditions/phenylketonuria/" TargetMode="External"/><Relationship Id="rId49" Type="http://schemas.openxmlformats.org/officeDocument/2006/relationships/hyperlink" Target="https://www.medicines.org.uk/emc" TargetMode="External"/><Relationship Id="rId57" Type="http://schemas.openxmlformats.org/officeDocument/2006/relationships/hyperlink" Target="https://www.nhs.uk/conditions/meningitis/symptoms/" TargetMode="External"/><Relationship Id="rId10" Type="http://schemas.openxmlformats.org/officeDocument/2006/relationships/hyperlink" Target="https://www.nice.org.uk/Guidance/MPG2" TargetMode="External"/><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www.nhs.uk/conditions/meningitis/symptoms/" TargetMode="External"/><Relationship Id="rId52" Type="http://schemas.openxmlformats.org/officeDocument/2006/relationships/hyperlink" Target="https://bnf.nice.org.uk/" TargetMode="External"/><Relationship Id="rId60" Type="http://schemas.openxmlformats.org/officeDocument/2006/relationships/hyperlink" Target="https://www.medicines.org.uk/emc" TargetMode="External"/><Relationship Id="rId65" Type="http://schemas.openxmlformats.org/officeDocument/2006/relationships/hyperlink" Target="https://sepsistrust.org/professional-resources/sepsis-e-learnin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nhs.uk/conditions/sinusitis-sinus-infection/" TargetMode="External"/><Relationship Id="rId34" Type="http://schemas.openxmlformats.org/officeDocument/2006/relationships/hyperlink" Target="https://www.medicines.org.uk/emc" TargetMode="External"/><Relationship Id="rId50" Type="http://schemas.openxmlformats.org/officeDocument/2006/relationships/hyperlink" Target="https://bnfc.nice.org.uk/" TargetMode="External"/><Relationship Id="rId55" Type="http://schemas.openxmlformats.org/officeDocument/2006/relationships/hyperlink" Target="https://elearning.rcgp.org.uk/mod/book/view.php?id=12647&amp;chapterid=444"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5016</Words>
  <Characters>30757</Characters>
  <Application>Microsoft Office Word</Application>
  <DocSecurity>0</DocSecurity>
  <Lines>995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35685</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2026-03-12T14:47:00Z</dcterms:modified>
</cp:coreProperties>
</file>