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F28222"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FC723D">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4728CF0B" w:rsidR="006529F3" w:rsidRPr="00DF77C7" w:rsidRDefault="00BD4A9E" w:rsidP="00D0321A">
      <w:pPr>
        <w:pStyle w:val="PGDTitle2"/>
      </w:pPr>
      <w:r>
        <w:t>for the s</w:t>
      </w:r>
      <w:r w:rsidR="001344E7" w:rsidRPr="001344E7">
        <w:t xml:space="preserve">upply of </w:t>
      </w:r>
      <w:r w:rsidR="00731A6A" w:rsidRPr="00731A6A">
        <w:rPr>
          <w:bCs/>
        </w:rPr>
        <w:t xml:space="preserve">metronidazole tablets/oral suspension </w:t>
      </w:r>
      <w:r w:rsidR="001344E7" w:rsidRPr="001344E7">
        <w:t xml:space="preserve">for the </w:t>
      </w:r>
      <w:r w:rsidR="000267D5" w:rsidRPr="000267D5">
        <w:rPr>
          <w:bCs/>
          <w:kern w:val="28"/>
          <w:szCs w:val="28"/>
        </w:rPr>
        <w:t xml:space="preserve">treatment of Bacterial Vaginosis (BV) or </w:t>
      </w:r>
      <w:r w:rsidR="000267D5" w:rsidRPr="000267D5">
        <w:rPr>
          <w:bCs/>
          <w:i/>
          <w:iCs/>
          <w:kern w:val="28"/>
          <w:szCs w:val="28"/>
        </w:rPr>
        <w:t>Trichomonas vaginalis</w:t>
      </w:r>
      <w:r w:rsidR="000267D5" w:rsidRPr="000267D5">
        <w:rPr>
          <w:bCs/>
          <w:kern w:val="28"/>
          <w:szCs w:val="28"/>
        </w:rPr>
        <w:t xml:space="preserve"> (TV)</w:t>
      </w:r>
    </w:p>
    <w:p w14:paraId="4799BFF7" w14:textId="58641801" w:rsidR="007A1448" w:rsidRDefault="005C6771" w:rsidP="006529F3">
      <w:pPr>
        <w:pStyle w:val="PGDTitle2"/>
      </w:pPr>
      <w:r w:rsidRPr="00DF77C7">
        <w:t xml:space="preserve">in </w:t>
      </w:r>
      <w:r w:rsidR="00E46E97">
        <w:t>[</w:t>
      </w:r>
      <w:r w:rsidRPr="00DF77C7">
        <w:rPr>
          <w:highlight w:val="cyan"/>
        </w:rPr>
        <w:t>location/service/organisation</w:t>
      </w:r>
      <w:r w:rsidR="00E46E97">
        <w:t>]</w:t>
      </w:r>
      <w:r w:rsidR="00D0321A">
        <w:t xml:space="preserve"> </w:t>
      </w:r>
    </w:p>
    <w:p w14:paraId="446CEE0D" w14:textId="77777777" w:rsidR="006529F3" w:rsidRPr="00DF77C7" w:rsidRDefault="006529F3" w:rsidP="004C1FDF">
      <w:pPr>
        <w:pStyle w:val="PGDNormal"/>
      </w:pPr>
    </w:p>
    <w:p w14:paraId="70665420" w14:textId="7961219E" w:rsidR="00813399" w:rsidRPr="007F687D" w:rsidRDefault="00813399" w:rsidP="00D0321A">
      <w:pPr>
        <w:jc w:val="center"/>
        <w:rPr>
          <w:rStyle w:val="PGDVersionNumber"/>
        </w:rPr>
      </w:pPr>
      <w:r w:rsidRPr="007F687D">
        <w:rPr>
          <w:rStyle w:val="PGDVersionNumber"/>
        </w:rPr>
        <w:t xml:space="preserve">Version Number </w:t>
      </w:r>
      <w:r w:rsidR="000267D5">
        <w:rPr>
          <w:rStyle w:val="PGDVersionNumber"/>
        </w:rPr>
        <w:t>3</w:t>
      </w:r>
      <w:r w:rsidR="00251D91">
        <w:rPr>
          <w:rStyle w:val="PGDVersionNumber"/>
        </w:rPr>
        <w:t>.0</w:t>
      </w:r>
    </w:p>
    <w:p w14:paraId="1B3B53BC" w14:textId="77777777" w:rsidR="00813399" w:rsidRDefault="00813399" w:rsidP="00277103"/>
    <w:p w14:paraId="66183936" w14:textId="77777777" w:rsidR="00345F55" w:rsidRDefault="00345F55" w:rsidP="00277103"/>
    <w:p w14:paraId="24B86D35" w14:textId="77777777" w:rsidR="00345F55" w:rsidRPr="00DF77C7" w:rsidRDefault="00345F55" w:rsidP="00277103"/>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0267D5" w:rsidRPr="00DF77C7" w14:paraId="46335DA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6E57B1A" w14:textId="77777777" w:rsidR="000267D5" w:rsidRPr="00933B83" w:rsidRDefault="000267D5" w:rsidP="000267D5">
            <w:pPr>
              <w:rPr>
                <w:rFonts w:ascii="Arial" w:hAnsi="Arial" w:cs="Arial"/>
              </w:rPr>
            </w:pPr>
            <w:r w:rsidRPr="00933B83">
              <w:rPr>
                <w:rFonts w:ascii="Arial" w:hAnsi="Arial" w:cs="Arial"/>
              </w:rPr>
              <w:t>Version 1.0</w:t>
            </w:r>
          </w:p>
          <w:p w14:paraId="21AB7ADA" w14:textId="2CB044DA" w:rsidR="000267D5" w:rsidRPr="000A0A12" w:rsidRDefault="000267D5" w:rsidP="000267D5">
            <w:pPr>
              <w:pStyle w:val="TableHeaderRow"/>
              <w:rPr>
                <w:b w:val="0"/>
                <w:bCs w:val="0"/>
              </w:rPr>
            </w:pPr>
            <w:r w:rsidRPr="00933B83">
              <w:rPr>
                <w:rFonts w:cs="Arial"/>
                <w:b w:val="0"/>
                <w:bCs w:val="0"/>
              </w:rPr>
              <w:t>July 2020</w:t>
            </w:r>
          </w:p>
        </w:tc>
        <w:tc>
          <w:tcPr>
            <w:tcW w:w="7020" w:type="dxa"/>
            <w:tcBorders>
              <w:top w:val="single" w:sz="4" w:space="0" w:color="auto"/>
              <w:left w:val="single" w:sz="4" w:space="0" w:color="auto"/>
              <w:bottom w:val="single" w:sz="4" w:space="0" w:color="auto"/>
              <w:right w:val="single" w:sz="4" w:space="0" w:color="auto"/>
            </w:tcBorders>
          </w:tcPr>
          <w:p w14:paraId="4A94B6BD" w14:textId="014E1FB6" w:rsidR="000267D5" w:rsidRPr="000A0A12" w:rsidRDefault="000267D5" w:rsidP="000267D5">
            <w:pPr>
              <w:pStyle w:val="TableHeaderRow"/>
              <w:rPr>
                <w:b w:val="0"/>
                <w:bCs w:val="0"/>
              </w:rPr>
            </w:pPr>
            <w:r w:rsidRPr="00933B83">
              <w:rPr>
                <w:rFonts w:cs="Arial"/>
                <w:b w:val="0"/>
                <w:bCs w:val="0"/>
              </w:rPr>
              <w:t>New template</w:t>
            </w:r>
          </w:p>
        </w:tc>
      </w:tr>
      <w:tr w:rsidR="000267D5" w:rsidRPr="00DF77C7" w14:paraId="0ED0D5A2"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D234BA8" w14:textId="77777777" w:rsidR="000267D5" w:rsidRPr="00933B83" w:rsidRDefault="000267D5" w:rsidP="000267D5">
            <w:pPr>
              <w:rPr>
                <w:rFonts w:ascii="Arial" w:hAnsi="Arial" w:cs="Arial"/>
              </w:rPr>
            </w:pPr>
            <w:r w:rsidRPr="00933B83">
              <w:rPr>
                <w:rFonts w:ascii="Arial" w:hAnsi="Arial" w:cs="Arial"/>
              </w:rPr>
              <w:t>Version 1.1</w:t>
            </w:r>
          </w:p>
          <w:p w14:paraId="7B31E401" w14:textId="3E1A2AE6" w:rsidR="000267D5" w:rsidRPr="000A0A12" w:rsidRDefault="000267D5" w:rsidP="000267D5">
            <w:pPr>
              <w:pStyle w:val="TableHeaderRow"/>
              <w:rPr>
                <w:b w:val="0"/>
                <w:bCs w:val="0"/>
              </w:rPr>
            </w:pPr>
            <w:r w:rsidRPr="00933B83">
              <w:rPr>
                <w:rFonts w:cs="Arial"/>
                <w:b w:val="0"/>
                <w:bCs w:val="0"/>
              </w:rPr>
              <w:t>October 2020</w:t>
            </w:r>
          </w:p>
        </w:tc>
        <w:tc>
          <w:tcPr>
            <w:tcW w:w="7020" w:type="dxa"/>
            <w:tcBorders>
              <w:top w:val="single" w:sz="4" w:space="0" w:color="auto"/>
              <w:left w:val="single" w:sz="4" w:space="0" w:color="auto"/>
              <w:bottom w:val="single" w:sz="4" w:space="0" w:color="auto"/>
              <w:right w:val="single" w:sz="4" w:space="0" w:color="auto"/>
            </w:tcBorders>
          </w:tcPr>
          <w:p w14:paraId="0CEC87BF" w14:textId="77777777" w:rsidR="000267D5" w:rsidRPr="00933B83" w:rsidRDefault="000267D5" w:rsidP="000267D5">
            <w:pPr>
              <w:tabs>
                <w:tab w:val="left" w:pos="2050"/>
              </w:tabs>
              <w:rPr>
                <w:rFonts w:ascii="Arial" w:hAnsi="Arial" w:cs="Arial"/>
                <w:i/>
              </w:rPr>
            </w:pPr>
            <w:r w:rsidRPr="00933B83">
              <w:rPr>
                <w:rFonts w:ascii="Arial" w:hAnsi="Arial" w:cs="Arial"/>
              </w:rPr>
              <w:t>Removed from criteria for inclusion:</w:t>
            </w:r>
            <w:r w:rsidRPr="00933B83">
              <w:rPr>
                <w:rFonts w:ascii="Arial" w:hAnsi="Arial" w:cs="Arial"/>
                <w:i/>
              </w:rPr>
              <w:t xml:space="preserve"> Any individual with clinical signs suggestive BV or TV </w:t>
            </w:r>
          </w:p>
          <w:p w14:paraId="69205F82" w14:textId="77777777" w:rsidR="000267D5" w:rsidRPr="00933B83" w:rsidRDefault="000267D5" w:rsidP="000267D5">
            <w:pPr>
              <w:tabs>
                <w:tab w:val="left" w:pos="2050"/>
              </w:tabs>
              <w:rPr>
                <w:rFonts w:ascii="Arial" w:hAnsi="Arial" w:cs="Arial"/>
                <w:i/>
              </w:rPr>
            </w:pPr>
            <w:r w:rsidRPr="00933B83">
              <w:rPr>
                <w:rFonts w:ascii="Arial" w:hAnsi="Arial" w:cs="Arial"/>
                <w:i/>
              </w:rPr>
              <w:lastRenderedPageBreak/>
              <w:t xml:space="preserve">Sexual contacts of individuals diagnosed </w:t>
            </w:r>
            <w:r w:rsidRPr="00933B83">
              <w:rPr>
                <w:rFonts w:ascii="Arial" w:hAnsi="Arial" w:cs="Arial"/>
                <w:i/>
                <w:strike/>
              </w:rPr>
              <w:t>or suspected TV</w:t>
            </w:r>
            <w:r w:rsidRPr="00933B83">
              <w:rPr>
                <w:rFonts w:ascii="Arial" w:hAnsi="Arial" w:cs="Arial"/>
                <w:i/>
              </w:rPr>
              <w:t xml:space="preserve"> – do not wait for test results to treat. (text struck through removed only)</w:t>
            </w:r>
          </w:p>
          <w:p w14:paraId="4404FFA9" w14:textId="696B9489" w:rsidR="000267D5" w:rsidRPr="00EB0BF1" w:rsidRDefault="000267D5" w:rsidP="000267D5">
            <w:pPr>
              <w:pStyle w:val="TableHeaderRow"/>
              <w:rPr>
                <w:rFonts w:cs="Arial"/>
                <w:b w:val="0"/>
                <w:bCs w:val="0"/>
                <w:i/>
              </w:rPr>
            </w:pPr>
            <w:r w:rsidRPr="00933B83">
              <w:rPr>
                <w:rFonts w:cs="Arial"/>
                <w:b w:val="0"/>
                <w:bCs w:val="0"/>
              </w:rPr>
              <w:t>Advisory wording added to inclusion criteria section:</w:t>
            </w:r>
            <w:r w:rsidRPr="000A0A12">
              <w:rPr>
                <w:b w:val="0"/>
                <w:bCs w:val="0"/>
              </w:rPr>
              <w:t xml:space="preserve"> </w:t>
            </w:r>
            <w:r w:rsidRPr="00933B83">
              <w:rPr>
                <w:rFonts w:cs="Arial"/>
                <w:i/>
              </w:rPr>
              <w:t>NOTE</w:t>
            </w:r>
            <w:r w:rsidRPr="00933B83">
              <w:rPr>
                <w:rFonts w:cs="Arial"/>
                <w:b w:val="0"/>
                <w:bCs w:val="0"/>
                <w:i/>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r w:rsidRPr="00933B83">
              <w:rPr>
                <w:rFonts w:cs="Arial"/>
                <w:b w:val="0"/>
                <w:bCs w:val="0"/>
              </w:rPr>
              <w:t xml:space="preserve">  </w:t>
            </w:r>
          </w:p>
        </w:tc>
      </w:tr>
      <w:tr w:rsidR="000267D5" w:rsidRPr="00DF77C7" w14:paraId="799D50A5"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2BC5885" w14:textId="77777777" w:rsidR="000267D5" w:rsidRPr="00933B83" w:rsidRDefault="000267D5" w:rsidP="000267D5">
            <w:pPr>
              <w:rPr>
                <w:rFonts w:ascii="Arial" w:hAnsi="Arial" w:cs="Arial"/>
              </w:rPr>
            </w:pPr>
            <w:r w:rsidRPr="00933B83">
              <w:rPr>
                <w:rFonts w:ascii="Arial" w:hAnsi="Arial" w:cs="Arial"/>
              </w:rPr>
              <w:lastRenderedPageBreak/>
              <w:t xml:space="preserve">Version 1.2 </w:t>
            </w:r>
          </w:p>
          <w:p w14:paraId="037A434B" w14:textId="7E9CBB5B" w:rsidR="000267D5" w:rsidRPr="00933B83" w:rsidRDefault="000267D5" w:rsidP="000267D5">
            <w:pPr>
              <w:rPr>
                <w:rFonts w:ascii="Arial" w:hAnsi="Arial" w:cs="Arial"/>
              </w:rPr>
            </w:pPr>
            <w:r w:rsidRPr="00933B83">
              <w:rPr>
                <w:rFonts w:ascii="Arial" w:hAnsi="Arial" w:cs="Arial"/>
              </w:rPr>
              <w:t>August 2022</w:t>
            </w:r>
          </w:p>
        </w:tc>
        <w:tc>
          <w:tcPr>
            <w:tcW w:w="7020" w:type="dxa"/>
            <w:tcBorders>
              <w:top w:val="single" w:sz="4" w:space="0" w:color="auto"/>
              <w:left w:val="single" w:sz="4" w:space="0" w:color="auto"/>
              <w:bottom w:val="single" w:sz="4" w:space="0" w:color="auto"/>
              <w:right w:val="single" w:sz="4" w:space="0" w:color="auto"/>
            </w:tcBorders>
          </w:tcPr>
          <w:p w14:paraId="04743837" w14:textId="5DCC987A" w:rsidR="000267D5" w:rsidRPr="00933B83" w:rsidRDefault="000267D5" w:rsidP="000267D5">
            <w:pPr>
              <w:tabs>
                <w:tab w:val="left" w:pos="2050"/>
              </w:tabs>
              <w:rPr>
                <w:rFonts w:ascii="Arial" w:hAnsi="Arial" w:cs="Arial"/>
              </w:rPr>
            </w:pPr>
            <w:r w:rsidRPr="00933B83">
              <w:rPr>
                <w:rFonts w:ascii="Arial" w:hAnsi="Arial" w:cs="Arial"/>
              </w:rPr>
              <w:t xml:space="preserve">TV treatment updated in line with updated BASHH guidance </w:t>
            </w:r>
          </w:p>
        </w:tc>
      </w:tr>
      <w:tr w:rsidR="000267D5" w:rsidRPr="00DF77C7" w14:paraId="7D6A07B4"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D027B48" w14:textId="77777777" w:rsidR="000267D5" w:rsidRPr="00933B83" w:rsidRDefault="000267D5" w:rsidP="000267D5">
            <w:pPr>
              <w:rPr>
                <w:rFonts w:ascii="Arial" w:hAnsi="Arial" w:cs="Arial"/>
              </w:rPr>
            </w:pPr>
            <w:r w:rsidRPr="00933B83">
              <w:rPr>
                <w:rFonts w:ascii="Arial" w:hAnsi="Arial" w:cs="Arial"/>
              </w:rPr>
              <w:t>Version 2.0</w:t>
            </w:r>
          </w:p>
          <w:p w14:paraId="21DABB73" w14:textId="33402F68" w:rsidR="000267D5" w:rsidRPr="000A0A12" w:rsidRDefault="000267D5" w:rsidP="000267D5">
            <w:pPr>
              <w:pStyle w:val="TableHeaderRow"/>
              <w:rPr>
                <w:b w:val="0"/>
                <w:bCs w:val="0"/>
              </w:rPr>
            </w:pPr>
            <w:r w:rsidRPr="00933B83">
              <w:rPr>
                <w:rFonts w:cs="Arial"/>
                <w:b w:val="0"/>
                <w:bCs w:val="0"/>
              </w:rPr>
              <w:t>April 2023</w:t>
            </w:r>
          </w:p>
        </w:tc>
        <w:tc>
          <w:tcPr>
            <w:tcW w:w="7020" w:type="dxa"/>
            <w:tcBorders>
              <w:top w:val="single" w:sz="4" w:space="0" w:color="auto"/>
              <w:left w:val="single" w:sz="4" w:space="0" w:color="auto"/>
              <w:bottom w:val="single" w:sz="4" w:space="0" w:color="auto"/>
              <w:right w:val="single" w:sz="4" w:space="0" w:color="auto"/>
            </w:tcBorders>
          </w:tcPr>
          <w:p w14:paraId="5F55E61E" w14:textId="40676FBD" w:rsidR="000267D5" w:rsidRPr="000A0A12" w:rsidRDefault="000267D5" w:rsidP="000267D5">
            <w:pPr>
              <w:pStyle w:val="TableHeaderRow"/>
              <w:rPr>
                <w:b w:val="0"/>
                <w:bCs w:val="0"/>
              </w:rPr>
            </w:pPr>
            <w:r w:rsidRPr="00933B83">
              <w:rPr>
                <w:rFonts w:cs="Arial"/>
                <w:b w:val="0"/>
                <w:bCs w:val="0"/>
              </w:rPr>
              <w:t xml:space="preserve">Updated template:  additional clarification regarding interacting medicines.  Small formatting/wording changes to align with other SPS sexual health PGD templates.  </w:t>
            </w:r>
          </w:p>
        </w:tc>
      </w:tr>
      <w:tr w:rsidR="000267D5" w:rsidRPr="00DF77C7" w14:paraId="7F125CC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B368006" w14:textId="77777777" w:rsidR="000267D5" w:rsidRPr="00933B83" w:rsidRDefault="000267D5" w:rsidP="000267D5">
            <w:pPr>
              <w:rPr>
                <w:rFonts w:ascii="Arial" w:hAnsi="Arial" w:cs="Arial"/>
              </w:rPr>
            </w:pPr>
            <w:r w:rsidRPr="00933B83">
              <w:rPr>
                <w:rFonts w:ascii="Arial" w:hAnsi="Arial" w:cs="Arial"/>
              </w:rPr>
              <w:t>Version 2.1</w:t>
            </w:r>
          </w:p>
          <w:p w14:paraId="3A733E82" w14:textId="54DA4244" w:rsidR="000267D5" w:rsidRPr="000A0A12" w:rsidRDefault="000267D5" w:rsidP="000267D5">
            <w:pPr>
              <w:pStyle w:val="TableHeaderRow"/>
              <w:rPr>
                <w:b w:val="0"/>
                <w:bCs w:val="0"/>
              </w:rPr>
            </w:pPr>
            <w:r w:rsidRPr="00933B83">
              <w:rPr>
                <w:rFonts w:cs="Arial"/>
                <w:b w:val="0"/>
                <w:bCs w:val="0"/>
              </w:rPr>
              <w:t>October 2023</w:t>
            </w:r>
          </w:p>
        </w:tc>
        <w:tc>
          <w:tcPr>
            <w:tcW w:w="7020" w:type="dxa"/>
            <w:tcBorders>
              <w:top w:val="single" w:sz="4" w:space="0" w:color="auto"/>
              <w:left w:val="single" w:sz="4" w:space="0" w:color="auto"/>
              <w:bottom w:val="single" w:sz="4" w:space="0" w:color="auto"/>
              <w:right w:val="single" w:sz="4" w:space="0" w:color="auto"/>
            </w:tcBorders>
          </w:tcPr>
          <w:p w14:paraId="542D0D9C" w14:textId="77777777" w:rsidR="000267D5" w:rsidRPr="00933B83" w:rsidRDefault="000267D5" w:rsidP="000267D5">
            <w:pPr>
              <w:tabs>
                <w:tab w:val="left" w:pos="2050"/>
              </w:tabs>
              <w:rPr>
                <w:rFonts w:ascii="Arial" w:hAnsi="Arial" w:cs="Arial"/>
              </w:rPr>
            </w:pPr>
            <w:r w:rsidRPr="00933B83">
              <w:rPr>
                <w:rFonts w:ascii="Arial" w:hAnsi="Arial" w:cs="Arial"/>
              </w:rPr>
              <w:t>Updated PGD development group members.</w:t>
            </w:r>
          </w:p>
          <w:p w14:paraId="5F6FEA85" w14:textId="77777777" w:rsidR="000267D5" w:rsidRPr="00933B83" w:rsidRDefault="000267D5" w:rsidP="000267D5">
            <w:pPr>
              <w:tabs>
                <w:tab w:val="left" w:pos="2050"/>
              </w:tabs>
              <w:rPr>
                <w:rFonts w:ascii="Arial" w:hAnsi="Arial" w:cs="Arial"/>
              </w:rPr>
            </w:pPr>
            <w:r w:rsidRPr="00933B83">
              <w:rPr>
                <w:rFonts w:ascii="Arial" w:hAnsi="Arial" w:cs="Arial"/>
              </w:rPr>
              <w:t>Cockayne syndrome added to exclusions.</w:t>
            </w:r>
          </w:p>
          <w:p w14:paraId="7231E45B" w14:textId="6384C9C7" w:rsidR="000267D5" w:rsidRPr="000A0A12" w:rsidRDefault="000267D5" w:rsidP="000267D5">
            <w:pPr>
              <w:pStyle w:val="TableHeaderRow"/>
              <w:rPr>
                <w:b w:val="0"/>
                <w:bCs w:val="0"/>
              </w:rPr>
            </w:pPr>
            <w:r w:rsidRPr="00933B83">
              <w:rPr>
                <w:rFonts w:cs="Arial"/>
                <w:b w:val="0"/>
                <w:bCs w:val="0"/>
              </w:rPr>
              <w:t>Statement added regarding risk of prolongation of QT interval with interacting drugs added to exclusions and reflected in interactions section.</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15CB4440" w:rsidR="009D4A9A" w:rsidRPr="000A0A12" w:rsidRDefault="009D4A9A" w:rsidP="000F2D3B">
            <w:pPr>
              <w:pStyle w:val="Tabletext"/>
              <w:rPr>
                <w:sz w:val="20"/>
              </w:rPr>
            </w:pPr>
            <w:r w:rsidRPr="000A0A12">
              <w:rPr>
                <w:sz w:val="20"/>
              </w:rPr>
              <w:t xml:space="preserve">Version </w:t>
            </w:r>
            <w:r w:rsidR="000267D5" w:rsidRPr="000A0A12">
              <w:rPr>
                <w:sz w:val="20"/>
              </w:rPr>
              <w:t>3</w:t>
            </w:r>
            <w:r w:rsidR="00251D91" w:rsidRPr="000A0A12">
              <w:rPr>
                <w:sz w:val="20"/>
              </w:rPr>
              <w:t>.0</w:t>
            </w:r>
          </w:p>
          <w:p w14:paraId="564FB0F8" w14:textId="5483A1F9" w:rsidR="00251D91" w:rsidRPr="000A0A12" w:rsidRDefault="00345F55" w:rsidP="000F2D3B">
            <w:pPr>
              <w:pStyle w:val="Tabletext"/>
              <w:rPr>
                <w:sz w:val="20"/>
              </w:rPr>
            </w:pPr>
            <w:r>
              <w:rPr>
                <w:sz w:val="20"/>
              </w:rPr>
              <w:t>January 2026</w:t>
            </w:r>
          </w:p>
        </w:tc>
        <w:tc>
          <w:tcPr>
            <w:tcW w:w="7020" w:type="dxa"/>
            <w:tcBorders>
              <w:top w:val="single" w:sz="4" w:space="0" w:color="auto"/>
              <w:left w:val="single" w:sz="4" w:space="0" w:color="auto"/>
              <w:bottom w:val="single" w:sz="4" w:space="0" w:color="auto"/>
              <w:right w:val="single" w:sz="4" w:space="0" w:color="auto"/>
            </w:tcBorders>
          </w:tcPr>
          <w:p w14:paraId="49B98D92" w14:textId="77777777" w:rsidR="00E80C4A" w:rsidRDefault="00E80C4A" w:rsidP="009D4A9A">
            <w:pPr>
              <w:pStyle w:val="Tabletext"/>
              <w:rPr>
                <w:sz w:val="20"/>
              </w:rPr>
            </w:pPr>
            <w:r>
              <w:rPr>
                <w:sz w:val="20"/>
              </w:rPr>
              <w:t>Planned end of life review:</w:t>
            </w:r>
          </w:p>
          <w:p w14:paraId="3DB9B014" w14:textId="2B880D14" w:rsidR="00073743" w:rsidRPr="00933B83" w:rsidRDefault="00392781" w:rsidP="009D4A9A">
            <w:pPr>
              <w:pStyle w:val="Tabletext"/>
              <w:rPr>
                <w:rStyle w:val="TableHeaderColumn"/>
                <w:b w:val="0"/>
                <w:bCs w:val="0"/>
              </w:rPr>
            </w:pPr>
            <w:r w:rsidRPr="00933B83">
              <w:rPr>
                <w:sz w:val="20"/>
              </w:rPr>
              <w:t>Alignment with other SPS antimicrobial PGD templates</w:t>
            </w:r>
            <w:r w:rsidR="00073743" w:rsidRPr="00933B83">
              <w:rPr>
                <w:rStyle w:val="TableHeaderColumn"/>
                <w:b w:val="0"/>
                <w:bCs w:val="0"/>
              </w:rPr>
              <w:t xml:space="preserve"> </w:t>
            </w:r>
          </w:p>
          <w:p w14:paraId="4A45011F" w14:textId="316663D7" w:rsidR="00E80C4A" w:rsidRPr="00E80C4A" w:rsidRDefault="00073743" w:rsidP="00E80C4A">
            <w:pPr>
              <w:pStyle w:val="Tabletext"/>
              <w:rPr>
                <w:sz w:val="20"/>
              </w:rPr>
            </w:pPr>
            <w:r w:rsidRPr="00933B83">
              <w:rPr>
                <w:rStyle w:val="TableHeaderColumn"/>
                <w:b w:val="0"/>
                <w:bCs w:val="0"/>
              </w:rPr>
              <w:t>Additon of information regarding NHS resources on bacterial vaginosis and Trichomon</w:t>
            </w:r>
            <w:r w:rsidR="00606847" w:rsidRPr="00933B83">
              <w:rPr>
                <w:rStyle w:val="TableHeaderColumn"/>
                <w:b w:val="0"/>
                <w:bCs w:val="0"/>
              </w:rPr>
              <w:t>iasis</w:t>
            </w:r>
            <w:r w:rsidR="00606847" w:rsidRPr="000A0A12">
              <w:rPr>
                <w:rStyle w:val="TableHeaderColumn"/>
                <w:b w:val="0"/>
                <w:bCs w:val="0"/>
              </w:rPr>
              <w:t xml:space="preserve"> </w:t>
            </w:r>
            <w:r w:rsidR="00E80C4A">
              <w:rPr>
                <w:rStyle w:val="TableHeaderColumn"/>
                <w:b w:val="0"/>
                <w:bCs w:val="0"/>
              </w:rPr>
              <w:t xml:space="preserve">and BASHH patient information leaflets </w:t>
            </w:r>
            <w:r w:rsidR="00E80C4A" w:rsidRPr="00933B83">
              <w:rPr>
                <w:rStyle w:val="TableHeaderColumn"/>
                <w:b w:val="0"/>
                <w:bCs w:val="0"/>
              </w:rPr>
              <w:t>on bacterial vaginosis and Trichomoniasis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3DDC072F">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6508BB7B" w:rsidR="0017669F" w:rsidRPr="00DF77C7" w:rsidRDefault="595A671C" w:rsidP="00AD67D4">
            <w:pPr>
              <w:pStyle w:val="Tabletext"/>
              <w:rPr>
                <w:lang w:val="en-GB"/>
              </w:rPr>
            </w:pPr>
            <w:r w:rsidRPr="3DDC072F">
              <w:rPr>
                <w:lang w:val="en-GB"/>
              </w:rPr>
              <w:t>1</w:t>
            </w:r>
            <w:r w:rsidRPr="3DDC072F">
              <w:rPr>
                <w:vertAlign w:val="superscript"/>
                <w:lang w:val="en-GB"/>
              </w:rPr>
              <w:t>st</w:t>
            </w:r>
            <w:r w:rsidRPr="3DDC072F">
              <w:rPr>
                <w:lang w:val="en-GB"/>
              </w:rPr>
              <w:t xml:space="preserve"> July 2026</w:t>
            </w:r>
          </w:p>
        </w:tc>
      </w:tr>
      <w:tr w:rsidR="00FC4AA5" w:rsidRPr="00DF77C7" w14:paraId="18F33630" w14:textId="77777777" w:rsidTr="3DDC072F">
        <w:tc>
          <w:tcPr>
            <w:tcW w:w="3969" w:type="dxa"/>
          </w:tcPr>
          <w:p w14:paraId="40ECC743" w14:textId="6A42D3C9"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1595C950" w:rsidR="00FC4AA5" w:rsidRPr="00DF77C7" w:rsidRDefault="3A387076" w:rsidP="00AD67D4">
            <w:pPr>
              <w:pStyle w:val="Tabletext"/>
              <w:rPr>
                <w:lang w:val="en-GB"/>
              </w:rPr>
            </w:pPr>
            <w:r w:rsidRPr="3DDC072F">
              <w:rPr>
                <w:lang w:val="en-GB"/>
              </w:rPr>
              <w:t>31</w:t>
            </w:r>
            <w:r w:rsidRPr="3DDC072F">
              <w:rPr>
                <w:vertAlign w:val="superscript"/>
                <w:lang w:val="en-GB"/>
              </w:rPr>
              <w:t>st</w:t>
            </w:r>
            <w:r w:rsidRPr="3DDC072F">
              <w:rPr>
                <w:lang w:val="en-GB"/>
              </w:rPr>
              <w:t xml:space="preserve"> December 2028</w:t>
            </w:r>
          </w:p>
        </w:tc>
      </w:tr>
      <w:tr w:rsidR="00FC4AA5" w:rsidRPr="00DF77C7" w14:paraId="0FB80BBA" w14:textId="77777777" w:rsidTr="3DDC072F">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1112B" w:rsidR="00FC4AA5" w:rsidRPr="00DF77C7" w:rsidRDefault="77A616EE" w:rsidP="00AD67D4">
            <w:pPr>
              <w:pStyle w:val="Tabletext"/>
              <w:rPr>
                <w:lang w:val="en-GB"/>
              </w:rPr>
            </w:pPr>
            <w:r w:rsidRPr="3DDC072F">
              <w:rPr>
                <w:lang w:val="en-GB"/>
              </w:rPr>
              <w:t>30</w:t>
            </w:r>
            <w:r w:rsidRPr="3DDC072F">
              <w:rPr>
                <w:vertAlign w:val="superscript"/>
                <w:lang w:val="en-GB"/>
              </w:rPr>
              <w:t>th</w:t>
            </w:r>
            <w:r w:rsidRPr="3DDC072F">
              <w:rPr>
                <w:lang w:val="en-GB"/>
              </w:rPr>
              <w:t xml:space="preserve"> June 2029</w:t>
            </w:r>
          </w:p>
        </w:tc>
      </w:tr>
    </w:tbl>
    <w:p w14:paraId="22A68ADB" w14:textId="77777777" w:rsidR="00050C45" w:rsidRPr="00DF77C7" w:rsidRDefault="00050C45" w:rsidP="00F57606">
      <w:pPr>
        <w:pStyle w:val="Tabletext"/>
      </w:pPr>
    </w:p>
    <w:p w14:paraId="0F6D83B0" w14:textId="0E54D359" w:rsidR="00B51CC6" w:rsidRDefault="007C41EE" w:rsidP="00AD67D4">
      <w:pPr>
        <w:pStyle w:val="PGDNormal"/>
        <w:rPr>
          <w:lang w:val="en-GB"/>
        </w:rPr>
      </w:pPr>
      <w:r w:rsidRPr="007C41EE">
        <w:rPr>
          <w:lang w:val="en-GB"/>
        </w:rPr>
        <w:t xml:space="preserve">This PGD template has been peer reviewed by the </w:t>
      </w:r>
      <w:r w:rsidR="000267D5">
        <w:rPr>
          <w:lang w:val="en-GB"/>
        </w:rPr>
        <w:t>sexual health</w:t>
      </w:r>
      <w:r w:rsidRPr="007C41EE">
        <w:rPr>
          <w:lang w:val="en-GB"/>
        </w:rPr>
        <w:t xml:space="preserve"> PGD</w:t>
      </w:r>
      <w:r w:rsidR="000267D5">
        <w:rPr>
          <w:lang w:val="en-GB"/>
        </w:rPr>
        <w:t>s</w:t>
      </w:r>
      <w:r w:rsidRPr="007C41EE">
        <w:rPr>
          <w:lang w:val="en-GB"/>
        </w:rPr>
        <w:t xml:space="preserve"> Short Life Working Group in accordance with their Terms of Reference</w:t>
      </w:r>
      <w:r w:rsidR="00B51CC6">
        <w:rPr>
          <w:lang w:val="en-GB"/>
        </w:rPr>
        <w:t>.</w:t>
      </w:r>
      <w:r w:rsidR="000267D5">
        <w:rPr>
          <w:lang w:val="en-GB"/>
        </w:rPr>
        <w:t xml:space="preserve"> </w:t>
      </w:r>
      <w:r w:rsidR="000267D5" w:rsidRPr="000D4FBF">
        <w:rPr>
          <w:rFonts w:cs="Arial"/>
        </w:rPr>
        <w:t>It has been approved by the British Association for Sexual Health and</w:t>
      </w:r>
      <w:r w:rsidR="000267D5">
        <w:rPr>
          <w:rFonts w:cs="Arial"/>
        </w:rPr>
        <w:t xml:space="preserve"> HIV (BASHH</w:t>
      </w:r>
      <w:r w:rsidR="000267D5" w:rsidRPr="00D10926">
        <w:rPr>
          <w:rFonts w:cs="Arial"/>
        </w:rPr>
        <w:t>)</w:t>
      </w:r>
      <w:r w:rsidR="000267D5">
        <w:rPr>
          <w:rFonts w:cs="Arial"/>
        </w:rPr>
        <w:t xml:space="preserve">/BASHH </w:t>
      </w:r>
      <w:r w:rsidR="000267D5" w:rsidRPr="00DD4FE8">
        <w:rPr>
          <w:rFonts w:cs="Arial"/>
        </w:rPr>
        <w:t>Bacterial Special Interest Group</w:t>
      </w:r>
      <w:r w:rsidR="000267D5">
        <w:rPr>
          <w:rFonts w:cs="Arial"/>
        </w:rPr>
        <w:t xml:space="preserve"> (BSIG)</w:t>
      </w:r>
      <w:r w:rsidR="000267D5" w:rsidRPr="00D10926">
        <w:rPr>
          <w:rFonts w:cs="Arial"/>
        </w:rPr>
        <w:t xml:space="preserve"> </w:t>
      </w:r>
      <w:r w:rsidR="000267D5" w:rsidRPr="00345F55">
        <w:rPr>
          <w:rFonts w:cs="Arial"/>
          <w:color w:val="000000" w:themeColor="text1"/>
        </w:rPr>
        <w:t xml:space="preserve">in </w:t>
      </w:r>
      <w:r w:rsidR="00CA07A7">
        <w:rPr>
          <w:rFonts w:cs="Arial"/>
          <w:color w:val="000000" w:themeColor="text1"/>
        </w:rPr>
        <w:t>January 2026</w:t>
      </w:r>
      <w:r w:rsidR="000267D5" w:rsidRPr="00345F55">
        <w:rPr>
          <w:rFonts w:cs="Arial"/>
          <w:color w:val="000000" w:themeColor="text1"/>
        </w:rPr>
        <w:t xml:space="preserve">.  </w:t>
      </w:r>
    </w:p>
    <w:p w14:paraId="58CD625E" w14:textId="5550EE38" w:rsidR="00050C45" w:rsidRPr="00DF77C7" w:rsidRDefault="00050C45" w:rsidP="00AD67D4">
      <w:pPr>
        <w:pStyle w:val="PGDNormal"/>
        <w:rPr>
          <w:lang w:val="en-GB"/>
        </w:rPr>
      </w:pPr>
      <w:r w:rsidRPr="00DF77C7">
        <w:rPr>
          <w:lang w:val="en-GB"/>
        </w:rPr>
        <w:t>Note</w:t>
      </w:r>
      <w:r w:rsidR="00695EE0">
        <w:rPr>
          <w:lang w:val="en-GB"/>
        </w:rPr>
        <w:t>:</w:t>
      </w:r>
      <w:r w:rsidRPr="00DF77C7">
        <w:rPr>
          <w:lang w:val="en-GB"/>
        </w:rPr>
        <w:t xml:space="preserve"> </w:t>
      </w:r>
      <w:r w:rsidR="00695EE0">
        <w:rPr>
          <w:lang w:val="en-GB"/>
        </w:rPr>
        <w:t>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CE56FD" w:rsidRPr="00CE56FD">
          <w:rPr>
            <w:rStyle w:val="Hyperlink"/>
            <w:lang w:val="en-GB"/>
          </w:rPr>
          <w:t>SPS national PGD, protocol and written instructions templates webpage</w:t>
        </w:r>
      </w:hyperlink>
      <w:r w:rsidR="00CE56FD">
        <w:rPr>
          <w:lang w:val="en-GB"/>
        </w:rPr>
        <w:t xml:space="preserve">.  </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38EC6448" w14:textId="77777777" w:rsidR="00115995" w:rsidRPr="00DF77C7" w:rsidRDefault="00115995"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B51CC6"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Position</w:t>
            </w:r>
          </w:p>
        </w:tc>
      </w:tr>
      <w:tr w:rsidR="000267D5" w:rsidRPr="00DF77C7" w14:paraId="6D7832C8" w14:textId="77777777" w:rsidTr="00DB2A98">
        <w:trPr>
          <w:trHeight w:val="411"/>
        </w:trPr>
        <w:tc>
          <w:tcPr>
            <w:tcW w:w="2297" w:type="dxa"/>
            <w:tcBorders>
              <w:top w:val="single" w:sz="4" w:space="0" w:color="auto"/>
              <w:left w:val="single" w:sz="4" w:space="0" w:color="auto"/>
              <w:bottom w:val="single" w:sz="4" w:space="0" w:color="auto"/>
              <w:right w:val="single" w:sz="4" w:space="0" w:color="auto"/>
            </w:tcBorders>
          </w:tcPr>
          <w:p w14:paraId="0D33821E" w14:textId="34BF1208" w:rsidR="000267D5" w:rsidRPr="00E80C4A" w:rsidRDefault="000267D5" w:rsidP="000267D5">
            <w:pPr>
              <w:pStyle w:val="Tabletext"/>
              <w:rPr>
                <w:rFonts w:eastAsia="Calibri"/>
                <w:szCs w:val="22"/>
                <w:lang w:val="en-GB"/>
              </w:rPr>
            </w:pPr>
            <w:r w:rsidRPr="00E80C4A">
              <w:rPr>
                <w:rFonts w:cs="Arial"/>
                <w:szCs w:val="22"/>
              </w:rPr>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6B13694F" w:rsidR="000267D5" w:rsidRPr="00E80C4A" w:rsidRDefault="000267D5" w:rsidP="000267D5">
            <w:pPr>
              <w:pStyle w:val="Tabletext"/>
              <w:rPr>
                <w:rFonts w:eastAsia="Calibri"/>
                <w:szCs w:val="22"/>
                <w:lang w:val="en-GB"/>
              </w:rPr>
            </w:pPr>
            <w:r w:rsidRPr="00E80C4A">
              <w:rPr>
                <w:rFonts w:cs="Arial"/>
                <w:szCs w:val="22"/>
              </w:rPr>
              <w:t>Consultant Pharmacist: HIV, Sexual and Reproductive Health</w:t>
            </w:r>
          </w:p>
        </w:tc>
      </w:tr>
      <w:tr w:rsidR="000267D5" w:rsidRPr="00DF77C7" w14:paraId="15A217EB" w14:textId="77777777" w:rsidTr="00D0321A">
        <w:trPr>
          <w:trHeight w:val="422"/>
        </w:trPr>
        <w:tc>
          <w:tcPr>
            <w:tcW w:w="2297" w:type="dxa"/>
            <w:tcBorders>
              <w:top w:val="single" w:sz="4" w:space="0" w:color="auto"/>
              <w:left w:val="single" w:sz="4" w:space="0" w:color="auto"/>
              <w:bottom w:val="single" w:sz="4" w:space="0" w:color="auto"/>
              <w:right w:val="single" w:sz="4" w:space="0" w:color="auto"/>
            </w:tcBorders>
          </w:tcPr>
          <w:p w14:paraId="543479AC" w14:textId="5F8DCC2B" w:rsidR="000267D5" w:rsidRPr="00E80C4A" w:rsidRDefault="000267D5" w:rsidP="000267D5">
            <w:pPr>
              <w:pStyle w:val="Tabletext"/>
              <w:rPr>
                <w:rFonts w:eastAsia="Calibri"/>
                <w:szCs w:val="22"/>
                <w:lang w:val="en-GB"/>
              </w:rPr>
            </w:pPr>
            <w:r w:rsidRPr="00E80C4A">
              <w:rPr>
                <w:rFonts w:cs="Arial"/>
                <w:szCs w:val="22"/>
              </w:rPr>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39BDB9D2" w:rsidR="000267D5" w:rsidRPr="00E80C4A" w:rsidRDefault="000267D5" w:rsidP="000267D5">
            <w:pPr>
              <w:pStyle w:val="Tabletext"/>
              <w:rPr>
                <w:rFonts w:eastAsia="Calibri"/>
                <w:szCs w:val="22"/>
                <w:lang w:val="en-GB"/>
              </w:rPr>
            </w:pPr>
            <w:r w:rsidRPr="00E80C4A">
              <w:rPr>
                <w:rFonts w:cs="Arial"/>
                <w:szCs w:val="22"/>
              </w:rPr>
              <w:t>Community pharmacy</w:t>
            </w:r>
          </w:p>
        </w:tc>
      </w:tr>
      <w:tr w:rsidR="000267D5" w:rsidRPr="00DF77C7" w14:paraId="7E533CD7" w14:textId="77777777" w:rsidTr="00DB2A98">
        <w:trPr>
          <w:trHeight w:val="493"/>
        </w:trPr>
        <w:tc>
          <w:tcPr>
            <w:tcW w:w="2297" w:type="dxa"/>
            <w:tcBorders>
              <w:top w:val="single" w:sz="4" w:space="0" w:color="auto"/>
              <w:left w:val="single" w:sz="4" w:space="0" w:color="auto"/>
              <w:bottom w:val="single" w:sz="4" w:space="0" w:color="auto"/>
              <w:right w:val="single" w:sz="4" w:space="0" w:color="auto"/>
            </w:tcBorders>
          </w:tcPr>
          <w:p w14:paraId="0F90C4EE" w14:textId="055394ED" w:rsidR="000267D5" w:rsidRPr="00E80C4A" w:rsidRDefault="000267D5" w:rsidP="000267D5">
            <w:pPr>
              <w:pStyle w:val="Tabletext"/>
              <w:rPr>
                <w:rFonts w:cs="Arial"/>
                <w:szCs w:val="22"/>
              </w:rPr>
            </w:pPr>
            <w:r w:rsidRPr="00E80C4A">
              <w:rPr>
                <w:rFonts w:cs="Arial"/>
                <w:szCs w:val="22"/>
              </w:rPr>
              <w:t>Dipti Patel</w:t>
            </w:r>
          </w:p>
        </w:tc>
        <w:tc>
          <w:tcPr>
            <w:tcW w:w="6912" w:type="dxa"/>
            <w:tcBorders>
              <w:top w:val="single" w:sz="4" w:space="0" w:color="auto"/>
              <w:left w:val="single" w:sz="4" w:space="0" w:color="auto"/>
              <w:bottom w:val="single" w:sz="4" w:space="0" w:color="auto"/>
              <w:right w:val="single" w:sz="4" w:space="0" w:color="auto"/>
            </w:tcBorders>
          </w:tcPr>
          <w:p w14:paraId="3FDF8DE4" w14:textId="704CE3BF" w:rsidR="000267D5" w:rsidRPr="00E80C4A" w:rsidRDefault="000267D5" w:rsidP="000267D5">
            <w:pPr>
              <w:pStyle w:val="Tabletext"/>
              <w:rPr>
                <w:rFonts w:cs="Arial"/>
                <w:szCs w:val="22"/>
              </w:rPr>
            </w:pPr>
            <w:r w:rsidRPr="00E80C4A">
              <w:rPr>
                <w:rFonts w:cs="Arial"/>
                <w:szCs w:val="22"/>
              </w:rPr>
              <w:t xml:space="preserve">Local authority pharmacist </w:t>
            </w:r>
          </w:p>
        </w:tc>
      </w:tr>
      <w:tr w:rsidR="00115995" w:rsidRPr="00DF77C7" w14:paraId="43EC1789" w14:textId="77777777" w:rsidTr="00DB2A98">
        <w:trPr>
          <w:trHeight w:val="493"/>
        </w:trPr>
        <w:tc>
          <w:tcPr>
            <w:tcW w:w="2297" w:type="dxa"/>
            <w:tcBorders>
              <w:top w:val="single" w:sz="4" w:space="0" w:color="auto"/>
              <w:left w:val="single" w:sz="4" w:space="0" w:color="auto"/>
              <w:bottom w:val="single" w:sz="4" w:space="0" w:color="auto"/>
              <w:right w:val="single" w:sz="4" w:space="0" w:color="auto"/>
            </w:tcBorders>
          </w:tcPr>
          <w:p w14:paraId="05F09AD4" w14:textId="183F7A27" w:rsidR="00115995" w:rsidRPr="00E80C4A" w:rsidRDefault="00115995" w:rsidP="00115995">
            <w:pPr>
              <w:pStyle w:val="Tabletext"/>
              <w:rPr>
                <w:rFonts w:cs="Arial"/>
                <w:szCs w:val="22"/>
              </w:rPr>
            </w:pPr>
            <w:r w:rsidRPr="00E80C4A">
              <w:rPr>
                <w:szCs w:val="22"/>
              </w:rPr>
              <w:t>Amy Moore</w:t>
            </w:r>
          </w:p>
        </w:tc>
        <w:tc>
          <w:tcPr>
            <w:tcW w:w="6912" w:type="dxa"/>
            <w:tcBorders>
              <w:top w:val="single" w:sz="4" w:space="0" w:color="auto"/>
              <w:left w:val="single" w:sz="4" w:space="0" w:color="auto"/>
              <w:bottom w:val="single" w:sz="4" w:space="0" w:color="auto"/>
              <w:right w:val="single" w:sz="4" w:space="0" w:color="auto"/>
            </w:tcBorders>
          </w:tcPr>
          <w:p w14:paraId="7A705EA7" w14:textId="563DEAFB" w:rsidR="00115995" w:rsidRPr="00E80C4A" w:rsidRDefault="00115995" w:rsidP="00115995">
            <w:pPr>
              <w:pStyle w:val="Tabletext"/>
              <w:rPr>
                <w:rFonts w:cs="Arial"/>
                <w:szCs w:val="22"/>
              </w:rPr>
            </w:pPr>
            <w:r w:rsidRPr="00E80C4A">
              <w:rPr>
                <w:szCs w:val="22"/>
              </w:rPr>
              <w:t>Principal Pharmacist, The Wolverton Centre, Kingston Hospital NHS Foundation Trust</w:t>
            </w:r>
          </w:p>
        </w:tc>
      </w:tr>
      <w:tr w:rsidR="00115995" w:rsidRPr="00DF77C7" w14:paraId="2B246ED7" w14:textId="77777777" w:rsidTr="008A77D4">
        <w:trPr>
          <w:trHeight w:val="708"/>
        </w:trPr>
        <w:tc>
          <w:tcPr>
            <w:tcW w:w="2297" w:type="dxa"/>
            <w:tcBorders>
              <w:top w:val="single" w:sz="4" w:space="0" w:color="auto"/>
              <w:left w:val="single" w:sz="4" w:space="0" w:color="auto"/>
              <w:bottom w:val="single" w:sz="4" w:space="0" w:color="auto"/>
              <w:right w:val="single" w:sz="4" w:space="0" w:color="auto"/>
            </w:tcBorders>
          </w:tcPr>
          <w:p w14:paraId="34A75F88" w14:textId="73AEF227" w:rsidR="00115995" w:rsidRPr="00E80C4A" w:rsidRDefault="00115995" w:rsidP="00115995">
            <w:pPr>
              <w:pStyle w:val="Tabletext"/>
              <w:rPr>
                <w:rFonts w:cs="Arial"/>
                <w:szCs w:val="22"/>
              </w:rPr>
            </w:pPr>
            <w:r w:rsidRPr="00E80C4A">
              <w:rPr>
                <w:rFonts w:cs="Arial"/>
                <w:szCs w:val="22"/>
                <w:lang w:val="en"/>
              </w:rPr>
              <w:t>Dr Cindy Farmer</w:t>
            </w:r>
          </w:p>
        </w:tc>
        <w:tc>
          <w:tcPr>
            <w:tcW w:w="6912" w:type="dxa"/>
            <w:tcBorders>
              <w:top w:val="single" w:sz="4" w:space="0" w:color="auto"/>
              <w:left w:val="single" w:sz="4" w:space="0" w:color="auto"/>
              <w:bottom w:val="single" w:sz="4" w:space="0" w:color="auto"/>
              <w:right w:val="single" w:sz="4" w:space="0" w:color="auto"/>
            </w:tcBorders>
          </w:tcPr>
          <w:p w14:paraId="1408A812" w14:textId="310952D2" w:rsidR="00115995" w:rsidRPr="00E80C4A" w:rsidRDefault="00115995" w:rsidP="00115995">
            <w:pPr>
              <w:pStyle w:val="Tabletext"/>
              <w:rPr>
                <w:rFonts w:cs="Arial"/>
                <w:szCs w:val="22"/>
              </w:rPr>
            </w:pPr>
            <w:r w:rsidRPr="00E80C4A">
              <w:rPr>
                <w:rFonts w:cs="Arial"/>
                <w:szCs w:val="22"/>
              </w:rPr>
              <w:t xml:space="preserve">Vice President, General Training, The College of Sexual and Reproductive Healthcare (CoSRH) </w:t>
            </w:r>
          </w:p>
        </w:tc>
      </w:tr>
      <w:tr w:rsidR="00115995" w:rsidRPr="00DF77C7" w14:paraId="4C01E258"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494AA640" w14:textId="11015481" w:rsidR="00115995" w:rsidRPr="00E80C4A" w:rsidRDefault="00115995" w:rsidP="00115995">
            <w:pPr>
              <w:pStyle w:val="Tabletext"/>
              <w:rPr>
                <w:rFonts w:eastAsia="Calibri"/>
                <w:szCs w:val="22"/>
                <w:lang w:val="en-GB"/>
              </w:rPr>
            </w:pPr>
            <w:r w:rsidRPr="00E80C4A">
              <w:rPr>
                <w:rFonts w:cs="Arial"/>
                <w:szCs w:val="22"/>
              </w:rPr>
              <w:t>Dr Rachael</w:t>
            </w:r>
            <w:r w:rsidRPr="00E80C4A">
              <w:rPr>
                <w:szCs w:val="22"/>
              </w:rPr>
              <w:t xml:space="preserve"> </w:t>
            </w:r>
            <w:r w:rsidRPr="00E80C4A">
              <w:rPr>
                <w:rFonts w:cs="Arial"/>
                <w:szCs w:val="22"/>
              </w:rPr>
              <w:t>Jones</w:t>
            </w:r>
          </w:p>
        </w:tc>
        <w:tc>
          <w:tcPr>
            <w:tcW w:w="6912" w:type="dxa"/>
            <w:tcBorders>
              <w:top w:val="single" w:sz="4" w:space="0" w:color="auto"/>
              <w:left w:val="single" w:sz="4" w:space="0" w:color="auto"/>
              <w:bottom w:val="single" w:sz="4" w:space="0" w:color="auto"/>
              <w:right w:val="single" w:sz="4" w:space="0" w:color="auto"/>
            </w:tcBorders>
          </w:tcPr>
          <w:p w14:paraId="4FD8CBD4" w14:textId="36C26560" w:rsidR="00115995" w:rsidRPr="00E80C4A" w:rsidRDefault="00115995" w:rsidP="00115995">
            <w:pPr>
              <w:pStyle w:val="Tabletext"/>
              <w:rPr>
                <w:rFonts w:eastAsia="Calibri"/>
                <w:szCs w:val="22"/>
                <w:lang w:val="en-GB"/>
              </w:rPr>
            </w:pPr>
            <w:r w:rsidRPr="00E80C4A">
              <w:rPr>
                <w:rFonts w:cs="Arial"/>
                <w:szCs w:val="22"/>
              </w:rPr>
              <w:t>Consultant in HIV and Sexual Health, Chelsea and Westminster NHS Foundation Trust</w:t>
            </w:r>
          </w:p>
        </w:tc>
      </w:tr>
      <w:tr w:rsidR="00115995" w:rsidRPr="00DF77C7" w14:paraId="5D7F35A0"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42AAEB77" w14:textId="1BCF128D" w:rsidR="00115995" w:rsidRPr="00E80C4A" w:rsidRDefault="00115995" w:rsidP="00115995">
            <w:pPr>
              <w:pStyle w:val="Tabletext"/>
              <w:rPr>
                <w:rFonts w:cs="Arial"/>
                <w:szCs w:val="22"/>
              </w:rPr>
            </w:pPr>
            <w:r w:rsidRPr="00E80C4A">
              <w:rPr>
                <w:rFonts w:cs="Arial"/>
                <w:szCs w:val="22"/>
              </w:rPr>
              <w:t>Dr Rita Browne</w:t>
            </w:r>
          </w:p>
        </w:tc>
        <w:tc>
          <w:tcPr>
            <w:tcW w:w="6912" w:type="dxa"/>
            <w:tcBorders>
              <w:top w:val="single" w:sz="4" w:space="0" w:color="auto"/>
              <w:left w:val="single" w:sz="4" w:space="0" w:color="auto"/>
              <w:bottom w:val="single" w:sz="4" w:space="0" w:color="auto"/>
              <w:right w:val="single" w:sz="4" w:space="0" w:color="auto"/>
            </w:tcBorders>
          </w:tcPr>
          <w:p w14:paraId="3217FE30" w14:textId="7207619E" w:rsidR="00115995" w:rsidRPr="00E80C4A" w:rsidRDefault="00115995" w:rsidP="00115995">
            <w:pPr>
              <w:pStyle w:val="Tabletext"/>
              <w:rPr>
                <w:rFonts w:cs="Arial"/>
                <w:szCs w:val="22"/>
              </w:rPr>
            </w:pPr>
            <w:r w:rsidRPr="00E80C4A">
              <w:rPr>
                <w:rFonts w:cs="Arial"/>
                <w:szCs w:val="22"/>
              </w:rPr>
              <w:t>Consultant in Sexual Health and HIV</w:t>
            </w:r>
          </w:p>
        </w:tc>
      </w:tr>
      <w:tr w:rsidR="00115995" w:rsidRPr="00DF77C7" w14:paraId="45C5ED23" w14:textId="77777777" w:rsidTr="00DB2A98">
        <w:trPr>
          <w:trHeight w:val="475"/>
        </w:trPr>
        <w:tc>
          <w:tcPr>
            <w:tcW w:w="2297" w:type="dxa"/>
            <w:tcBorders>
              <w:top w:val="single" w:sz="4" w:space="0" w:color="auto"/>
              <w:left w:val="single" w:sz="4" w:space="0" w:color="auto"/>
              <w:bottom w:val="single" w:sz="4" w:space="0" w:color="auto"/>
              <w:right w:val="single" w:sz="4" w:space="0" w:color="auto"/>
            </w:tcBorders>
          </w:tcPr>
          <w:p w14:paraId="1B0503D5" w14:textId="1819DD1E" w:rsidR="00115995" w:rsidRPr="00E80C4A" w:rsidRDefault="00115995" w:rsidP="00115995">
            <w:pPr>
              <w:pStyle w:val="Tabletext"/>
              <w:rPr>
                <w:rFonts w:cs="Arial"/>
                <w:szCs w:val="22"/>
              </w:rPr>
            </w:pPr>
            <w:r w:rsidRPr="00E80C4A">
              <w:rPr>
                <w:rFonts w:cs="Arial"/>
                <w:szCs w:val="22"/>
              </w:rPr>
              <w:t>Emma Anderson</w:t>
            </w:r>
          </w:p>
        </w:tc>
        <w:tc>
          <w:tcPr>
            <w:tcW w:w="6912" w:type="dxa"/>
            <w:tcBorders>
              <w:top w:val="single" w:sz="4" w:space="0" w:color="auto"/>
              <w:left w:val="single" w:sz="4" w:space="0" w:color="auto"/>
              <w:bottom w:val="single" w:sz="4" w:space="0" w:color="auto"/>
              <w:right w:val="single" w:sz="4" w:space="0" w:color="auto"/>
            </w:tcBorders>
          </w:tcPr>
          <w:p w14:paraId="2A70D5C7" w14:textId="6945D51E" w:rsidR="00115995" w:rsidRPr="00E80C4A" w:rsidRDefault="00115995" w:rsidP="00115995">
            <w:pPr>
              <w:pStyle w:val="Tabletext"/>
              <w:rPr>
                <w:rFonts w:cs="Arial"/>
                <w:szCs w:val="22"/>
              </w:rPr>
            </w:pPr>
            <w:r w:rsidRPr="00E80C4A">
              <w:rPr>
                <w:rFonts w:cs="Arial"/>
                <w:szCs w:val="22"/>
              </w:rPr>
              <w:t>Centre for Pharmacy Postgraduate Education (CPPE)</w:t>
            </w:r>
          </w:p>
        </w:tc>
      </w:tr>
      <w:tr w:rsidR="00115995" w:rsidRPr="00DF77C7" w14:paraId="39270B36" w14:textId="77777777" w:rsidTr="00DB2A98">
        <w:trPr>
          <w:trHeight w:val="539"/>
        </w:trPr>
        <w:tc>
          <w:tcPr>
            <w:tcW w:w="2297" w:type="dxa"/>
            <w:tcBorders>
              <w:top w:val="single" w:sz="4" w:space="0" w:color="auto"/>
              <w:left w:val="single" w:sz="4" w:space="0" w:color="auto"/>
              <w:bottom w:val="single" w:sz="4" w:space="0" w:color="auto"/>
              <w:right w:val="single" w:sz="4" w:space="0" w:color="auto"/>
            </w:tcBorders>
          </w:tcPr>
          <w:p w14:paraId="08068D03" w14:textId="1E462DAC" w:rsidR="00115995" w:rsidRPr="00E80C4A" w:rsidRDefault="00115995" w:rsidP="00115995">
            <w:pPr>
              <w:pStyle w:val="Tabletext"/>
              <w:rPr>
                <w:rFonts w:cs="Arial"/>
                <w:szCs w:val="22"/>
              </w:rPr>
            </w:pPr>
            <w:r w:rsidRPr="00E80C4A">
              <w:rPr>
                <w:rFonts w:cs="Arial"/>
                <w:szCs w:val="22"/>
              </w:rPr>
              <w:t>Heather Randle</w:t>
            </w:r>
          </w:p>
        </w:tc>
        <w:tc>
          <w:tcPr>
            <w:tcW w:w="6912" w:type="dxa"/>
            <w:tcBorders>
              <w:top w:val="single" w:sz="4" w:space="0" w:color="auto"/>
              <w:left w:val="single" w:sz="4" w:space="0" w:color="auto"/>
              <w:bottom w:val="single" w:sz="4" w:space="0" w:color="auto"/>
              <w:right w:val="single" w:sz="4" w:space="0" w:color="auto"/>
            </w:tcBorders>
          </w:tcPr>
          <w:p w14:paraId="7E5C61F6" w14:textId="0552E65F" w:rsidR="00115995" w:rsidRPr="00E80C4A" w:rsidRDefault="00115995" w:rsidP="00115995">
            <w:pPr>
              <w:pStyle w:val="Tabletext"/>
              <w:rPr>
                <w:rFonts w:cs="Arial"/>
                <w:szCs w:val="22"/>
              </w:rPr>
            </w:pPr>
            <w:r w:rsidRPr="00E80C4A">
              <w:rPr>
                <w:rFonts w:cs="Arial"/>
                <w:szCs w:val="22"/>
              </w:rPr>
              <w:t xml:space="preserve">Royal College of Nursing </w:t>
            </w:r>
          </w:p>
        </w:tc>
      </w:tr>
      <w:tr w:rsidR="00115995" w:rsidRPr="00DF77C7" w14:paraId="27746BF3"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3D247CD8" w14:textId="585C778B" w:rsidR="00115995" w:rsidRPr="00E80C4A" w:rsidRDefault="00115995" w:rsidP="00115995">
            <w:pPr>
              <w:pStyle w:val="Tabletext"/>
              <w:rPr>
                <w:rFonts w:cs="Arial"/>
                <w:szCs w:val="22"/>
              </w:rPr>
            </w:pPr>
            <w:r w:rsidRPr="00E80C4A">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3BD64DD3" w14:textId="6CF4F379" w:rsidR="00115995" w:rsidRPr="00E80C4A" w:rsidRDefault="00115995" w:rsidP="00115995">
            <w:pPr>
              <w:pStyle w:val="Tabletext"/>
              <w:rPr>
                <w:rFonts w:cs="Arial"/>
                <w:szCs w:val="22"/>
              </w:rPr>
            </w:pPr>
            <w:r w:rsidRPr="00E80C4A">
              <w:rPr>
                <w:rFonts w:cs="Arial"/>
                <w:szCs w:val="22"/>
              </w:rPr>
              <w:t>Associate Director - Medicines Governance, Medicines Use and Safety Division, Specialist Pharmacy Service</w:t>
            </w:r>
          </w:p>
        </w:tc>
      </w:tr>
      <w:tr w:rsidR="00115995" w:rsidRPr="00DF77C7" w14:paraId="7EEB8182"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0227A51B" w14:textId="4A9E1307" w:rsidR="00115995" w:rsidRPr="00E80C4A" w:rsidRDefault="00115995" w:rsidP="00115995">
            <w:pPr>
              <w:pStyle w:val="Tabletext"/>
              <w:rPr>
                <w:rFonts w:cs="Arial"/>
                <w:szCs w:val="22"/>
              </w:rPr>
            </w:pPr>
            <w:r w:rsidRPr="00E80C4A">
              <w:rPr>
                <w:szCs w:val="22"/>
              </w:rPr>
              <w:t>Jodie Crossman</w:t>
            </w:r>
          </w:p>
        </w:tc>
        <w:tc>
          <w:tcPr>
            <w:tcW w:w="6912" w:type="dxa"/>
            <w:tcBorders>
              <w:top w:val="single" w:sz="4" w:space="0" w:color="auto"/>
              <w:left w:val="single" w:sz="4" w:space="0" w:color="auto"/>
              <w:bottom w:val="single" w:sz="4" w:space="0" w:color="auto"/>
              <w:right w:val="single" w:sz="4" w:space="0" w:color="auto"/>
            </w:tcBorders>
          </w:tcPr>
          <w:p w14:paraId="45F5B9F3" w14:textId="2D4CC837" w:rsidR="00115995" w:rsidRPr="00E80C4A" w:rsidRDefault="00115995" w:rsidP="00115995">
            <w:pPr>
              <w:pStyle w:val="Tabletext"/>
              <w:rPr>
                <w:rFonts w:cs="Arial"/>
                <w:szCs w:val="22"/>
              </w:rPr>
            </w:pPr>
            <w:r w:rsidRPr="00E80C4A">
              <w:rPr>
                <w:szCs w:val="22"/>
              </w:rPr>
              <w:t>Specialist Nurse, BASHH SHAN SIG Chair</w:t>
            </w:r>
          </w:p>
        </w:tc>
      </w:tr>
      <w:tr w:rsidR="00115995" w:rsidRPr="00DF77C7" w14:paraId="0EB32D3B"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3E93FDE2" w14:textId="6492AEEB" w:rsidR="00115995" w:rsidRPr="00E80C4A" w:rsidRDefault="00115995" w:rsidP="00115995">
            <w:pPr>
              <w:pStyle w:val="Tabletext"/>
              <w:rPr>
                <w:rFonts w:cs="Arial"/>
                <w:szCs w:val="22"/>
              </w:rPr>
            </w:pPr>
            <w:r w:rsidRPr="00E80C4A">
              <w:rPr>
                <w:rFonts w:cs="Arial"/>
                <w:szCs w:val="22"/>
              </w:rPr>
              <w:t xml:space="preserve">Rosie Furner </w:t>
            </w:r>
          </w:p>
        </w:tc>
        <w:tc>
          <w:tcPr>
            <w:tcW w:w="6912" w:type="dxa"/>
            <w:tcBorders>
              <w:top w:val="single" w:sz="4" w:space="0" w:color="auto"/>
              <w:left w:val="single" w:sz="4" w:space="0" w:color="auto"/>
              <w:bottom w:val="single" w:sz="4" w:space="0" w:color="auto"/>
              <w:right w:val="single" w:sz="4" w:space="0" w:color="auto"/>
            </w:tcBorders>
          </w:tcPr>
          <w:p w14:paraId="4E7F8F8F" w14:textId="10C46E6C" w:rsidR="00115995" w:rsidRPr="00E80C4A" w:rsidRDefault="00115995" w:rsidP="00115995">
            <w:pPr>
              <w:pStyle w:val="Tabletext"/>
              <w:rPr>
                <w:rFonts w:cs="Arial"/>
                <w:szCs w:val="22"/>
              </w:rPr>
            </w:pPr>
            <w:r w:rsidRPr="00E80C4A">
              <w:rPr>
                <w:rFonts w:cs="Arial"/>
                <w:szCs w:val="22"/>
              </w:rPr>
              <w:t>Advanced Specialist Pharmacist - Medicines Governance, Medicines Use and Safety Division, Specialist Pharmacy Service</w:t>
            </w:r>
          </w:p>
        </w:tc>
      </w:tr>
      <w:tr w:rsidR="00115995" w:rsidRPr="00DF77C7" w14:paraId="6818B27C"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1A54C0CC" w14:textId="01EA99CE" w:rsidR="00115995" w:rsidRPr="00E80C4A" w:rsidRDefault="00115995" w:rsidP="00115995">
            <w:pPr>
              <w:pStyle w:val="Tabletext"/>
              <w:rPr>
                <w:rFonts w:cs="Arial"/>
                <w:szCs w:val="22"/>
              </w:rPr>
            </w:pPr>
            <w:r w:rsidRPr="00E80C4A">
              <w:rPr>
                <w:szCs w:val="22"/>
              </w:rPr>
              <w:lastRenderedPageBreak/>
              <w:t>Deborah Shaw</w:t>
            </w:r>
          </w:p>
        </w:tc>
        <w:tc>
          <w:tcPr>
            <w:tcW w:w="6912" w:type="dxa"/>
            <w:tcBorders>
              <w:top w:val="single" w:sz="4" w:space="0" w:color="auto"/>
              <w:left w:val="single" w:sz="4" w:space="0" w:color="auto"/>
              <w:bottom w:val="single" w:sz="4" w:space="0" w:color="auto"/>
              <w:right w:val="single" w:sz="4" w:space="0" w:color="auto"/>
            </w:tcBorders>
          </w:tcPr>
          <w:p w14:paraId="40751E50" w14:textId="201B1E19" w:rsidR="00115995" w:rsidRPr="00E80C4A" w:rsidRDefault="00115995" w:rsidP="00115995">
            <w:pPr>
              <w:pStyle w:val="Tabletext"/>
              <w:rPr>
                <w:rFonts w:cs="Arial"/>
                <w:szCs w:val="22"/>
              </w:rPr>
            </w:pPr>
            <w:r w:rsidRPr="00E80C4A">
              <w:rPr>
                <w:szCs w:val="22"/>
              </w:rPr>
              <w:t>National Programme Manager, Programme Delivery and Service Improvement, UKSHA</w:t>
            </w:r>
          </w:p>
        </w:tc>
      </w:tr>
      <w:tr w:rsidR="00115995" w:rsidRPr="00DF77C7" w14:paraId="2B93C0BA"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0B5EB6BC" w14:textId="4B5E69A5" w:rsidR="00115995" w:rsidRPr="00E80C4A" w:rsidRDefault="00115995" w:rsidP="00115995">
            <w:pPr>
              <w:pStyle w:val="Tabletext"/>
              <w:rPr>
                <w:rFonts w:cs="Arial"/>
                <w:szCs w:val="22"/>
              </w:rPr>
            </w:pPr>
            <w:r w:rsidRPr="00E80C4A">
              <w:rPr>
                <w:szCs w:val="22"/>
              </w:rPr>
              <w:t>Norah O’Brien</w:t>
            </w:r>
          </w:p>
        </w:tc>
        <w:tc>
          <w:tcPr>
            <w:tcW w:w="6912" w:type="dxa"/>
            <w:tcBorders>
              <w:top w:val="single" w:sz="4" w:space="0" w:color="auto"/>
              <w:left w:val="single" w:sz="4" w:space="0" w:color="auto"/>
              <w:bottom w:val="single" w:sz="4" w:space="0" w:color="auto"/>
              <w:right w:val="single" w:sz="4" w:space="0" w:color="auto"/>
            </w:tcBorders>
          </w:tcPr>
          <w:p w14:paraId="4B94EEA3" w14:textId="0007B124" w:rsidR="00115995" w:rsidRPr="00E80C4A" w:rsidRDefault="00115995" w:rsidP="00115995">
            <w:pPr>
              <w:pStyle w:val="Tabletext"/>
              <w:rPr>
                <w:rFonts w:cs="Arial"/>
                <w:szCs w:val="22"/>
              </w:rPr>
            </w:pPr>
            <w:r w:rsidRPr="00E80C4A">
              <w:rPr>
                <w:szCs w:val="22"/>
              </w:rPr>
              <w:t>National Programme Manager, Programme Delivery and Service Improvement, UKSHA</w:t>
            </w:r>
          </w:p>
        </w:tc>
      </w:tr>
      <w:tr w:rsidR="00115995" w:rsidRPr="00DF77C7" w14:paraId="39516232" w14:textId="77777777" w:rsidTr="00DB2A98">
        <w:trPr>
          <w:trHeight w:val="421"/>
        </w:trPr>
        <w:tc>
          <w:tcPr>
            <w:tcW w:w="2297" w:type="dxa"/>
            <w:tcBorders>
              <w:top w:val="single" w:sz="4" w:space="0" w:color="auto"/>
              <w:left w:val="single" w:sz="4" w:space="0" w:color="auto"/>
              <w:bottom w:val="single" w:sz="4" w:space="0" w:color="auto"/>
              <w:right w:val="single" w:sz="4" w:space="0" w:color="auto"/>
            </w:tcBorders>
          </w:tcPr>
          <w:p w14:paraId="22EDA634" w14:textId="36A27B63" w:rsidR="00115995" w:rsidRPr="00E80C4A" w:rsidRDefault="00115995" w:rsidP="00115995">
            <w:pPr>
              <w:pStyle w:val="Tabletext"/>
              <w:rPr>
                <w:rFonts w:cs="Arial"/>
                <w:szCs w:val="22"/>
              </w:rPr>
            </w:pPr>
            <w:r w:rsidRPr="00E80C4A">
              <w:rPr>
                <w:rFonts w:cs="Arial"/>
                <w:szCs w:val="22"/>
              </w:rPr>
              <w:t>Portia Jackson</w:t>
            </w:r>
          </w:p>
        </w:tc>
        <w:tc>
          <w:tcPr>
            <w:tcW w:w="6912" w:type="dxa"/>
            <w:tcBorders>
              <w:top w:val="single" w:sz="4" w:space="0" w:color="auto"/>
              <w:left w:val="single" w:sz="4" w:space="0" w:color="auto"/>
              <w:bottom w:val="single" w:sz="4" w:space="0" w:color="auto"/>
              <w:right w:val="single" w:sz="4" w:space="0" w:color="auto"/>
            </w:tcBorders>
          </w:tcPr>
          <w:p w14:paraId="120DDFDA" w14:textId="1264542B" w:rsidR="00115995" w:rsidRPr="00E80C4A" w:rsidRDefault="00115995" w:rsidP="00115995">
            <w:pPr>
              <w:pStyle w:val="Tabletext"/>
              <w:rPr>
                <w:rFonts w:cs="Arial"/>
                <w:szCs w:val="22"/>
              </w:rPr>
            </w:pPr>
            <w:r w:rsidRPr="00E80C4A">
              <w:rPr>
                <w:rFonts w:cs="Arial"/>
                <w:szCs w:val="22"/>
              </w:rPr>
              <w:t>Lead Pharmacist, iCaSH</w:t>
            </w:r>
          </w:p>
        </w:tc>
      </w:tr>
      <w:tr w:rsidR="00115995" w:rsidRPr="00DF77C7" w14:paraId="01F2BE64"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271AC8DE" w14:textId="13A988D5" w:rsidR="00115995" w:rsidRPr="00E80C4A" w:rsidRDefault="00115995" w:rsidP="00115995">
            <w:pPr>
              <w:pStyle w:val="Tabletext"/>
              <w:rPr>
                <w:rFonts w:cs="Arial"/>
                <w:szCs w:val="22"/>
              </w:rPr>
            </w:pPr>
            <w:r w:rsidRPr="00E80C4A">
              <w:rPr>
                <w:rFonts w:cs="Arial"/>
                <w:szCs w:val="22"/>
              </w:rPr>
              <w:t>Sandra Wolper</w:t>
            </w:r>
          </w:p>
        </w:tc>
        <w:tc>
          <w:tcPr>
            <w:tcW w:w="6912" w:type="dxa"/>
            <w:tcBorders>
              <w:top w:val="single" w:sz="4" w:space="0" w:color="auto"/>
              <w:left w:val="single" w:sz="4" w:space="0" w:color="auto"/>
              <w:bottom w:val="single" w:sz="4" w:space="0" w:color="auto"/>
              <w:right w:val="single" w:sz="4" w:space="0" w:color="auto"/>
            </w:tcBorders>
          </w:tcPr>
          <w:p w14:paraId="4998B208" w14:textId="14A983B3" w:rsidR="00115995" w:rsidRPr="00E80C4A" w:rsidRDefault="00115995" w:rsidP="00115995">
            <w:pPr>
              <w:pStyle w:val="Tabletext"/>
              <w:rPr>
                <w:rFonts w:cs="Arial"/>
                <w:szCs w:val="22"/>
              </w:rPr>
            </w:pPr>
            <w:r w:rsidRPr="00E80C4A">
              <w:rPr>
                <w:szCs w:val="22"/>
              </w:rPr>
              <w:t>Out of Hospital Care Lead,  Medicines Use and Safety, Specialist Pharmacy Service</w:t>
            </w:r>
          </w:p>
        </w:tc>
      </w:tr>
      <w:tr w:rsidR="00115995" w:rsidRPr="00DF77C7" w14:paraId="0A86AF32"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769C5A85" w14:textId="3DDDB4D7" w:rsidR="00115995" w:rsidRPr="00E80C4A" w:rsidRDefault="00115995" w:rsidP="00115995">
            <w:pPr>
              <w:pStyle w:val="Tabletext"/>
              <w:rPr>
                <w:rFonts w:cs="Arial"/>
                <w:szCs w:val="22"/>
              </w:rPr>
            </w:pPr>
            <w:r w:rsidRPr="00E80C4A">
              <w:rPr>
                <w:szCs w:val="22"/>
              </w:rPr>
              <w:t>Margaret Kingston</w:t>
            </w:r>
          </w:p>
        </w:tc>
        <w:tc>
          <w:tcPr>
            <w:tcW w:w="6912" w:type="dxa"/>
            <w:tcBorders>
              <w:top w:val="single" w:sz="4" w:space="0" w:color="auto"/>
              <w:left w:val="single" w:sz="4" w:space="0" w:color="auto"/>
              <w:bottom w:val="single" w:sz="4" w:space="0" w:color="auto"/>
              <w:right w:val="single" w:sz="4" w:space="0" w:color="auto"/>
            </w:tcBorders>
          </w:tcPr>
          <w:p w14:paraId="6749852B" w14:textId="7D6F6409" w:rsidR="00115995" w:rsidRPr="00E80C4A" w:rsidRDefault="00115995" w:rsidP="00115995">
            <w:pPr>
              <w:pStyle w:val="Tabletext"/>
              <w:rPr>
                <w:szCs w:val="22"/>
              </w:rPr>
            </w:pPr>
            <w:r w:rsidRPr="00E80C4A">
              <w:rPr>
                <w:szCs w:val="22"/>
              </w:rPr>
              <w:t>Consultant Physician Genitourinary Medicine, Associate Medical Director, Manchester University NHS Foundation Trust and BASHH representative</w:t>
            </w:r>
          </w:p>
        </w:tc>
      </w:tr>
      <w:tr w:rsidR="00115995" w:rsidRPr="00DF77C7" w14:paraId="2C954448" w14:textId="77777777" w:rsidTr="00DB2A98">
        <w:trPr>
          <w:trHeight w:val="477"/>
        </w:trPr>
        <w:tc>
          <w:tcPr>
            <w:tcW w:w="2297" w:type="dxa"/>
            <w:tcBorders>
              <w:top w:val="single" w:sz="4" w:space="0" w:color="auto"/>
              <w:left w:val="single" w:sz="4" w:space="0" w:color="auto"/>
              <w:bottom w:val="single" w:sz="4" w:space="0" w:color="auto"/>
              <w:right w:val="single" w:sz="4" w:space="0" w:color="auto"/>
            </w:tcBorders>
          </w:tcPr>
          <w:p w14:paraId="6601968C" w14:textId="2F31E501" w:rsidR="00115995" w:rsidRPr="00E80C4A" w:rsidRDefault="00115995" w:rsidP="00115995">
            <w:pPr>
              <w:pStyle w:val="Tabletext"/>
              <w:rPr>
                <w:rFonts w:cs="Arial"/>
                <w:szCs w:val="22"/>
              </w:rPr>
            </w:pPr>
            <w:r w:rsidRPr="00E80C4A">
              <w:rPr>
                <w:rFonts w:cs="Arial"/>
                <w:szCs w:val="22"/>
              </w:rPr>
              <w:t>Tracy Rogers</w:t>
            </w:r>
          </w:p>
        </w:tc>
        <w:tc>
          <w:tcPr>
            <w:tcW w:w="6912" w:type="dxa"/>
            <w:tcBorders>
              <w:top w:val="single" w:sz="4" w:space="0" w:color="auto"/>
              <w:left w:val="single" w:sz="4" w:space="0" w:color="auto"/>
              <w:bottom w:val="single" w:sz="4" w:space="0" w:color="auto"/>
              <w:right w:val="single" w:sz="4" w:space="0" w:color="auto"/>
            </w:tcBorders>
          </w:tcPr>
          <w:p w14:paraId="65F96B46" w14:textId="282B146E" w:rsidR="00115995" w:rsidRPr="00E80C4A" w:rsidRDefault="00115995" w:rsidP="00115995">
            <w:pPr>
              <w:pStyle w:val="Tabletext"/>
              <w:rPr>
                <w:rFonts w:cs="Arial"/>
                <w:szCs w:val="22"/>
              </w:rPr>
            </w:pPr>
            <w:r w:rsidRPr="00E80C4A">
              <w:rPr>
                <w:rFonts w:cs="Arial"/>
                <w:szCs w:val="22"/>
              </w:rPr>
              <w:t xml:space="preserve">Director, Medicines Use and Safety, Specialist Pharmacy Service </w:t>
            </w:r>
          </w:p>
        </w:tc>
      </w:tr>
      <w:tr w:rsidR="00115995" w:rsidRPr="00DF77C7" w14:paraId="256E1239" w14:textId="77777777" w:rsidTr="00604007">
        <w:trPr>
          <w:trHeight w:val="632"/>
        </w:trPr>
        <w:tc>
          <w:tcPr>
            <w:tcW w:w="2297" w:type="dxa"/>
            <w:tcBorders>
              <w:top w:val="single" w:sz="4" w:space="0" w:color="auto"/>
              <w:left w:val="single" w:sz="4" w:space="0" w:color="auto"/>
              <w:bottom w:val="single" w:sz="4" w:space="0" w:color="auto"/>
              <w:right w:val="single" w:sz="4" w:space="0" w:color="auto"/>
            </w:tcBorders>
          </w:tcPr>
          <w:p w14:paraId="1AEC96E3" w14:textId="17BB9B3A" w:rsidR="00115995" w:rsidRPr="00E80C4A" w:rsidRDefault="00115995" w:rsidP="00115995">
            <w:pPr>
              <w:pStyle w:val="Tabletext"/>
              <w:rPr>
                <w:rFonts w:cs="Arial"/>
                <w:szCs w:val="22"/>
              </w:rPr>
            </w:pPr>
            <w:r w:rsidRPr="00E80C4A">
              <w:rPr>
                <w:rFonts w:cs="Arial"/>
                <w:szCs w:val="22"/>
              </w:rPr>
              <w:t>Kieran Reynolds (working group co-ordinator)</w:t>
            </w:r>
          </w:p>
        </w:tc>
        <w:tc>
          <w:tcPr>
            <w:tcW w:w="6912" w:type="dxa"/>
            <w:tcBorders>
              <w:top w:val="single" w:sz="4" w:space="0" w:color="auto"/>
              <w:left w:val="single" w:sz="4" w:space="0" w:color="auto"/>
              <w:bottom w:val="single" w:sz="4" w:space="0" w:color="auto"/>
              <w:right w:val="single" w:sz="4" w:space="0" w:color="auto"/>
            </w:tcBorders>
          </w:tcPr>
          <w:p w14:paraId="01654754" w14:textId="21C5D42B" w:rsidR="00115995" w:rsidRPr="00E80C4A" w:rsidRDefault="00115995" w:rsidP="00115995">
            <w:pPr>
              <w:pStyle w:val="Tabletext"/>
              <w:rPr>
                <w:rFonts w:cs="Arial"/>
                <w:szCs w:val="22"/>
              </w:rPr>
            </w:pPr>
            <w:r w:rsidRPr="00E80C4A">
              <w:rPr>
                <w:rFonts w:cs="Arial"/>
                <w:szCs w:val="22"/>
              </w:rPr>
              <w:t>Advanced Specialist Pharmacist - Medicines Governance, Medicines Use and Safety Division, Specialist Pharmacy Service</w:t>
            </w:r>
          </w:p>
        </w:tc>
      </w:tr>
    </w:tbl>
    <w:p w14:paraId="5D513D47" w14:textId="53FA805E" w:rsidR="0059738E"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AA0EFC" w:rsidRDefault="00AA0EFC" w:rsidP="00B65003">
            <w:pPr>
              <w:rPr>
                <w:rStyle w:val="TableHeaderColumn"/>
              </w:rPr>
            </w:pPr>
            <w:r w:rsidRPr="00AA0EFC">
              <w:rPr>
                <w:rStyle w:val="TableHeaderColumn"/>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017CF7">
                <w:rPr>
                  <w:rStyle w:val="Hyperlink"/>
                  <w:rFonts w:ascii="Arial" w:hAnsi="Arial" w:cs="Arial"/>
                  <w:b/>
                  <w:bCs/>
                </w:rPr>
                <w:t>authorising body</w:t>
              </w:r>
              <w:r w:rsidR="009E38CA" w:rsidRPr="00017CF7">
                <w:rPr>
                  <w:rStyle w:val="Hyperlink"/>
                  <w:rFonts w:ascii="Arial" w:hAnsi="Arial" w:cs="Arial"/>
                  <w:b/>
                  <w:bCs/>
                </w:rPr>
                <w:t xml:space="preserve"> as defined by NICE</w:t>
              </w:r>
            </w:hyperlink>
            <w:r w:rsidR="009E38CA" w:rsidRPr="000267D5">
              <w:rPr>
                <w:sz w:val="21"/>
                <w:szCs w:val="21"/>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DBCFD6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A77DF8">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1731414"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a </w:t>
      </w:r>
      <w:r w:rsidR="00A77DF8">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47106249" w14:textId="49CDFD00" w:rsidR="00B63F21" w:rsidRDefault="00251D91" w:rsidP="00BB2C75">
      <w:pPr>
        <w:pStyle w:val="PGDNormal"/>
      </w:pPr>
      <w:r w:rsidRPr="00D83FBB">
        <w:t>The decision to supply any medication rests with the individual registered health professional who must abide by the PGD and any associated organisational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DF3EB6" w:rsidRPr="00DF77C7" w14:paraId="26A06832" w14:textId="77777777" w:rsidTr="00692CFD">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1C0CA0" w:rsidRDefault="00B81529" w:rsidP="00692CFD">
            <w:pPr>
              <w:pStyle w:val="Tabletext"/>
              <w:rPr>
                <w:rStyle w:val="TableHeaderColumn"/>
                <w:sz w:val="22"/>
                <w:szCs w:val="22"/>
                <w:lang w:val="en-GB"/>
              </w:rPr>
            </w:pPr>
            <w:r w:rsidRPr="001C0CA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692CFD">
            <w:pPr>
              <w:pStyle w:val="Tabletext"/>
              <w:rPr>
                <w:rFonts w:eastAsia="Arial"/>
              </w:rPr>
            </w:pPr>
            <w:r w:rsidRPr="00361532">
              <w:rPr>
                <w:rFonts w:eastAsia="Arial"/>
              </w:rPr>
              <w:t>Current contract of employment within a Local Authority or NHS commissioned service or an NHS Trust/organisation.</w:t>
            </w:r>
          </w:p>
          <w:p w14:paraId="111D2851" w14:textId="7F32788A" w:rsidR="00B81529" w:rsidRPr="00DF77C7" w:rsidRDefault="00251D91" w:rsidP="00692CFD">
            <w:pPr>
              <w:pStyle w:val="Tabletext"/>
              <w:rPr>
                <w:lang w:val="en-GB"/>
              </w:rPr>
            </w:pPr>
            <w:r w:rsidRPr="00361532">
              <w:rPr>
                <w:rFonts w:eastAsia="Arial"/>
                <w:szCs w:val="22"/>
              </w:rPr>
              <w:t>Registered healthcare professional listed in the</w:t>
            </w:r>
            <w:r w:rsidR="002808A9">
              <w:rPr>
                <w:rFonts w:eastAsia="Arial"/>
                <w:szCs w:val="22"/>
              </w:rPr>
              <w:t xml:space="preserve"> </w:t>
            </w:r>
            <w:hyperlink r:id="rId15" w:tgtFrame="_blank" w:tooltip="Original URL: https://www.legislation.gov.uk/uksi/2012/1916/schedule/16. Click or tap if you trust this link." w:history="1">
              <w:r w:rsidR="002808A9" w:rsidRPr="002808A9">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DD0926" w:rsidRPr="00DF77C7" w14:paraId="5917659E" w14:textId="77777777" w:rsidTr="00692CFD">
        <w:tc>
          <w:tcPr>
            <w:tcW w:w="1525" w:type="pct"/>
            <w:tcBorders>
              <w:top w:val="single" w:sz="4" w:space="0" w:color="auto"/>
              <w:left w:val="single" w:sz="4" w:space="0" w:color="auto"/>
              <w:bottom w:val="single" w:sz="4" w:space="0" w:color="auto"/>
              <w:right w:val="single" w:sz="4" w:space="0" w:color="auto"/>
            </w:tcBorders>
          </w:tcPr>
          <w:p w14:paraId="5DD293FE" w14:textId="6FFCC99D" w:rsidR="00DD0926" w:rsidRPr="001C0CA0" w:rsidRDefault="00DD0926" w:rsidP="00692CFD">
            <w:pPr>
              <w:pStyle w:val="Tabletext"/>
              <w:rPr>
                <w:rStyle w:val="TableHeaderColumn"/>
                <w:sz w:val="22"/>
                <w:szCs w:val="22"/>
                <w:lang w:val="en-GB"/>
              </w:rPr>
            </w:pPr>
            <w:r w:rsidRPr="001C0CA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6157B773" w14:textId="77777777" w:rsidR="00DD0926" w:rsidRDefault="00DD0926" w:rsidP="00692CFD">
            <w:pPr>
              <w:pStyle w:val="Tabletext"/>
            </w:pPr>
            <w:r w:rsidRPr="00D83FBB">
              <w:t>The registered healthcare professional</w:t>
            </w:r>
            <w:r>
              <w:t xml:space="preserve"> (HCP)</w:t>
            </w:r>
            <w:r w:rsidRPr="00D83FBB">
              <w:t xml:space="preserve"> authorised to operate under this PGD must have</w:t>
            </w:r>
            <w:r>
              <w:t>:</w:t>
            </w:r>
            <w:r w:rsidRPr="00D83FBB">
              <w:t xml:space="preserve"> </w:t>
            </w:r>
          </w:p>
          <w:p w14:paraId="2D1CCB94" w14:textId="26195EBE" w:rsidR="00DD0926" w:rsidRDefault="00DD0926" w:rsidP="00692CFD">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14:paraId="32A35D02" w14:textId="77777777" w:rsidR="004D14FE" w:rsidRDefault="004D14FE" w:rsidP="00692CFD">
            <w:pPr>
              <w:pStyle w:val="Tabletext"/>
            </w:pPr>
          </w:p>
          <w:p w14:paraId="5EBC69D7" w14:textId="7514ADE9" w:rsidR="000267D5" w:rsidRDefault="000267D5" w:rsidP="004D14FE">
            <w:pPr>
              <w:autoSpaceDE w:val="0"/>
              <w:autoSpaceDN w:val="0"/>
              <w:adjustRightInd w:val="0"/>
              <w:rPr>
                <w:rFonts w:ascii="Arial" w:hAnsi="Arial" w:cs="Arial"/>
                <w:color w:val="000000"/>
                <w:sz w:val="22"/>
                <w:szCs w:val="22"/>
              </w:rPr>
            </w:pPr>
            <w:r w:rsidRPr="000267D5">
              <w:rPr>
                <w:rFonts w:ascii="Arial" w:hAnsi="Arial" w:cs="Arial"/>
                <w:color w:val="000000"/>
                <w:sz w:val="22"/>
                <w:szCs w:val="22"/>
              </w:rPr>
              <w:t xml:space="preserve">Recommended requirement for training would be successful completion of a relevant sexual health module/course accredited or endorsed by the BASHH, CPPE, RCN or a university or as advised in the RCN Sexual Health Education directory.  </w:t>
            </w:r>
          </w:p>
          <w:p w14:paraId="588618C6" w14:textId="77777777" w:rsidR="004D14FE" w:rsidRPr="004D14FE" w:rsidRDefault="004D14FE" w:rsidP="004D14FE">
            <w:pPr>
              <w:autoSpaceDE w:val="0"/>
              <w:autoSpaceDN w:val="0"/>
              <w:adjustRightInd w:val="0"/>
              <w:rPr>
                <w:rFonts w:ascii="Arial" w:hAnsi="Arial" w:cs="Arial"/>
                <w:color w:val="000000"/>
                <w:sz w:val="22"/>
                <w:szCs w:val="22"/>
              </w:rPr>
            </w:pPr>
          </w:p>
          <w:p w14:paraId="571048A4" w14:textId="6E3EAA35" w:rsidR="00692CFD" w:rsidRDefault="00576FA9" w:rsidP="00692CFD">
            <w:pPr>
              <w:pStyle w:val="Tabletext"/>
              <w:rPr>
                <w:lang w:val="en-GB"/>
              </w:rPr>
            </w:pPr>
            <w:r>
              <w:t xml:space="preserve">Registered HCPs </w:t>
            </w:r>
            <w:r w:rsidR="00DD0926">
              <w:t xml:space="preserve">operating under this PGD must be familiar with the product and alert to changes in the </w:t>
            </w:r>
            <w:hyperlink r:id="rId16" w:history="1">
              <w:r w:rsidR="00DD0926">
                <w:rPr>
                  <w:rStyle w:val="Hyperlink"/>
                  <w:rFonts w:cstheme="minorBidi"/>
                </w:rPr>
                <w:t>Summary of Product Characteristics (SmPC) which can be accessed on the EMC website.</w:t>
              </w:r>
            </w:hyperlink>
            <w:r w:rsidR="00DD0926" w:rsidRPr="00B51CC6">
              <w:rPr>
                <w:lang w:val="en-GB"/>
              </w:rPr>
              <w:t xml:space="preserve"> </w:t>
            </w:r>
          </w:p>
          <w:p w14:paraId="1F782D85" w14:textId="77777777" w:rsidR="004D14FE" w:rsidRPr="00DD0926" w:rsidRDefault="004D14FE" w:rsidP="00692CFD">
            <w:pPr>
              <w:pStyle w:val="Tabletext"/>
              <w:rPr>
                <w:lang w:val="en-GB"/>
              </w:rPr>
            </w:pPr>
          </w:p>
          <w:p w14:paraId="5171590B" w14:textId="69C821A3" w:rsidR="004D14FE" w:rsidRDefault="00576FA9" w:rsidP="00692CFD">
            <w:pPr>
              <w:pStyle w:val="Tabletext"/>
              <w:rPr>
                <w:lang w:val="en-GB"/>
              </w:rPr>
            </w:pPr>
            <w:r>
              <w:t xml:space="preserve">Registered HCPs </w:t>
            </w:r>
            <w:r w:rsidR="00692CFD" w:rsidRPr="00B51CC6">
              <w:rPr>
                <w:lang w:val="en-GB"/>
              </w:rPr>
              <w:t>operating under this PGD must have access to the PGD and associated online resources.</w:t>
            </w:r>
          </w:p>
          <w:p w14:paraId="1D2F57B0" w14:textId="77777777" w:rsidR="004D14FE" w:rsidRDefault="004D14FE" w:rsidP="00692CFD">
            <w:pPr>
              <w:pStyle w:val="Tabletext"/>
              <w:rPr>
                <w:lang w:val="en-GB"/>
              </w:rPr>
            </w:pPr>
          </w:p>
          <w:p w14:paraId="2051ECA5" w14:textId="01F04645" w:rsidR="004D14FE" w:rsidRDefault="00692CFD" w:rsidP="00576FA9">
            <w:pPr>
              <w:pStyle w:val="Tabletext"/>
            </w:pPr>
            <w:r>
              <w:t>U</w:t>
            </w:r>
            <w:r w:rsidRPr="00677C74">
              <w:t>ndertaken appropriate training for working under PGDs for the supply and administration of medicine</w:t>
            </w:r>
            <w:r>
              <w:t xml:space="preserve">s.  Recommended training is the  </w:t>
            </w:r>
            <w:hyperlink r:id="rId17" w:history="1">
              <w:r w:rsidRPr="00251D91">
                <w:rPr>
                  <w:rStyle w:val="Hyperlink"/>
                  <w:rFonts w:cs="Arial"/>
                  <w:szCs w:val="23"/>
                </w:rPr>
                <w:t>eLfH PGD elearning programme</w:t>
              </w:r>
            </w:hyperlink>
            <w:r w:rsidRPr="00251D91">
              <w:t xml:space="preserve"> </w:t>
            </w:r>
          </w:p>
          <w:p w14:paraId="0ACEF276" w14:textId="77777777" w:rsidR="004D14FE" w:rsidRDefault="004D14FE" w:rsidP="00576FA9">
            <w:pPr>
              <w:pStyle w:val="Tabletext"/>
            </w:pPr>
          </w:p>
          <w:p w14:paraId="728450A9" w14:textId="47D293B8" w:rsidR="00DD0926" w:rsidRPr="00EB0BF1" w:rsidRDefault="00EB0BF1" w:rsidP="00576FA9">
            <w:pPr>
              <w:pStyle w:val="Tabletext"/>
            </w:pPr>
            <w:r w:rsidRPr="00EB0BF1">
              <w:rPr>
                <w:highlight w:val="cyan"/>
              </w:rPr>
              <w:t>[Registered HCP must have completed locally required training (including updates) in safeguarding children and vulnerable adults]</w:t>
            </w:r>
          </w:p>
        </w:tc>
      </w:tr>
      <w:tr w:rsidR="00692CFD" w:rsidRPr="00DF77C7" w14:paraId="2A376261" w14:textId="77777777" w:rsidTr="006436F2">
        <w:tc>
          <w:tcPr>
            <w:tcW w:w="1525" w:type="pct"/>
            <w:tcBorders>
              <w:top w:val="single" w:sz="4" w:space="0" w:color="auto"/>
              <w:left w:val="single" w:sz="4" w:space="0" w:color="auto"/>
              <w:bottom w:val="single" w:sz="4" w:space="0" w:color="auto"/>
              <w:right w:val="single" w:sz="4" w:space="0" w:color="auto"/>
            </w:tcBorders>
          </w:tcPr>
          <w:p w14:paraId="5CC07869" w14:textId="356A9646" w:rsidR="00692CFD" w:rsidRPr="001C0CA0" w:rsidRDefault="00692CFD" w:rsidP="00692CFD">
            <w:pPr>
              <w:pStyle w:val="Tabletext"/>
              <w:rPr>
                <w:rStyle w:val="TableHeaderColumn"/>
                <w:sz w:val="22"/>
                <w:szCs w:val="22"/>
                <w:lang w:val="en-GB"/>
              </w:rPr>
            </w:pPr>
            <w:r>
              <w:rPr>
                <w:rStyle w:val="TableHeaderColumn"/>
                <w:sz w:val="22"/>
                <w:szCs w:val="22"/>
                <w:lang w:val="en-GB"/>
              </w:rPr>
              <w:t>C</w:t>
            </w:r>
            <w:r>
              <w:rPr>
                <w:rStyle w:val="TableHeaderColumn"/>
                <w:sz w:val="22"/>
                <w:szCs w:val="22"/>
              </w:rPr>
              <w:t>ompetency assessment</w:t>
            </w:r>
          </w:p>
        </w:tc>
        <w:tc>
          <w:tcPr>
            <w:tcW w:w="3475" w:type="pct"/>
            <w:tcBorders>
              <w:top w:val="single" w:sz="4" w:space="0" w:color="auto"/>
              <w:left w:val="single" w:sz="4" w:space="0" w:color="auto"/>
              <w:bottom w:val="single" w:sz="4" w:space="0" w:color="auto"/>
              <w:right w:val="single" w:sz="4" w:space="0" w:color="auto"/>
            </w:tcBorders>
          </w:tcPr>
          <w:p w14:paraId="72371E6F" w14:textId="67228BF5" w:rsidR="00692CFD" w:rsidRPr="00692CFD" w:rsidRDefault="00692CFD" w:rsidP="00692CFD">
            <w:pPr>
              <w:pStyle w:val="Tabletext"/>
            </w:pPr>
            <w:r w:rsidRPr="00692CFD">
              <w:t xml:space="preserve">Registered HCPs </w:t>
            </w:r>
            <w:r w:rsidR="00576FA9">
              <w:t xml:space="preserve">operating </w:t>
            </w:r>
            <w:r w:rsidRPr="00692CFD">
              <w:t xml:space="preserve">under this PGD must be assessed as competent or complete a self-declaration of competence to operate under this PGD </w:t>
            </w:r>
            <w:r w:rsidRPr="00EB0BF1">
              <w:rPr>
                <w:highlight w:val="cyan"/>
              </w:rPr>
              <w:t>[(see an example authorisation record sheet in Appendix A).]</w:t>
            </w:r>
          </w:p>
          <w:p w14:paraId="4797757F" w14:textId="77777777" w:rsidR="00692CFD" w:rsidRPr="00692CFD" w:rsidRDefault="00692CFD" w:rsidP="00692CFD">
            <w:pPr>
              <w:pStyle w:val="Tabletext"/>
            </w:pPr>
          </w:p>
          <w:p w14:paraId="5ED84762" w14:textId="08A58526" w:rsidR="00692CFD" w:rsidRPr="00D83FBB" w:rsidRDefault="00692CFD" w:rsidP="004D14FE">
            <w:pPr>
              <w:pStyle w:val="Tabletext"/>
            </w:pPr>
            <w:r w:rsidRPr="00692CFD">
              <w:lastRenderedPageBreak/>
              <w:t>Staff operating under this PGD should review their competency using the</w:t>
            </w:r>
            <w:hyperlink r:id="rId18" w:history="1">
              <w:r w:rsidRPr="00692CFD">
                <w:rPr>
                  <w:rStyle w:val="Hyperlink"/>
                </w:rPr>
                <w:t xml:space="preserve"> NICE Competency Framework for health professionals using patient group directions</w:t>
              </w:r>
            </w:hyperlink>
          </w:p>
        </w:tc>
      </w:tr>
      <w:tr w:rsidR="00692CFD" w:rsidRPr="00DF77C7" w14:paraId="776EF5B1" w14:textId="77777777" w:rsidTr="006436F2">
        <w:tc>
          <w:tcPr>
            <w:tcW w:w="1525" w:type="pct"/>
            <w:tcBorders>
              <w:top w:val="single" w:sz="4" w:space="0" w:color="auto"/>
              <w:left w:val="single" w:sz="4" w:space="0" w:color="auto"/>
              <w:bottom w:val="single" w:sz="4" w:space="0" w:color="auto"/>
              <w:right w:val="single" w:sz="4" w:space="0" w:color="auto"/>
            </w:tcBorders>
          </w:tcPr>
          <w:p w14:paraId="74E39054" w14:textId="6A2E6F16" w:rsidR="00692CFD" w:rsidRDefault="00692CFD" w:rsidP="00692CFD">
            <w:pPr>
              <w:pStyle w:val="Tabletext"/>
              <w:rPr>
                <w:rStyle w:val="TableHeaderColumn"/>
                <w:sz w:val="22"/>
                <w:szCs w:val="22"/>
                <w:lang w:val="en-GB"/>
              </w:rPr>
            </w:pPr>
            <w:r w:rsidRPr="001C0CA0">
              <w:rPr>
                <w:rStyle w:val="TableHeaderColumn"/>
                <w:sz w:val="22"/>
                <w:szCs w:val="22"/>
                <w:lang w:val="en-GB"/>
              </w:rPr>
              <w:lastRenderedPageBreak/>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0816D200" w14:textId="63E06F57" w:rsidR="00692CFD" w:rsidRDefault="00576FA9" w:rsidP="00692CFD">
            <w:pPr>
              <w:pStyle w:val="Tabletext"/>
            </w:pPr>
            <w:r w:rsidRPr="00576FA9">
              <w:rPr>
                <w:lang w:val="en-GB"/>
              </w:rPr>
              <w:t xml:space="preserve">Registered HCPs </w:t>
            </w:r>
            <w:r w:rsidR="00692CFD" w:rsidRPr="00251D91">
              <w:t>operating under this PGD are personally responsible for ensuring they remain up to date with the use of all medicines and guidance included in the PGD - if any training needs are identified these should be discussed with the senior individual responsible for authorising individuals to act under the PGD and further training provided as required.</w:t>
            </w:r>
          </w:p>
          <w:p w14:paraId="5924E4EB" w14:textId="7ABFE00D" w:rsidR="00B63F21" w:rsidRPr="00692CFD" w:rsidRDefault="00692CFD" w:rsidP="00692CFD">
            <w:pPr>
              <w:pStyle w:val="Tabletext"/>
            </w:pPr>
            <w:r w:rsidRPr="00EB0BF1">
              <w:rPr>
                <w:highlight w:val="cyan"/>
              </w:rPr>
              <w:t>[ Organisational PGD and/or medication training as required by employing Trust/organisation.]</w:t>
            </w:r>
          </w:p>
        </w:tc>
      </w:tr>
    </w:tbl>
    <w:p w14:paraId="4E761B96" w14:textId="77777777" w:rsidR="00DD0926" w:rsidRDefault="00DD0926"/>
    <w:p w14:paraId="5D6E4393" w14:textId="77777777" w:rsidR="00B63F21" w:rsidRDefault="00B63F21"/>
    <w:p w14:paraId="7DDC9A36" w14:textId="77777777" w:rsidR="00DD0926" w:rsidRDefault="00DD0926"/>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2689"/>
        <w:gridCol w:w="6237"/>
      </w:tblGrid>
      <w:tr w:rsidR="00D36D23" w14:paraId="06FC28D1" w14:textId="77777777" w:rsidTr="00017CF7">
        <w:tc>
          <w:tcPr>
            <w:tcW w:w="2689" w:type="dxa"/>
          </w:tcPr>
          <w:p w14:paraId="7ABDE5EA" w14:textId="3B5A4183" w:rsidR="00D36D23" w:rsidRPr="001C0CA0" w:rsidRDefault="00D36D23" w:rsidP="005A6168">
            <w:pPr>
              <w:rPr>
                <w:rStyle w:val="TableHeaderColumn"/>
                <w:sz w:val="22"/>
              </w:rPr>
            </w:pPr>
            <w:r w:rsidRPr="001C0CA0">
              <w:rPr>
                <w:rStyle w:val="TableHeaderColumn"/>
                <w:sz w:val="22"/>
              </w:rPr>
              <w:t>Clinical condition or situation to which this PGD applies</w:t>
            </w:r>
          </w:p>
        </w:tc>
        <w:tc>
          <w:tcPr>
            <w:tcW w:w="6237" w:type="dxa"/>
          </w:tcPr>
          <w:p w14:paraId="475FC113" w14:textId="1CD57605" w:rsidR="001500A6" w:rsidRPr="002561E8" w:rsidRDefault="001500A6" w:rsidP="001500A6">
            <w:pPr>
              <w:pStyle w:val="Bulletindent1"/>
              <w:numPr>
                <w:ilvl w:val="0"/>
                <w:numId w:val="29"/>
              </w:numPr>
            </w:pPr>
            <w:r>
              <w:t>Bacterial vaginosis (BV)</w:t>
            </w:r>
          </w:p>
          <w:p w14:paraId="622A2C8E" w14:textId="700EFC7D" w:rsidR="001500A6" w:rsidRPr="001500A6" w:rsidRDefault="001500A6" w:rsidP="001500A6">
            <w:pPr>
              <w:pStyle w:val="Bulletindent1"/>
            </w:pPr>
            <w:r w:rsidRPr="001500A6">
              <w:rPr>
                <w:i/>
                <w:iCs/>
              </w:rPr>
              <w:t>Trichomonas vaginalis</w:t>
            </w:r>
            <w:r>
              <w:t xml:space="preserve"> (TV)</w:t>
            </w:r>
          </w:p>
        </w:tc>
      </w:tr>
      <w:tr w:rsidR="00AE4F4B" w14:paraId="423D958D" w14:textId="77777777" w:rsidTr="00F31B89">
        <w:tc>
          <w:tcPr>
            <w:tcW w:w="2689" w:type="dxa"/>
          </w:tcPr>
          <w:p w14:paraId="12B69C9D" w14:textId="0A77D3DB" w:rsidR="00AE4F4B" w:rsidRPr="001C0CA0" w:rsidRDefault="003E69CD" w:rsidP="00251D91">
            <w:pPr>
              <w:rPr>
                <w:rStyle w:val="TableHeaderColumn"/>
                <w:sz w:val="22"/>
              </w:rPr>
            </w:pPr>
            <w:r w:rsidRPr="001C0CA0">
              <w:rPr>
                <w:rStyle w:val="TableHeaderColumn"/>
                <w:sz w:val="22"/>
              </w:rPr>
              <w:t>Criteria for i</w:t>
            </w:r>
            <w:r w:rsidR="00CA3998" w:rsidRPr="001C0CA0">
              <w:rPr>
                <w:rStyle w:val="TableHeaderColumn"/>
                <w:sz w:val="22"/>
              </w:rPr>
              <w:t xml:space="preserve">nclusion </w:t>
            </w:r>
          </w:p>
        </w:tc>
        <w:tc>
          <w:tcPr>
            <w:tcW w:w="6237" w:type="dxa"/>
          </w:tcPr>
          <w:p w14:paraId="2377D3D9" w14:textId="166F46D8" w:rsidR="00251D91" w:rsidRDefault="00251D91" w:rsidP="00DB2A98">
            <w:pPr>
              <w:pStyle w:val="Bulletindent1"/>
            </w:pPr>
            <w:r w:rsidRPr="001500A6">
              <w:t>Informed consent</w:t>
            </w:r>
          </w:p>
          <w:p w14:paraId="18B3CB36" w14:textId="7536E3FB" w:rsidR="00DB2A98" w:rsidRPr="001500A6" w:rsidRDefault="00DB2A98" w:rsidP="00DB2A98">
            <w:pPr>
              <w:pStyle w:val="Bulletindent1"/>
            </w:pPr>
            <w:r w:rsidRPr="004C546E">
              <w:t>Aged 13 years and over. All individual</w:t>
            </w:r>
            <w:r>
              <w:t>s</w:t>
            </w:r>
            <w:r w:rsidRPr="004C546E">
              <w:t xml:space="preserve"> under the age of 19 years </w:t>
            </w:r>
            <w:r w:rsidR="00DB0451">
              <w:t>–</w:t>
            </w:r>
            <w:r w:rsidRPr="004C546E">
              <w:t xml:space="preserve"> </w:t>
            </w:r>
            <w:r w:rsidR="00DB0451" w:rsidRPr="00017CF7">
              <w:rPr>
                <w:highlight w:val="cyan"/>
              </w:rPr>
              <w:t xml:space="preserve">[ </w:t>
            </w:r>
            <w:r w:rsidRPr="00017CF7">
              <w:rPr>
                <w:highlight w:val="cyan"/>
              </w:rPr>
              <w:t>follow local young person’s risk assessment or equivalent local process.</w:t>
            </w:r>
            <w:r w:rsidR="00DB0451" w:rsidRPr="00017CF7">
              <w:rPr>
                <w:highlight w:val="cyan"/>
              </w:rPr>
              <w:t>]</w:t>
            </w:r>
            <w:r w:rsidRPr="004C546E">
              <w:t xml:space="preserve"> </w:t>
            </w:r>
          </w:p>
          <w:p w14:paraId="5D0A512A" w14:textId="77777777" w:rsidR="001500A6" w:rsidRPr="00C07AF2" w:rsidRDefault="001500A6" w:rsidP="00DB2A98">
            <w:pPr>
              <w:pStyle w:val="Bulletindent1"/>
            </w:pPr>
            <w:r w:rsidRPr="00C07AF2">
              <w:t>Any individual diagnosed with TV or BV</w:t>
            </w:r>
          </w:p>
          <w:p w14:paraId="6FD8A7D3" w14:textId="426A265B" w:rsidR="001500A6" w:rsidRPr="002F0C8D" w:rsidRDefault="001500A6" w:rsidP="00DB2A98">
            <w:pPr>
              <w:pStyle w:val="Bulletindent1"/>
            </w:pPr>
            <w:r w:rsidRPr="002F0C8D">
              <w:t>Sexual contact</w:t>
            </w:r>
            <w:r w:rsidR="00792BF3">
              <w:t>(</w:t>
            </w:r>
            <w:r w:rsidRPr="002F0C8D">
              <w:t>s</w:t>
            </w:r>
            <w:r w:rsidR="00792BF3">
              <w:t>)</w:t>
            </w:r>
            <w:r w:rsidRPr="002F0C8D">
              <w:t xml:space="preserve"> of individuals diagnosed TV – do not wait for test results to treat.</w:t>
            </w:r>
          </w:p>
          <w:p w14:paraId="65AB353F" w14:textId="77777777" w:rsidR="001500A6" w:rsidRDefault="001500A6" w:rsidP="00DB2A98">
            <w:pPr>
              <w:pStyle w:val="Bulletindent1"/>
            </w:pPr>
            <w:r>
              <w:t>I</w:t>
            </w:r>
            <w:r w:rsidRPr="002F0C8D">
              <w:t>ndividuals</w:t>
            </w:r>
            <w:r>
              <w:t xml:space="preserve"> treated for TV</w:t>
            </w:r>
            <w:r w:rsidRPr="002F0C8D">
              <w:t xml:space="preserve"> who have had sexual intercourse within 7 days of receiving treatment.</w:t>
            </w:r>
          </w:p>
          <w:p w14:paraId="18AE5109" w14:textId="118C719F" w:rsidR="001500A6" w:rsidRPr="001500A6" w:rsidRDefault="00DB0451" w:rsidP="001500A6">
            <w:pPr>
              <w:overflowPunct w:val="0"/>
              <w:autoSpaceDE w:val="0"/>
              <w:autoSpaceDN w:val="0"/>
              <w:adjustRightInd w:val="0"/>
              <w:contextualSpacing/>
              <w:textAlignment w:val="baseline"/>
              <w:rPr>
                <w:rFonts w:ascii="Arial" w:hAnsi="Arial" w:cs="Arial"/>
                <w:sz w:val="22"/>
                <w:szCs w:val="22"/>
              </w:rPr>
            </w:pPr>
            <w:r>
              <w:rPr>
                <w:rFonts w:ascii="Arial" w:hAnsi="Arial" w:cs="Arial"/>
                <w:b/>
                <w:sz w:val="22"/>
                <w:szCs w:val="22"/>
                <w:highlight w:val="yellow"/>
              </w:rPr>
              <w:t>[[</w:t>
            </w:r>
            <w:r w:rsidR="001500A6" w:rsidRPr="001500A6">
              <w:rPr>
                <w:rFonts w:ascii="Arial" w:hAnsi="Arial" w:cs="Arial"/>
                <w:b/>
                <w:sz w:val="22"/>
                <w:szCs w:val="22"/>
                <w:highlight w:val="yellow"/>
              </w:rPr>
              <w:t>NOTE</w:t>
            </w:r>
            <w:r w:rsidR="001500A6" w:rsidRPr="001500A6">
              <w:rPr>
                <w:rFonts w:ascii="Arial" w:hAnsi="Arial" w:cs="Arial"/>
                <w:sz w:val="22"/>
                <w:szCs w:val="22"/>
                <w:highlight w:val="yellow"/>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72677912" w14:textId="77777777" w:rsidR="001500A6" w:rsidRPr="001500A6" w:rsidRDefault="001500A6" w:rsidP="001500A6">
            <w:pPr>
              <w:overflowPunct w:val="0"/>
              <w:autoSpaceDE w:val="0"/>
              <w:autoSpaceDN w:val="0"/>
              <w:adjustRightInd w:val="0"/>
              <w:contextualSpacing/>
              <w:textAlignment w:val="baseline"/>
              <w:rPr>
                <w:rFonts w:ascii="Arial" w:hAnsi="Arial" w:cs="Arial"/>
                <w:sz w:val="22"/>
                <w:szCs w:val="22"/>
                <w:highlight w:val="yellow"/>
              </w:rPr>
            </w:pPr>
            <w:r w:rsidRPr="001500A6">
              <w:rPr>
                <w:rFonts w:ascii="Arial" w:hAnsi="Arial" w:cs="Arial"/>
                <w:sz w:val="22"/>
                <w:szCs w:val="22"/>
                <w:highlight w:val="yellow"/>
              </w:rPr>
              <w:t>For example in this PGD template the following may be considered:</w:t>
            </w:r>
          </w:p>
          <w:p w14:paraId="069C92BA" w14:textId="77777777" w:rsidR="001500A6" w:rsidRPr="001500A6" w:rsidRDefault="001500A6" w:rsidP="00DB2A98">
            <w:pPr>
              <w:pStyle w:val="Bulletindent1"/>
              <w:rPr>
                <w:highlight w:val="yellow"/>
              </w:rPr>
            </w:pPr>
            <w:r w:rsidRPr="001500A6">
              <w:rPr>
                <w:highlight w:val="yellow"/>
              </w:rPr>
              <w:t>Any individual with clinical signs suggestive BV or TV</w:t>
            </w:r>
          </w:p>
          <w:p w14:paraId="02A2FFD7" w14:textId="46907113" w:rsidR="001E13E0" w:rsidRPr="00251D91" w:rsidRDefault="001500A6" w:rsidP="00DB2A98">
            <w:pPr>
              <w:pStyle w:val="Bulletindent1"/>
            </w:pPr>
            <w:r w:rsidRPr="001500A6">
              <w:rPr>
                <w:highlight w:val="yellow"/>
              </w:rPr>
              <w:t xml:space="preserve">Sexual contacts of individuals diagnosed </w:t>
            </w:r>
            <w:r w:rsidRPr="001500A6">
              <w:rPr>
                <w:highlight w:val="yellow"/>
                <w:u w:val="single"/>
              </w:rPr>
              <w:t>or suspected</w:t>
            </w:r>
            <w:r w:rsidRPr="001500A6">
              <w:rPr>
                <w:highlight w:val="yellow"/>
              </w:rPr>
              <w:t xml:space="preserve"> TV – do not wait for test results to treat.</w:t>
            </w:r>
            <w:r w:rsidR="00DB0451">
              <w:t>]]</w:t>
            </w:r>
          </w:p>
        </w:tc>
      </w:tr>
      <w:tr w:rsidR="00251D91" w14:paraId="6FC007A9" w14:textId="77777777" w:rsidTr="00F31B89">
        <w:tc>
          <w:tcPr>
            <w:tcW w:w="2689" w:type="dxa"/>
          </w:tcPr>
          <w:p w14:paraId="4F9F0FC6" w14:textId="72CE5320" w:rsidR="00251D91" w:rsidRPr="005A6168" w:rsidRDefault="00251D91" w:rsidP="00251D91">
            <w:pPr>
              <w:rPr>
                <w:rStyle w:val="TableHeaderColumn"/>
              </w:rPr>
            </w:pPr>
            <w:r w:rsidRPr="001C0CA0">
              <w:rPr>
                <w:rStyle w:val="TableHeaderColumn"/>
                <w:sz w:val="22"/>
              </w:rPr>
              <w:t>Criteria for exclusion</w:t>
            </w:r>
          </w:p>
        </w:tc>
        <w:tc>
          <w:tcPr>
            <w:tcW w:w="6237" w:type="dxa"/>
          </w:tcPr>
          <w:p w14:paraId="57B9AD05" w14:textId="2DF76B1E" w:rsidR="00DB2A98" w:rsidRDefault="00251D91" w:rsidP="00DB2A98">
            <w:pPr>
              <w:pStyle w:val="Bulletindent1"/>
              <w:numPr>
                <w:ilvl w:val="0"/>
                <w:numId w:val="31"/>
              </w:numPr>
            </w:pPr>
            <w:r w:rsidRPr="002561E8">
              <w:t xml:space="preserve">Consent </w:t>
            </w:r>
            <w:r w:rsidR="00DB2A98">
              <w:t>not given</w:t>
            </w:r>
            <w:r w:rsidRPr="002561E8">
              <w:t xml:space="preserve"> and documented in the </w:t>
            </w:r>
            <w:r>
              <w:t>individual’</w:t>
            </w:r>
            <w:r w:rsidRPr="002561E8">
              <w:t xml:space="preserve">s </w:t>
            </w:r>
            <w:r w:rsidR="00DB2A98">
              <w:t>clinical</w:t>
            </w:r>
            <w:r w:rsidRPr="002561E8">
              <w:t xml:space="preserve"> notes </w:t>
            </w:r>
          </w:p>
          <w:p w14:paraId="164D076D" w14:textId="25525400" w:rsidR="001751C5" w:rsidRPr="001751C5" w:rsidRDefault="001751C5" w:rsidP="001751C5">
            <w:pPr>
              <w:pStyle w:val="Bulletindent1"/>
              <w:numPr>
                <w:ilvl w:val="0"/>
                <w:numId w:val="0"/>
              </w:numPr>
              <w:rPr>
                <w:b/>
                <w:bCs/>
              </w:rPr>
            </w:pPr>
            <w:r w:rsidRPr="001751C5">
              <w:rPr>
                <w:b/>
                <w:bCs/>
              </w:rPr>
              <w:t xml:space="preserve">Personal characteristics </w:t>
            </w:r>
          </w:p>
          <w:p w14:paraId="1B7A08EB" w14:textId="2CD73930" w:rsidR="001500A6" w:rsidRPr="00DB2A98" w:rsidRDefault="001500A6" w:rsidP="00017CF7">
            <w:pPr>
              <w:pStyle w:val="Bulletindent1"/>
              <w:numPr>
                <w:ilvl w:val="0"/>
                <w:numId w:val="31"/>
              </w:numPr>
              <w:spacing w:before="0" w:after="0"/>
            </w:pPr>
            <w:r w:rsidRPr="00DB2A98">
              <w:rPr>
                <w:rFonts w:cs="Arial"/>
                <w:szCs w:val="22"/>
              </w:rPr>
              <w:t>Individuals under 13 years of age</w:t>
            </w:r>
          </w:p>
          <w:p w14:paraId="33B4E1D5" w14:textId="4FB18483" w:rsidR="001500A6" w:rsidRPr="001500A6" w:rsidRDefault="001500A6" w:rsidP="00017CF7">
            <w:pPr>
              <w:numPr>
                <w:ilvl w:val="0"/>
                <w:numId w:val="31"/>
              </w:numPr>
              <w:rPr>
                <w:rFonts w:ascii="Arial" w:hAnsi="Arial" w:cs="Arial"/>
                <w:sz w:val="22"/>
                <w:szCs w:val="22"/>
              </w:rPr>
            </w:pPr>
            <w:r w:rsidRPr="001500A6">
              <w:rPr>
                <w:rFonts w:ascii="Arial" w:hAnsi="Arial" w:cs="Arial"/>
                <w:sz w:val="22"/>
                <w:szCs w:val="22"/>
              </w:rPr>
              <w:t xml:space="preserve">Individuals under 16 years of age and assessed as </w:t>
            </w:r>
            <w:r w:rsidR="00DB2A98">
              <w:rPr>
                <w:rFonts w:ascii="Arial" w:hAnsi="Arial" w:cs="Arial"/>
                <w:sz w:val="22"/>
                <w:szCs w:val="22"/>
              </w:rPr>
              <w:t xml:space="preserve">lacking capacity to consent </w:t>
            </w:r>
            <w:r w:rsidRPr="001500A6">
              <w:rPr>
                <w:rFonts w:ascii="Arial" w:hAnsi="Arial" w:cs="Arial"/>
                <w:sz w:val="22"/>
                <w:szCs w:val="22"/>
              </w:rPr>
              <w:t>using Fraser Guidelines</w:t>
            </w:r>
          </w:p>
          <w:p w14:paraId="2AA203B0" w14:textId="1798DE37" w:rsidR="001500A6" w:rsidRDefault="001500A6" w:rsidP="00017CF7">
            <w:pPr>
              <w:numPr>
                <w:ilvl w:val="0"/>
                <w:numId w:val="31"/>
              </w:numPr>
              <w:rPr>
                <w:rFonts w:ascii="Arial" w:hAnsi="Arial" w:cs="Arial"/>
                <w:sz w:val="22"/>
                <w:szCs w:val="22"/>
              </w:rPr>
            </w:pPr>
            <w:r w:rsidRPr="001500A6">
              <w:rPr>
                <w:rFonts w:ascii="Arial" w:hAnsi="Arial" w:cs="Arial"/>
                <w:sz w:val="22"/>
                <w:szCs w:val="22"/>
              </w:rPr>
              <w:t xml:space="preserve">Individuals 16 years of age and over and assessed as </w:t>
            </w:r>
            <w:r w:rsidR="00DB2A98">
              <w:rPr>
                <w:rFonts w:ascii="Arial" w:hAnsi="Arial" w:cs="Arial"/>
                <w:sz w:val="22"/>
                <w:szCs w:val="22"/>
              </w:rPr>
              <w:t>lacking capacity</w:t>
            </w:r>
            <w:r w:rsidRPr="001500A6">
              <w:rPr>
                <w:rFonts w:ascii="Arial" w:hAnsi="Arial" w:cs="Arial"/>
                <w:sz w:val="22"/>
                <w:szCs w:val="22"/>
              </w:rPr>
              <w:t xml:space="preserve"> to consent using local safeguarding guidelines</w:t>
            </w:r>
          </w:p>
          <w:p w14:paraId="51708449" w14:textId="77777777" w:rsidR="00BC348C" w:rsidRPr="00BC348C" w:rsidRDefault="00BC348C" w:rsidP="00BC348C">
            <w:pPr>
              <w:ind w:left="720"/>
              <w:rPr>
                <w:rFonts w:ascii="Arial" w:hAnsi="Arial" w:cs="Arial"/>
                <w:sz w:val="22"/>
                <w:szCs w:val="22"/>
              </w:rPr>
            </w:pPr>
          </w:p>
          <w:p w14:paraId="7DD9B060" w14:textId="77777777" w:rsidR="001500A6" w:rsidRPr="001500A6" w:rsidRDefault="001500A6" w:rsidP="001500A6">
            <w:pPr>
              <w:rPr>
                <w:rFonts w:ascii="Arial" w:hAnsi="Arial" w:cs="Arial"/>
                <w:b/>
                <w:sz w:val="22"/>
                <w:szCs w:val="22"/>
              </w:rPr>
            </w:pPr>
            <w:r w:rsidRPr="001500A6">
              <w:rPr>
                <w:rFonts w:ascii="Arial" w:hAnsi="Arial" w:cs="Arial"/>
                <w:b/>
                <w:sz w:val="22"/>
                <w:szCs w:val="22"/>
              </w:rPr>
              <w:t>Medical history</w:t>
            </w:r>
          </w:p>
          <w:p w14:paraId="235044FE" w14:textId="77777777" w:rsidR="001500A6" w:rsidRPr="001500A6" w:rsidRDefault="001500A6" w:rsidP="001500A6">
            <w:pPr>
              <w:numPr>
                <w:ilvl w:val="0"/>
                <w:numId w:val="31"/>
              </w:numPr>
              <w:rPr>
                <w:rFonts w:ascii="Arial" w:hAnsi="Arial" w:cs="Arial"/>
                <w:sz w:val="22"/>
                <w:szCs w:val="22"/>
              </w:rPr>
            </w:pPr>
            <w:r w:rsidRPr="001500A6">
              <w:rPr>
                <w:rFonts w:ascii="Arial" w:hAnsi="Arial" w:cs="Arial"/>
                <w:sz w:val="22"/>
                <w:szCs w:val="22"/>
              </w:rPr>
              <w:lastRenderedPageBreak/>
              <w:t xml:space="preserve">Two or more treated episodes of BV in the past 6 months without confirmation of diagnosis by microscopy  </w:t>
            </w:r>
          </w:p>
          <w:p w14:paraId="515A80A4" w14:textId="77777777" w:rsidR="00DB2A98" w:rsidRDefault="001500A6" w:rsidP="00DB2A98">
            <w:pPr>
              <w:numPr>
                <w:ilvl w:val="0"/>
                <w:numId w:val="31"/>
              </w:numPr>
              <w:rPr>
                <w:rFonts w:ascii="Arial" w:hAnsi="Arial" w:cs="Arial"/>
                <w:sz w:val="22"/>
                <w:szCs w:val="22"/>
              </w:rPr>
            </w:pPr>
            <w:r w:rsidRPr="001500A6">
              <w:rPr>
                <w:rFonts w:ascii="Arial" w:hAnsi="Arial" w:cs="Arial"/>
                <w:sz w:val="22"/>
                <w:szCs w:val="22"/>
              </w:rPr>
              <w:t>TV – positive test of cure where reinfection and non-concordance has been excluded</w:t>
            </w:r>
          </w:p>
          <w:p w14:paraId="21DF312B" w14:textId="0067BECD" w:rsidR="00BC348C" w:rsidRPr="00DB2A98" w:rsidRDefault="00BC348C" w:rsidP="00DB2A98">
            <w:pPr>
              <w:numPr>
                <w:ilvl w:val="0"/>
                <w:numId w:val="31"/>
              </w:numPr>
              <w:rPr>
                <w:rFonts w:ascii="Arial" w:hAnsi="Arial" w:cs="Arial"/>
                <w:sz w:val="22"/>
                <w:szCs w:val="22"/>
              </w:rPr>
            </w:pPr>
            <w:r w:rsidRPr="00DB2A98">
              <w:rPr>
                <w:rFonts w:ascii="Arial" w:hAnsi="Arial" w:cs="Arial"/>
                <w:sz w:val="22"/>
                <w:szCs w:val="22"/>
              </w:rPr>
              <w:t>Failed prev</w:t>
            </w:r>
            <w:r w:rsidR="003E6A88">
              <w:rPr>
                <w:rFonts w:ascii="Arial" w:hAnsi="Arial" w:cs="Arial"/>
                <w:sz w:val="22"/>
                <w:szCs w:val="22"/>
              </w:rPr>
              <w:t>i</w:t>
            </w:r>
            <w:r w:rsidRPr="00DB2A98">
              <w:rPr>
                <w:rFonts w:ascii="Arial" w:hAnsi="Arial" w:cs="Arial"/>
                <w:sz w:val="22"/>
                <w:szCs w:val="22"/>
              </w:rPr>
              <w:t>ous antibiotic for this episode of BV or TV</w:t>
            </w:r>
            <w:r w:rsidR="00245E72" w:rsidRPr="00DB2A98">
              <w:rPr>
                <w:rFonts w:ascii="Arial" w:hAnsi="Arial" w:cs="Arial"/>
                <w:sz w:val="22"/>
                <w:szCs w:val="22"/>
              </w:rPr>
              <w:t xml:space="preserve"> </w:t>
            </w:r>
          </w:p>
          <w:p w14:paraId="4CF05D37" w14:textId="6B020873" w:rsidR="00245E72" w:rsidRPr="001500A6" w:rsidRDefault="00792BF3" w:rsidP="001500A6">
            <w:pPr>
              <w:numPr>
                <w:ilvl w:val="0"/>
                <w:numId w:val="31"/>
              </w:numPr>
              <w:rPr>
                <w:rFonts w:ascii="Arial" w:hAnsi="Arial" w:cs="Arial"/>
                <w:sz w:val="22"/>
                <w:szCs w:val="22"/>
              </w:rPr>
            </w:pPr>
            <w:r>
              <w:rPr>
                <w:rFonts w:ascii="Arial" w:hAnsi="Arial" w:cs="Arial"/>
                <w:sz w:val="22"/>
                <w:szCs w:val="22"/>
              </w:rPr>
              <w:t xml:space="preserve">Pelvic </w:t>
            </w:r>
            <w:r w:rsidR="00245E72">
              <w:rPr>
                <w:rFonts w:ascii="Arial" w:hAnsi="Arial" w:cs="Arial"/>
                <w:sz w:val="22"/>
                <w:szCs w:val="22"/>
              </w:rPr>
              <w:t xml:space="preserve">pain/suspected pelvic inflammatory disease (PID) or prostatitis </w:t>
            </w:r>
          </w:p>
          <w:p w14:paraId="74868483" w14:textId="77777777" w:rsidR="00BC348C" w:rsidRDefault="001500A6" w:rsidP="00BC348C">
            <w:pPr>
              <w:numPr>
                <w:ilvl w:val="0"/>
                <w:numId w:val="31"/>
              </w:numPr>
              <w:rPr>
                <w:rFonts w:ascii="Arial" w:hAnsi="Arial" w:cs="Arial"/>
                <w:sz w:val="22"/>
                <w:szCs w:val="22"/>
              </w:rPr>
            </w:pPr>
            <w:r w:rsidRPr="001500A6">
              <w:rPr>
                <w:rFonts w:ascii="Arial" w:hAnsi="Arial" w:cs="Arial"/>
                <w:sz w:val="22"/>
                <w:szCs w:val="22"/>
              </w:rPr>
              <w:t>Known moderate to severe liver impairment</w:t>
            </w:r>
          </w:p>
          <w:p w14:paraId="380354DC" w14:textId="252E191F" w:rsidR="001500A6" w:rsidRPr="00BC348C" w:rsidRDefault="001500A6" w:rsidP="00BC348C">
            <w:pPr>
              <w:numPr>
                <w:ilvl w:val="0"/>
                <w:numId w:val="31"/>
              </w:numPr>
              <w:rPr>
                <w:rFonts w:ascii="Arial" w:hAnsi="Arial" w:cs="Arial"/>
                <w:sz w:val="22"/>
                <w:szCs w:val="22"/>
              </w:rPr>
            </w:pPr>
            <w:r w:rsidRPr="00BC348C">
              <w:rPr>
                <w:rFonts w:ascii="Arial" w:hAnsi="Arial" w:cs="Arial"/>
                <w:sz w:val="22"/>
                <w:szCs w:val="22"/>
              </w:rPr>
              <w:t>Known porphyria</w:t>
            </w:r>
          </w:p>
          <w:p w14:paraId="72DB437A" w14:textId="77777777" w:rsidR="001500A6" w:rsidRPr="001500A6" w:rsidRDefault="001500A6" w:rsidP="00BC348C">
            <w:pPr>
              <w:numPr>
                <w:ilvl w:val="0"/>
                <w:numId w:val="31"/>
              </w:numPr>
              <w:rPr>
                <w:rFonts w:ascii="Arial" w:hAnsi="Arial" w:cs="Arial"/>
                <w:sz w:val="22"/>
                <w:szCs w:val="22"/>
              </w:rPr>
            </w:pPr>
            <w:r w:rsidRPr="001500A6">
              <w:rPr>
                <w:rFonts w:ascii="Arial" w:hAnsi="Arial" w:cs="Arial"/>
                <w:sz w:val="22"/>
                <w:szCs w:val="22"/>
              </w:rPr>
              <w:t>Known alcohol dependence or with general alcohol consumption, a refusal to cease from drinking alcohol during treatment and 48 hours after completion.</w:t>
            </w:r>
          </w:p>
          <w:p w14:paraId="60B88B11" w14:textId="77777777" w:rsidR="001500A6" w:rsidRDefault="001500A6" w:rsidP="00BC348C">
            <w:pPr>
              <w:numPr>
                <w:ilvl w:val="0"/>
                <w:numId w:val="31"/>
              </w:numPr>
              <w:rPr>
                <w:rFonts w:ascii="Arial" w:hAnsi="Arial" w:cs="Arial"/>
                <w:sz w:val="22"/>
                <w:szCs w:val="22"/>
              </w:rPr>
            </w:pPr>
            <w:r w:rsidRPr="001500A6">
              <w:rPr>
                <w:rFonts w:ascii="Arial" w:hAnsi="Arial" w:cs="Arial"/>
                <w:sz w:val="22"/>
                <w:szCs w:val="22"/>
              </w:rPr>
              <w:t>Cockayne syndrome</w:t>
            </w:r>
          </w:p>
          <w:p w14:paraId="672B1052" w14:textId="59A7233A" w:rsidR="00BC348C" w:rsidRDefault="00BC348C" w:rsidP="00BC348C">
            <w:pPr>
              <w:numPr>
                <w:ilvl w:val="0"/>
                <w:numId w:val="31"/>
              </w:numPr>
              <w:rPr>
                <w:rFonts w:ascii="Arial" w:hAnsi="Arial" w:cs="Arial"/>
                <w:sz w:val="22"/>
                <w:szCs w:val="22"/>
              </w:rPr>
            </w:pPr>
            <w:r>
              <w:rPr>
                <w:rFonts w:ascii="Arial" w:hAnsi="Arial" w:cs="Arial"/>
                <w:sz w:val="22"/>
                <w:szCs w:val="22"/>
              </w:rPr>
              <w:t>Individ</w:t>
            </w:r>
            <w:r w:rsidR="001377F0">
              <w:rPr>
                <w:rFonts w:ascii="Arial" w:hAnsi="Arial" w:cs="Arial"/>
                <w:sz w:val="22"/>
                <w:szCs w:val="22"/>
              </w:rPr>
              <w:t>u</w:t>
            </w:r>
            <w:r>
              <w:rPr>
                <w:rFonts w:ascii="Arial" w:hAnsi="Arial" w:cs="Arial"/>
                <w:sz w:val="22"/>
                <w:szCs w:val="22"/>
              </w:rPr>
              <w:t xml:space="preserve">als following a </w:t>
            </w:r>
            <w:hyperlink r:id="rId19" w:history="1">
              <w:r w:rsidRPr="00EB0BF1">
                <w:rPr>
                  <w:rStyle w:val="Hyperlink"/>
                  <w:rFonts w:ascii="Arial" w:hAnsi="Arial" w:cs="Arial"/>
                  <w:sz w:val="22"/>
                  <w:szCs w:val="22"/>
                </w:rPr>
                <w:t>ketogenic diet as described in the patient information leaflet</w:t>
              </w:r>
              <w:r w:rsidR="00D6274A" w:rsidRPr="00EB0BF1">
                <w:rPr>
                  <w:rStyle w:val="Hyperlink"/>
                  <w:rFonts w:ascii="Arial" w:hAnsi="Arial" w:cs="Arial"/>
                  <w:sz w:val="22"/>
                  <w:szCs w:val="22"/>
                </w:rPr>
                <w:t xml:space="preserve"> </w:t>
              </w:r>
              <w:r w:rsidRPr="00EB0BF1">
                <w:rPr>
                  <w:rStyle w:val="Hyperlink"/>
                  <w:rFonts w:ascii="Arial" w:hAnsi="Arial" w:cs="Arial"/>
                  <w:sz w:val="22"/>
                  <w:szCs w:val="22"/>
                </w:rPr>
                <w:t xml:space="preserve">from </w:t>
              </w:r>
              <w:r w:rsidR="00D6274A" w:rsidRPr="00EB0BF1">
                <w:rPr>
                  <w:rStyle w:val="Hyperlink"/>
                  <w:rFonts w:ascii="Arial" w:hAnsi="Arial" w:cs="Arial"/>
                  <w:sz w:val="22"/>
                  <w:szCs w:val="22"/>
                </w:rPr>
                <w:t xml:space="preserve">Cambridge </w:t>
              </w:r>
              <w:r w:rsidRPr="00EB0BF1">
                <w:rPr>
                  <w:rStyle w:val="Hyperlink"/>
                  <w:rFonts w:ascii="Arial" w:hAnsi="Arial" w:cs="Arial"/>
                  <w:sz w:val="22"/>
                  <w:szCs w:val="22"/>
                </w:rPr>
                <w:t>Univ</w:t>
              </w:r>
              <w:r w:rsidR="00EB0BF1" w:rsidRPr="00EB0BF1">
                <w:rPr>
                  <w:rStyle w:val="Hyperlink"/>
                  <w:rFonts w:ascii="Arial" w:hAnsi="Arial" w:cs="Arial"/>
                  <w:sz w:val="22"/>
                  <w:szCs w:val="22"/>
                </w:rPr>
                <w:t xml:space="preserve">ersity </w:t>
              </w:r>
              <w:r w:rsidRPr="00EB0BF1">
                <w:rPr>
                  <w:rStyle w:val="Hyperlink"/>
                  <w:rFonts w:ascii="Arial" w:hAnsi="Arial" w:cs="Arial"/>
                  <w:sz w:val="22"/>
                  <w:szCs w:val="22"/>
                </w:rPr>
                <w:t>Hospitals Keotgenic dietary therapy (KDT) – For children who are eating orally and their carers</w:t>
              </w:r>
            </w:hyperlink>
            <w:r>
              <w:rPr>
                <w:rFonts w:ascii="Arial" w:hAnsi="Arial" w:cs="Arial"/>
                <w:sz w:val="22"/>
                <w:szCs w:val="22"/>
              </w:rPr>
              <w:t xml:space="preserve"> </w:t>
            </w:r>
          </w:p>
          <w:p w14:paraId="1177C95D" w14:textId="0D3A09BF" w:rsidR="001500A6" w:rsidRPr="004D14FE" w:rsidRDefault="001500A6" w:rsidP="00BC348C">
            <w:pPr>
              <w:pStyle w:val="TableParagraph"/>
              <w:numPr>
                <w:ilvl w:val="0"/>
                <w:numId w:val="31"/>
              </w:numPr>
              <w:rPr>
                <w:rFonts w:ascii="Arial" w:hAnsi="Arial" w:cs="Arial"/>
                <w:sz w:val="22"/>
                <w:szCs w:val="22"/>
                <w:lang w:val="en-GB"/>
              </w:rPr>
            </w:pPr>
            <w:r w:rsidRPr="001500A6">
              <w:rPr>
                <w:rFonts w:ascii="Arial" w:hAnsi="Arial" w:cs="Arial"/>
                <w:sz w:val="22"/>
                <w:szCs w:val="22"/>
              </w:rPr>
              <w:t>Known active or chronic severe peripheral and central nervous system disease (e.g. peripheral neuropathy, epilepsy)</w:t>
            </w:r>
          </w:p>
          <w:p w14:paraId="617AF5E4" w14:textId="77777777" w:rsidR="004D14FE" w:rsidRPr="00BC348C" w:rsidRDefault="004D14FE" w:rsidP="004D14FE">
            <w:pPr>
              <w:pStyle w:val="TableParagraph"/>
              <w:ind w:left="720"/>
              <w:rPr>
                <w:rFonts w:ascii="Arial" w:hAnsi="Arial" w:cs="Arial"/>
                <w:sz w:val="22"/>
                <w:szCs w:val="22"/>
                <w:lang w:val="en-GB"/>
              </w:rPr>
            </w:pPr>
          </w:p>
          <w:p w14:paraId="6F983563" w14:textId="63C4804F" w:rsidR="001500A6" w:rsidRPr="00BC348C" w:rsidRDefault="001500A6" w:rsidP="00BC348C">
            <w:pPr>
              <w:rPr>
                <w:rFonts w:ascii="Arial" w:hAnsi="Arial" w:cs="Arial"/>
                <w:b/>
                <w:color w:val="000000"/>
                <w:sz w:val="22"/>
                <w:szCs w:val="22"/>
              </w:rPr>
            </w:pPr>
            <w:bookmarkStart w:id="4" w:name="_Hlk147995576"/>
            <w:r w:rsidRPr="001500A6">
              <w:rPr>
                <w:rFonts w:ascii="Arial" w:hAnsi="Arial" w:cs="Arial"/>
                <w:b/>
                <w:color w:val="000000"/>
                <w:sz w:val="22"/>
                <w:szCs w:val="22"/>
              </w:rPr>
              <w:t>Medication history</w:t>
            </w:r>
            <w:bookmarkStart w:id="5" w:name="_Hlk147995607"/>
            <w:bookmarkEnd w:id="4"/>
          </w:p>
          <w:bookmarkEnd w:id="5"/>
          <w:p w14:paraId="63DC2052" w14:textId="77777777" w:rsidR="00BC348C" w:rsidRPr="00BC348C" w:rsidRDefault="001500A6" w:rsidP="00BC348C">
            <w:pPr>
              <w:pStyle w:val="ListParagraph"/>
              <w:numPr>
                <w:ilvl w:val="0"/>
                <w:numId w:val="31"/>
              </w:numPr>
              <w:overflowPunct w:val="0"/>
              <w:autoSpaceDE w:val="0"/>
              <w:autoSpaceDN w:val="0"/>
              <w:adjustRightInd w:val="0"/>
              <w:textAlignment w:val="baseline"/>
              <w:rPr>
                <w:rFonts w:ascii="Arial" w:eastAsiaTheme="minorHAnsi" w:hAnsi="Arial" w:cs="Arial"/>
                <w:iCs/>
                <w:sz w:val="22"/>
                <w:szCs w:val="22"/>
              </w:rPr>
            </w:pPr>
            <w:r w:rsidRPr="00BC348C">
              <w:rPr>
                <w:rFonts w:ascii="Arial" w:hAnsi="Arial" w:cs="Arial"/>
                <w:sz w:val="22"/>
                <w:szCs w:val="22"/>
              </w:rPr>
              <w:t xml:space="preserve">Known hypersensitivity to metronidazole, any nitroimidazole or any of the components within the formulation </w:t>
            </w:r>
            <w:r w:rsidRPr="00BC348C">
              <w:rPr>
                <w:rFonts w:ascii="Arial" w:eastAsia="Times New Roman" w:hAnsi="Arial" w:cs="Arial"/>
                <w:sz w:val="22"/>
                <w:szCs w:val="22"/>
              </w:rPr>
              <w:t xml:space="preserve">- see </w:t>
            </w:r>
            <w:hyperlink r:id="rId20" w:history="1">
              <w:r w:rsidRPr="00BC348C">
                <w:rPr>
                  <w:rFonts w:ascii="Arial" w:eastAsia="Times New Roman" w:hAnsi="Arial" w:cs="Arial"/>
                  <w:color w:val="0563C1"/>
                  <w:sz w:val="22"/>
                  <w:szCs w:val="22"/>
                  <w:u w:val="single"/>
                </w:rPr>
                <w:t>Summary of Product Characteristics</w:t>
              </w:r>
            </w:hyperlink>
            <w:r w:rsidRPr="00BC348C">
              <w:rPr>
                <w:rFonts w:ascii="Arial" w:eastAsia="Times New Roman" w:hAnsi="Arial" w:cs="Arial"/>
                <w:color w:val="0563C1"/>
                <w:sz w:val="22"/>
                <w:szCs w:val="22"/>
                <w:u w:val="single"/>
              </w:rPr>
              <w:t xml:space="preserve">. </w:t>
            </w:r>
            <w:r w:rsidRPr="00BC348C">
              <w:rPr>
                <w:rFonts w:ascii="Arial" w:eastAsia="Times New Roman" w:hAnsi="Arial" w:cs="Arial"/>
                <w:b/>
                <w:bCs/>
                <w:iCs/>
                <w:sz w:val="22"/>
                <w:szCs w:val="22"/>
              </w:rPr>
              <w:t>Acceptable sources of allergy information include individual/carer or National Care Record</w:t>
            </w:r>
            <w:r w:rsidRPr="00BC348C">
              <w:rPr>
                <w:rFonts w:ascii="Arial" w:eastAsia="Times New Roman" w:hAnsi="Arial" w:cs="Arial"/>
                <w:iCs/>
                <w:sz w:val="22"/>
                <w:szCs w:val="22"/>
              </w:rPr>
              <w:t>.</w:t>
            </w:r>
          </w:p>
          <w:p w14:paraId="20889FA8" w14:textId="77777777" w:rsidR="00BC348C" w:rsidRPr="00BC348C" w:rsidRDefault="001500A6" w:rsidP="00BC348C">
            <w:pPr>
              <w:pStyle w:val="ListParagraph"/>
              <w:numPr>
                <w:ilvl w:val="0"/>
                <w:numId w:val="31"/>
              </w:numPr>
              <w:overflowPunct w:val="0"/>
              <w:autoSpaceDE w:val="0"/>
              <w:autoSpaceDN w:val="0"/>
              <w:adjustRightInd w:val="0"/>
              <w:textAlignment w:val="baseline"/>
              <w:rPr>
                <w:rFonts w:ascii="Arial" w:eastAsiaTheme="minorHAnsi" w:hAnsi="Arial" w:cs="Arial"/>
                <w:iCs/>
                <w:sz w:val="22"/>
                <w:szCs w:val="22"/>
              </w:rPr>
            </w:pPr>
            <w:r w:rsidRPr="00BC348C">
              <w:rPr>
                <w:rFonts w:ascii="Arial" w:hAnsi="Arial" w:cs="Arial"/>
                <w:sz w:val="22"/>
                <w:szCs w:val="22"/>
              </w:rPr>
              <w:t>Inability to absorb oral medications and/or inability to swallow oral dosage formulations (i.e. tablets or oral suspension)</w:t>
            </w:r>
          </w:p>
          <w:p w14:paraId="6A03A86A" w14:textId="77777777" w:rsidR="00BC348C" w:rsidRPr="00BC348C" w:rsidRDefault="001500A6" w:rsidP="00BC348C">
            <w:pPr>
              <w:pStyle w:val="ListParagraph"/>
              <w:numPr>
                <w:ilvl w:val="0"/>
                <w:numId w:val="31"/>
              </w:numPr>
              <w:overflowPunct w:val="0"/>
              <w:autoSpaceDE w:val="0"/>
              <w:autoSpaceDN w:val="0"/>
              <w:adjustRightInd w:val="0"/>
              <w:textAlignment w:val="baseline"/>
              <w:rPr>
                <w:rFonts w:ascii="Arial" w:eastAsiaTheme="minorHAnsi" w:hAnsi="Arial" w:cs="Arial"/>
                <w:iCs/>
                <w:sz w:val="22"/>
                <w:szCs w:val="22"/>
              </w:rPr>
            </w:pPr>
            <w:r w:rsidRPr="00BC348C">
              <w:rPr>
                <w:rFonts w:ascii="Arial" w:hAnsi="Arial" w:cs="Arial"/>
                <w:sz w:val="22"/>
                <w:szCs w:val="22"/>
              </w:rPr>
              <w:t xml:space="preserve">Current long-term use of metronidazole (e.g. for prophylaxis) </w:t>
            </w:r>
          </w:p>
          <w:p w14:paraId="3E01DBA1" w14:textId="77777777" w:rsidR="00BC348C" w:rsidRPr="00BC348C" w:rsidRDefault="001500A6" w:rsidP="00BC348C">
            <w:pPr>
              <w:pStyle w:val="ListParagraph"/>
              <w:numPr>
                <w:ilvl w:val="0"/>
                <w:numId w:val="31"/>
              </w:numPr>
              <w:overflowPunct w:val="0"/>
              <w:autoSpaceDE w:val="0"/>
              <w:autoSpaceDN w:val="0"/>
              <w:adjustRightInd w:val="0"/>
              <w:textAlignment w:val="baseline"/>
              <w:rPr>
                <w:rFonts w:ascii="Arial" w:eastAsiaTheme="minorHAnsi" w:hAnsi="Arial" w:cs="Arial"/>
                <w:iCs/>
                <w:sz w:val="22"/>
                <w:szCs w:val="22"/>
              </w:rPr>
            </w:pPr>
            <w:r w:rsidRPr="00BC348C">
              <w:rPr>
                <w:rFonts w:ascii="Arial" w:hAnsi="Arial" w:cs="Arial"/>
                <w:color w:val="000000"/>
                <w:sz w:val="22"/>
                <w:szCs w:val="22"/>
              </w:rPr>
              <w:t>Less than 3 days before receiving, or within 3 days after receiving, oral typhoid vaccine</w:t>
            </w:r>
          </w:p>
          <w:p w14:paraId="0D61DF5E" w14:textId="795E9EDF" w:rsidR="001500A6" w:rsidRPr="00BC348C" w:rsidRDefault="001500A6" w:rsidP="00BC348C">
            <w:pPr>
              <w:pStyle w:val="ListParagraph"/>
              <w:numPr>
                <w:ilvl w:val="0"/>
                <w:numId w:val="31"/>
              </w:numPr>
              <w:overflowPunct w:val="0"/>
              <w:autoSpaceDE w:val="0"/>
              <w:autoSpaceDN w:val="0"/>
              <w:adjustRightInd w:val="0"/>
              <w:textAlignment w:val="baseline"/>
              <w:rPr>
                <w:rFonts w:ascii="Arial" w:eastAsiaTheme="minorHAnsi" w:hAnsi="Arial" w:cs="Arial"/>
                <w:iCs/>
                <w:sz w:val="22"/>
                <w:szCs w:val="22"/>
              </w:rPr>
            </w:pPr>
            <w:r w:rsidRPr="00BC348C">
              <w:rPr>
                <w:rFonts w:ascii="Arial" w:hAnsi="Arial" w:cs="Arial"/>
                <w:iCs/>
                <w:sz w:val="22"/>
                <w:szCs w:val="22"/>
              </w:rPr>
              <w:lastRenderedPageBreak/>
              <w:t xml:space="preserve">Concurrent use of any interacting medicine as listed in </w:t>
            </w:r>
            <w:hyperlink w:anchor="Interactions" w:history="1">
              <w:r w:rsidRPr="00BC348C">
                <w:rPr>
                  <w:rStyle w:val="Hyperlink"/>
                  <w:rFonts w:ascii="Arial" w:hAnsi="Arial" w:cs="Arial"/>
                  <w:iCs/>
                  <w:sz w:val="22"/>
                  <w:szCs w:val="22"/>
                </w:rPr>
                <w:t>Drug Interactions</w:t>
              </w:r>
            </w:hyperlink>
            <w:r w:rsidRPr="00BC348C">
              <w:rPr>
                <w:rFonts w:ascii="Arial" w:hAnsi="Arial" w:cs="Arial"/>
                <w:iCs/>
                <w:sz w:val="22"/>
                <w:szCs w:val="22"/>
              </w:rPr>
              <w:t xml:space="preserve"> section of this PGD </w:t>
            </w:r>
          </w:p>
          <w:p w14:paraId="242D0FB3" w14:textId="7CA63AEF" w:rsidR="00264121" w:rsidRPr="004D14FE" w:rsidRDefault="001500A6" w:rsidP="004D14FE">
            <w:pPr>
              <w:pStyle w:val="ListParagraph"/>
              <w:numPr>
                <w:ilvl w:val="0"/>
                <w:numId w:val="31"/>
              </w:numPr>
              <w:overflowPunct w:val="0"/>
              <w:autoSpaceDE w:val="0"/>
              <w:autoSpaceDN w:val="0"/>
              <w:adjustRightInd w:val="0"/>
              <w:textAlignment w:val="baseline"/>
              <w:rPr>
                <w:rFonts w:ascii="Arial" w:hAnsi="Arial" w:cs="Arial"/>
                <w:iCs/>
                <w:sz w:val="22"/>
                <w:szCs w:val="22"/>
              </w:rPr>
            </w:pPr>
            <w:r w:rsidRPr="00BC348C">
              <w:rPr>
                <w:rFonts w:ascii="Arial" w:hAnsi="Arial" w:cs="Arial"/>
                <w:sz w:val="22"/>
                <w:szCs w:val="22"/>
              </w:rPr>
              <w:t>Concomitant use of another medication known to cause QT prolongation (e.g. haloperidol, sotalol, terfenadine, pimozide) (</w:t>
            </w:r>
            <w:r w:rsidRPr="00BC348C">
              <w:rPr>
                <w:rFonts w:ascii="Arial" w:hAnsi="Arial" w:cs="Arial"/>
                <w:sz w:val="22"/>
                <w:szCs w:val="22"/>
                <w:lang w:val="en-US"/>
              </w:rPr>
              <w:t xml:space="preserve">For further information recommended resources include: </w:t>
            </w:r>
            <w:hyperlink r:id="rId21" w:history="1">
              <w:r w:rsidRPr="00BC348C">
                <w:rPr>
                  <w:rFonts w:ascii="Arial" w:hAnsi="Arial" w:cs="Arial"/>
                  <w:color w:val="0000FF"/>
                  <w:sz w:val="22"/>
                  <w:szCs w:val="22"/>
                  <w:u w:val="single"/>
                  <w:lang w:val="en-US"/>
                </w:rPr>
                <w:t>CredibleMeds</w:t>
              </w:r>
            </w:hyperlink>
            <w:r w:rsidRPr="00BC348C">
              <w:rPr>
                <w:rFonts w:ascii="Arial" w:hAnsi="Arial" w:cs="Arial"/>
                <w:sz w:val="22"/>
                <w:szCs w:val="22"/>
                <w:lang w:val="en-US"/>
              </w:rPr>
              <w:t xml:space="preserve">; registration required, or </w:t>
            </w:r>
            <w:hyperlink r:id="rId22" w:history="1">
              <w:r w:rsidRPr="00BC348C">
                <w:rPr>
                  <w:rFonts w:ascii="Arial" w:hAnsi="Arial" w:cs="Arial"/>
                  <w:color w:val="0000FF"/>
                  <w:sz w:val="22"/>
                  <w:szCs w:val="22"/>
                  <w:u w:val="single"/>
                  <w:lang w:val="en-US"/>
                </w:rPr>
                <w:t>Sudden arrhythmic death syndrome (SADS) - Drugs to avoid</w:t>
              </w:r>
            </w:hyperlink>
            <w:r w:rsidRPr="00BC348C">
              <w:rPr>
                <w:rFonts w:ascii="Arial" w:hAnsi="Arial" w:cs="Arial"/>
                <w:sz w:val="22"/>
                <w:szCs w:val="22"/>
                <w:lang w:val="en-US"/>
              </w:rPr>
              <w:t>)</w:t>
            </w:r>
          </w:p>
        </w:tc>
      </w:tr>
      <w:tr w:rsidR="00251D91" w14:paraId="2086F951" w14:textId="77777777" w:rsidTr="00F31B89">
        <w:tc>
          <w:tcPr>
            <w:tcW w:w="2689" w:type="dxa"/>
          </w:tcPr>
          <w:p w14:paraId="34F2E318" w14:textId="7E1AEDD6" w:rsidR="00251D91" w:rsidRPr="005A6168" w:rsidRDefault="00251D91" w:rsidP="00251D91">
            <w:pPr>
              <w:rPr>
                <w:rStyle w:val="TableHeaderColumn"/>
              </w:rPr>
            </w:pPr>
            <w:r w:rsidRPr="001C0CA0">
              <w:rPr>
                <w:rStyle w:val="TableHeaderColumn"/>
                <w:sz w:val="22"/>
              </w:rPr>
              <w:lastRenderedPageBreak/>
              <w:t>Cautions including any relevant action to be taken</w:t>
            </w:r>
          </w:p>
        </w:tc>
        <w:tc>
          <w:tcPr>
            <w:tcW w:w="6237" w:type="dxa"/>
          </w:tcPr>
          <w:p w14:paraId="6F939DFF" w14:textId="71ADA95F" w:rsidR="004D14FE" w:rsidRDefault="004D14FE" w:rsidP="004D14FE">
            <w:pPr>
              <w:rPr>
                <w:rFonts w:ascii="Arial" w:hAnsi="Arial" w:cs="Arial"/>
                <w:sz w:val="22"/>
                <w:szCs w:val="22"/>
              </w:rPr>
            </w:pPr>
            <w:r w:rsidRPr="004D14FE">
              <w:rPr>
                <w:rFonts w:ascii="Arial" w:hAnsi="Arial" w:cs="Arial"/>
                <w:b/>
                <w:bCs/>
                <w:sz w:val="22"/>
                <w:szCs w:val="22"/>
              </w:rPr>
              <w:t>Pregnancy:</w:t>
            </w:r>
            <w:r w:rsidRPr="004D14FE">
              <w:rPr>
                <w:rFonts w:ascii="Arial" w:hAnsi="Arial" w:cs="Arial"/>
                <w:sz w:val="22"/>
                <w:szCs w:val="22"/>
              </w:rPr>
              <w:t xml:space="preserve"> </w:t>
            </w:r>
            <w:r w:rsidR="00BC348C" w:rsidRPr="004D14FE">
              <w:rPr>
                <w:rFonts w:ascii="Arial" w:hAnsi="Arial" w:cs="Arial"/>
                <w:sz w:val="22"/>
                <w:szCs w:val="22"/>
              </w:rPr>
              <w:t xml:space="preserve">The 2g single dose should </w:t>
            </w:r>
            <w:r w:rsidR="00BC348C" w:rsidRPr="004D14FE">
              <w:rPr>
                <w:rFonts w:ascii="Arial" w:hAnsi="Arial" w:cs="Arial"/>
                <w:b/>
                <w:sz w:val="22"/>
                <w:szCs w:val="22"/>
              </w:rPr>
              <w:t>not</w:t>
            </w:r>
            <w:r w:rsidR="00BC348C" w:rsidRPr="004D14FE">
              <w:rPr>
                <w:rFonts w:ascii="Arial" w:hAnsi="Arial" w:cs="Arial"/>
                <w:sz w:val="22"/>
                <w:szCs w:val="22"/>
              </w:rPr>
              <w:t xml:space="preserve"> be given if the individual is </w:t>
            </w:r>
            <w:r w:rsidR="00BC348C" w:rsidRPr="004D14FE">
              <w:rPr>
                <w:rFonts w:ascii="Arial" w:hAnsi="Arial" w:cs="Arial"/>
                <w:bCs/>
                <w:sz w:val="22"/>
                <w:szCs w:val="22"/>
              </w:rPr>
              <w:t>pregnant -</w:t>
            </w:r>
            <w:r w:rsidR="00BC348C" w:rsidRPr="004D14FE">
              <w:rPr>
                <w:rFonts w:ascii="Arial" w:hAnsi="Arial" w:cs="Arial"/>
                <w:sz w:val="22"/>
                <w:szCs w:val="22"/>
              </w:rPr>
              <w:t xml:space="preserve"> use alternative regimen as detailed in </w:t>
            </w:r>
            <w:bookmarkStart w:id="6" w:name="dose"/>
            <w:r w:rsidR="00017CF7">
              <w:rPr>
                <w:rStyle w:val="TableHeaderColumn"/>
                <w:b w:val="0"/>
                <w:bCs w:val="0"/>
                <w:sz w:val="22"/>
              </w:rPr>
              <w:fldChar w:fldCharType="begin"/>
            </w:r>
            <w:r w:rsidR="00017CF7">
              <w:rPr>
                <w:rStyle w:val="TableHeaderColumn"/>
                <w:b w:val="0"/>
                <w:bCs w:val="0"/>
                <w:sz w:val="22"/>
              </w:rPr>
              <w:instrText>HYPERLINK  \l "DoseAndFreq"</w:instrText>
            </w:r>
            <w:r w:rsidR="00017CF7">
              <w:rPr>
                <w:rStyle w:val="TableHeaderColumn"/>
                <w:b w:val="0"/>
                <w:bCs w:val="0"/>
                <w:sz w:val="22"/>
              </w:rPr>
            </w:r>
            <w:r w:rsidR="00017CF7">
              <w:rPr>
                <w:rStyle w:val="TableHeaderColumn"/>
                <w:b w:val="0"/>
                <w:bCs w:val="0"/>
                <w:sz w:val="22"/>
              </w:rPr>
              <w:fldChar w:fldCharType="separate"/>
            </w:r>
            <w:r w:rsidR="00017CF7" w:rsidRPr="00606847">
              <w:rPr>
                <w:rStyle w:val="Hyperlink"/>
                <w:rFonts w:ascii="Arial" w:hAnsi="Arial"/>
                <w:sz w:val="22"/>
              </w:rPr>
              <w:t>Dose and frequency of administration (including duration of treatment)</w:t>
            </w:r>
            <w:r w:rsidR="00017CF7">
              <w:rPr>
                <w:rStyle w:val="TableHeaderColumn"/>
                <w:b w:val="0"/>
                <w:bCs w:val="0"/>
                <w:sz w:val="22"/>
              </w:rPr>
              <w:fldChar w:fldCharType="end"/>
            </w:r>
            <w:r w:rsidR="00017CF7">
              <w:rPr>
                <w:rStyle w:val="TableHeaderColumn"/>
                <w:sz w:val="22"/>
              </w:rPr>
              <w:t xml:space="preserve"> </w:t>
            </w:r>
            <w:bookmarkEnd w:id="6"/>
            <w:r w:rsidR="00BC348C" w:rsidRPr="004D14FE">
              <w:rPr>
                <w:rFonts w:ascii="Arial" w:hAnsi="Arial" w:cs="Arial"/>
                <w:sz w:val="22"/>
                <w:szCs w:val="22"/>
              </w:rPr>
              <w:t xml:space="preserve">section below. </w:t>
            </w:r>
          </w:p>
          <w:p w14:paraId="27EEE3E5" w14:textId="77777777" w:rsidR="00017CF7" w:rsidRPr="004D14FE" w:rsidRDefault="00017CF7" w:rsidP="004D14FE">
            <w:pPr>
              <w:rPr>
                <w:rFonts w:ascii="Arial" w:hAnsi="Arial" w:cs="Arial"/>
                <w:sz w:val="22"/>
                <w:szCs w:val="22"/>
              </w:rPr>
            </w:pPr>
          </w:p>
          <w:p w14:paraId="571072CD" w14:textId="155B1B6A" w:rsidR="00251D91" w:rsidRDefault="004D14FE" w:rsidP="004D14FE">
            <w:pPr>
              <w:rPr>
                <w:rFonts w:ascii="Arial" w:hAnsi="Arial" w:cs="Arial"/>
                <w:sz w:val="22"/>
                <w:szCs w:val="22"/>
              </w:rPr>
            </w:pPr>
            <w:r w:rsidRPr="00DB2A98">
              <w:rPr>
                <w:rFonts w:ascii="Arial" w:hAnsi="Arial" w:cs="Arial"/>
                <w:b/>
                <w:bCs/>
                <w:sz w:val="22"/>
                <w:szCs w:val="22"/>
              </w:rPr>
              <w:t xml:space="preserve">Breastfeeding: </w:t>
            </w:r>
            <w:r w:rsidRPr="00DB2A98">
              <w:rPr>
                <w:rFonts w:ascii="Arial" w:hAnsi="Arial" w:cs="Arial"/>
                <w:sz w:val="22"/>
                <w:szCs w:val="22"/>
              </w:rPr>
              <w:t>I</w:t>
            </w:r>
            <w:r w:rsidR="00BC348C" w:rsidRPr="00DB2A98">
              <w:rPr>
                <w:rFonts w:ascii="Arial" w:hAnsi="Arial" w:cs="Arial"/>
                <w:sz w:val="22"/>
                <w:szCs w:val="22"/>
              </w:rPr>
              <w:t>f used</w:t>
            </w:r>
            <w:r w:rsidR="00BC348C" w:rsidRPr="004D14FE">
              <w:rPr>
                <w:rFonts w:ascii="Arial" w:hAnsi="Arial" w:cs="Arial"/>
                <w:sz w:val="22"/>
                <w:szCs w:val="22"/>
              </w:rPr>
              <w:t xml:space="preserve"> by an individual who is </w:t>
            </w:r>
            <w:r w:rsidR="00BC348C" w:rsidRPr="00DB2A98">
              <w:rPr>
                <w:rFonts w:ascii="Arial" w:hAnsi="Arial" w:cs="Arial"/>
                <w:bCs/>
                <w:sz w:val="22"/>
                <w:szCs w:val="22"/>
              </w:rPr>
              <w:t>breast</w:t>
            </w:r>
            <w:r w:rsidRPr="00DB2A98">
              <w:rPr>
                <w:rFonts w:ascii="Arial" w:hAnsi="Arial" w:cs="Arial"/>
                <w:bCs/>
                <w:sz w:val="22"/>
                <w:szCs w:val="22"/>
              </w:rPr>
              <w:t>f</w:t>
            </w:r>
            <w:r w:rsidR="00BC348C" w:rsidRPr="00DB2A98">
              <w:rPr>
                <w:rFonts w:ascii="Arial" w:hAnsi="Arial" w:cs="Arial"/>
                <w:bCs/>
                <w:sz w:val="22"/>
                <w:szCs w:val="22"/>
              </w:rPr>
              <w:t>eeding the</w:t>
            </w:r>
            <w:r w:rsidR="00BC348C" w:rsidRPr="004D14FE">
              <w:rPr>
                <w:rFonts w:ascii="Arial" w:hAnsi="Arial" w:cs="Arial"/>
                <w:sz w:val="22"/>
                <w:szCs w:val="22"/>
              </w:rPr>
              <w:t xml:space="preserve"> single 2g dose of metronidazole is considered to be compatible with breastfeeding.</w:t>
            </w:r>
            <w:r w:rsidR="00DB0451">
              <w:rPr>
                <w:rFonts w:ascii="Arial" w:hAnsi="Arial" w:cs="Arial"/>
                <w:sz w:val="22"/>
                <w:szCs w:val="22"/>
              </w:rPr>
              <w:t xml:space="preserve"> Metronidazole can cause breast milk to have a bitter taste which may ca</w:t>
            </w:r>
            <w:r w:rsidR="00BB2671">
              <w:rPr>
                <w:rFonts w:ascii="Arial" w:hAnsi="Arial" w:cs="Arial"/>
                <w:sz w:val="22"/>
                <w:szCs w:val="22"/>
              </w:rPr>
              <w:t>u</w:t>
            </w:r>
            <w:r w:rsidR="00DB0451">
              <w:rPr>
                <w:rFonts w:ascii="Arial" w:hAnsi="Arial" w:cs="Arial"/>
                <w:sz w:val="22"/>
                <w:szCs w:val="22"/>
              </w:rPr>
              <w:t xml:space="preserve">se some difficulties with feeding. </w:t>
            </w:r>
          </w:p>
          <w:p w14:paraId="08E50BFE" w14:textId="77777777" w:rsidR="00DB2A98" w:rsidRDefault="00DB2A98" w:rsidP="004D14FE">
            <w:pPr>
              <w:rPr>
                <w:rFonts w:ascii="Arial" w:hAnsi="Arial" w:cs="Arial"/>
                <w:sz w:val="22"/>
                <w:szCs w:val="22"/>
              </w:rPr>
            </w:pPr>
          </w:p>
          <w:p w14:paraId="1A4C74BC" w14:textId="5609CE83" w:rsidR="00DB2A98" w:rsidRDefault="00DB2A98" w:rsidP="00251D91">
            <w:pPr>
              <w:pStyle w:val="TableParagraph"/>
              <w:rPr>
                <w:rFonts w:ascii="Arial" w:hAnsi="Arial" w:cs="Arial"/>
                <w:bCs/>
                <w:lang w:val="en-GB"/>
              </w:rPr>
            </w:pPr>
            <w:r>
              <w:rPr>
                <w:rFonts w:ascii="Arial" w:hAnsi="Arial" w:cs="Arial"/>
                <w:bCs/>
                <w:lang w:val="en-GB"/>
              </w:rPr>
              <w:t>****************************************************</w:t>
            </w:r>
          </w:p>
          <w:p w14:paraId="02270FB1" w14:textId="77777777" w:rsidR="00DB2A98" w:rsidRPr="004D14FE" w:rsidRDefault="00DB2A98" w:rsidP="00DB2A98">
            <w:pPr>
              <w:pStyle w:val="ListParagraph"/>
              <w:numPr>
                <w:ilvl w:val="0"/>
                <w:numId w:val="39"/>
              </w:numPr>
              <w:rPr>
                <w:rFonts w:ascii="Arial" w:hAnsi="Arial" w:cs="Arial"/>
                <w:b/>
                <w:bCs/>
                <w:color w:val="000000"/>
                <w:sz w:val="22"/>
                <w:szCs w:val="22"/>
              </w:rPr>
            </w:pPr>
            <w:r w:rsidRPr="004D14FE">
              <w:rPr>
                <w:rFonts w:ascii="Arial" w:hAnsi="Arial" w:cs="Arial"/>
                <w:color w:val="000000"/>
                <w:sz w:val="22"/>
                <w:szCs w:val="22"/>
              </w:rPr>
              <w:t>If the individual is less than 16 years of age</w:t>
            </w:r>
            <w:r w:rsidRPr="004D14FE">
              <w:rPr>
                <w:rFonts w:ascii="Arial" w:hAnsi="Arial" w:cs="Arial"/>
                <w:sz w:val="22"/>
                <w:szCs w:val="22"/>
              </w:rPr>
              <w:t xml:space="preserve"> an assessment based on Fraser guidelines must be made and documented. </w:t>
            </w:r>
          </w:p>
          <w:p w14:paraId="2F91A00A" w14:textId="296006B7" w:rsidR="00DB2A98" w:rsidRPr="00DB2A98" w:rsidRDefault="00DB2A98" w:rsidP="00DB2A98">
            <w:pPr>
              <w:pStyle w:val="ListParagraph"/>
              <w:numPr>
                <w:ilvl w:val="0"/>
                <w:numId w:val="39"/>
              </w:numPr>
              <w:rPr>
                <w:rFonts w:ascii="Arial" w:hAnsi="Arial" w:cs="Arial"/>
                <w:b/>
                <w:bCs/>
                <w:color w:val="000000"/>
                <w:sz w:val="22"/>
                <w:szCs w:val="22"/>
              </w:rPr>
            </w:pPr>
            <w:r w:rsidRPr="004D14FE">
              <w:rPr>
                <w:rFonts w:ascii="Arial" w:hAnsi="Arial" w:cs="Arial"/>
                <w:sz w:val="22"/>
                <w:szCs w:val="22"/>
              </w:rPr>
              <w:t xml:space="preserve">If the presenting individual is under 13 years of age the </w:t>
            </w:r>
            <w:r w:rsidR="00B73336">
              <w:rPr>
                <w:rFonts w:ascii="Arial" w:hAnsi="Arial" w:cs="Arial"/>
                <w:sz w:val="22"/>
                <w:szCs w:val="22"/>
              </w:rPr>
              <w:t>PGD user</w:t>
            </w:r>
            <w:r w:rsidRPr="004D14FE">
              <w:rPr>
                <w:rFonts w:ascii="Arial" w:hAnsi="Arial" w:cs="Arial"/>
                <w:sz w:val="22"/>
                <w:szCs w:val="22"/>
              </w:rPr>
              <w:t xml:space="preserve"> should speak to local safeguarding lead and follow the local safeguarding policy (note under 13 years of age excluded from treatment under this PGD).</w:t>
            </w:r>
          </w:p>
          <w:p w14:paraId="65A284E0" w14:textId="26D07877" w:rsidR="00DB2A98" w:rsidRPr="004D14FE" w:rsidRDefault="00DB2A98" w:rsidP="00DB2A98">
            <w:pPr>
              <w:pStyle w:val="ListParagraph"/>
              <w:numPr>
                <w:ilvl w:val="0"/>
                <w:numId w:val="39"/>
              </w:numPr>
              <w:rPr>
                <w:rFonts w:ascii="Arial" w:hAnsi="Arial" w:cs="Arial"/>
                <w:b/>
                <w:bCs/>
                <w:color w:val="000000"/>
                <w:sz w:val="22"/>
                <w:szCs w:val="22"/>
              </w:rPr>
            </w:pPr>
            <w:r w:rsidRPr="00C010CE">
              <w:rPr>
                <w:rFonts w:ascii="Arial" w:hAnsi="Arial" w:cs="Arial"/>
                <w:sz w:val="22"/>
                <w:szCs w:val="22"/>
              </w:rPr>
              <w:t>Discuss with appropriate medical/independent non-medical prescriber any medical condition or medication of which the healthcare professional is unsure or uncertain.</w:t>
            </w:r>
          </w:p>
          <w:p w14:paraId="7EFA22C0" w14:textId="0EE24A63" w:rsidR="00251D91" w:rsidRPr="00251D91" w:rsidRDefault="00126751" w:rsidP="00251D91">
            <w:pPr>
              <w:pStyle w:val="TableParagraph"/>
              <w:rPr>
                <w:rFonts w:ascii="Arial" w:hAnsi="Arial" w:cs="Arial"/>
                <w:bCs/>
                <w:lang w:val="en-GB"/>
              </w:rPr>
            </w:pPr>
            <w:r>
              <w:rPr>
                <w:rFonts w:ascii="Arial" w:hAnsi="Arial" w:cs="Arial"/>
                <w:bCs/>
                <w:lang w:val="en-GB"/>
              </w:rPr>
              <w:t>****************************************************</w:t>
            </w:r>
          </w:p>
          <w:p w14:paraId="5141448D" w14:textId="77777777" w:rsidR="00264121" w:rsidRPr="00264121" w:rsidRDefault="00264121" w:rsidP="00264121">
            <w:pPr>
              <w:pStyle w:val="Tabletext"/>
              <w:rPr>
                <w:lang w:val="en-GB"/>
              </w:rPr>
            </w:pPr>
            <w:r w:rsidRPr="00264121">
              <w:rPr>
                <w:lang w:val="en-GB"/>
              </w:rPr>
              <w:t xml:space="preserve">Caution should be exercised when supplying metronidazole to individuals taking the following medicine(s):  </w:t>
            </w:r>
          </w:p>
          <w:p w14:paraId="02D4F02A" w14:textId="77777777" w:rsidR="000C596E" w:rsidRPr="000C596E" w:rsidRDefault="000C596E" w:rsidP="000C596E">
            <w:pPr>
              <w:pStyle w:val="Tabletext"/>
              <w:rPr>
                <w:lang w:val="en-GB"/>
              </w:rPr>
            </w:pPr>
          </w:p>
          <w:p w14:paraId="7847DE03" w14:textId="2DA578FC" w:rsidR="000C596E" w:rsidRPr="000C596E" w:rsidRDefault="000C596E" w:rsidP="000C596E">
            <w:pPr>
              <w:pStyle w:val="Tabletext"/>
              <w:rPr>
                <w:lang w:val="en-GB"/>
              </w:rPr>
            </w:pPr>
            <w:r w:rsidRPr="000C596E">
              <w:rPr>
                <w:b/>
                <w:bCs/>
                <w:lang w:val="en-GB"/>
              </w:rPr>
              <w:t xml:space="preserve">Coumarin anticoagulants (e.g. warfarin, </w:t>
            </w:r>
            <w:r w:rsidRPr="000C596E">
              <w:rPr>
                <w:b/>
                <w:lang w:val="en-GB"/>
              </w:rPr>
              <w:t>acenocoumarol, phenindione</w:t>
            </w:r>
            <w:r w:rsidRPr="000C596E">
              <w:rPr>
                <w:b/>
                <w:bCs/>
                <w:lang w:val="en-GB"/>
              </w:rPr>
              <w:t>):</w:t>
            </w:r>
            <w:r w:rsidR="00F93D8D" w:rsidRPr="00F93D8D">
              <w:rPr>
                <w:lang w:val="en-GB"/>
              </w:rPr>
              <w:t xml:space="preserve"> rises in INR reported. Individuals should be advised to have their INR monitored while on treatment with </w:t>
            </w:r>
            <w:r w:rsidR="00F93D8D" w:rsidRPr="00F93D8D">
              <w:rPr>
                <w:lang w:val="en-GB"/>
              </w:rPr>
              <w:lastRenderedPageBreak/>
              <w:t xml:space="preserve">metronidazole and should be counselled re: seeking medical attention if any episode of bleeding develops while taking. </w:t>
            </w:r>
            <w:r w:rsidRPr="000C596E">
              <w:rPr>
                <w:iCs/>
                <w:lang w:val="en-GB"/>
              </w:rPr>
              <w:t>*****************************************************</w:t>
            </w:r>
          </w:p>
          <w:p w14:paraId="6FE159DF" w14:textId="77777777" w:rsidR="001C241E" w:rsidRDefault="001C241E" w:rsidP="00453867">
            <w:pPr>
              <w:pStyle w:val="Tabletext"/>
              <w:rPr>
                <w:lang w:val="en-GB"/>
              </w:rPr>
            </w:pPr>
          </w:p>
          <w:p w14:paraId="1FBF2D2B" w14:textId="77777777" w:rsidR="00264121" w:rsidRPr="00264121" w:rsidRDefault="00264121" w:rsidP="00264121">
            <w:pPr>
              <w:pStyle w:val="Tabletext"/>
            </w:pPr>
            <w:r w:rsidRPr="00264121">
              <w:t>Caution should be exercised when supplying metronidazole tablets or oral suspension to individuals who should avoid the following excipients:</w:t>
            </w:r>
          </w:p>
          <w:p w14:paraId="1AF24E35" w14:textId="77777777" w:rsidR="000C596E" w:rsidRPr="000C596E" w:rsidRDefault="000C596E" w:rsidP="000C596E">
            <w:pPr>
              <w:pStyle w:val="Tabletext"/>
            </w:pPr>
          </w:p>
          <w:p w14:paraId="7C3B7284" w14:textId="77777777" w:rsidR="001C241E" w:rsidRPr="000C596E" w:rsidRDefault="00251D91" w:rsidP="000C596E">
            <w:pPr>
              <w:pStyle w:val="Tabletext"/>
              <w:rPr>
                <w:b/>
                <w:bCs/>
              </w:rPr>
            </w:pPr>
            <w:r w:rsidRPr="000C596E">
              <w:rPr>
                <w:b/>
                <w:bCs/>
              </w:rPr>
              <w:t>Lactose, sucrose, fructose and sorbitol:</w:t>
            </w:r>
          </w:p>
          <w:p w14:paraId="43FDE53C" w14:textId="77777777" w:rsidR="000C596E" w:rsidRDefault="000C596E" w:rsidP="000C596E">
            <w:pPr>
              <w:pStyle w:val="Tabletext"/>
            </w:pPr>
          </w:p>
          <w:p w14:paraId="01321501" w14:textId="671892FF" w:rsidR="00F05D5F" w:rsidRDefault="00251D91" w:rsidP="000C596E">
            <w:pPr>
              <w:pStyle w:val="Tabletext"/>
            </w:pPr>
            <w:r w:rsidRPr="00251D91">
              <w:t>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w:t>
            </w:r>
            <w:r w:rsidR="00F05D5F">
              <w:t xml:space="preserve"> detailed in</w:t>
            </w:r>
            <w:r w:rsidR="0076208D">
              <w:t xml:space="preserve"> the</w:t>
            </w:r>
            <w:r w:rsidR="00F05D5F" w:rsidRPr="004D14FE">
              <w:rPr>
                <w:lang w:eastAsia="en-GB"/>
              </w:rPr>
              <w:t xml:space="preserve"> </w:t>
            </w:r>
            <w:hyperlink r:id="rId23" w:history="1">
              <w:r w:rsidR="0076208D" w:rsidRPr="004D14FE">
                <w:rPr>
                  <w:rStyle w:val="Hyperlink"/>
                  <w:lang w:val="en-GB"/>
                </w:rPr>
                <w:t>Summary of Product Characteristics (SmPC) which can be accessed on the EMC website</w:t>
              </w:r>
            </w:hyperlink>
            <w:r w:rsidR="00F05D5F">
              <w:t xml:space="preserve"> </w:t>
            </w:r>
            <w:r w:rsidR="001C241E">
              <w:t>before supplying.</w:t>
            </w:r>
          </w:p>
          <w:p w14:paraId="6E3AF56D" w14:textId="77777777" w:rsidR="000C596E" w:rsidRPr="00CE73FB" w:rsidRDefault="000C596E" w:rsidP="000C596E">
            <w:pPr>
              <w:pStyle w:val="Tabletext"/>
              <w:rPr>
                <w:rFonts w:cs="Arial"/>
              </w:rPr>
            </w:pPr>
          </w:p>
          <w:p w14:paraId="2E6B5669" w14:textId="77777777" w:rsidR="001C241E" w:rsidRPr="000C596E" w:rsidRDefault="00251D91" w:rsidP="000C596E">
            <w:pPr>
              <w:pStyle w:val="Tabletext"/>
              <w:rPr>
                <w:b/>
                <w:bCs/>
              </w:rPr>
            </w:pPr>
            <w:r w:rsidRPr="000C596E">
              <w:rPr>
                <w:b/>
                <w:bCs/>
              </w:rPr>
              <w:t>Aspartame:</w:t>
            </w:r>
          </w:p>
          <w:p w14:paraId="64FEDD91" w14:textId="684E173C" w:rsidR="00BC348C" w:rsidRPr="00DB2A98" w:rsidRDefault="00251D91" w:rsidP="00DB2A98">
            <w:pPr>
              <w:pStyle w:val="Tabletext"/>
            </w:pPr>
            <w:r w:rsidRPr="008861EC">
              <w:t xml:space="preserve">Individuals with </w:t>
            </w:r>
            <w:hyperlink r:id="rId24" w:history="1">
              <w:r w:rsidR="004F4373" w:rsidRPr="004F4373">
                <w:rPr>
                  <w:rStyle w:val="Hyperlink"/>
                </w:rPr>
                <w:t>phenylketonuria (PKU) as described in the NHS England guidance</w:t>
              </w:r>
            </w:hyperlink>
            <w:r w:rsidR="004F4373">
              <w:t xml:space="preserve"> </w:t>
            </w:r>
            <w:r w:rsidRPr="008861EC">
              <w:t>must not use medicines containing aspartame. Check the individual list of excipients</w:t>
            </w:r>
            <w:r w:rsidR="001C241E">
              <w:t xml:space="preserve"> detailed in</w:t>
            </w:r>
            <w:r w:rsidR="0076208D">
              <w:t xml:space="preserve"> the</w:t>
            </w:r>
            <w:r w:rsidR="004F4373">
              <w:t xml:space="preserve"> </w:t>
            </w:r>
            <w:hyperlink r:id="rId25" w:history="1">
              <w:r w:rsidR="005D24C6" w:rsidRPr="004D14FE">
                <w:rPr>
                  <w:rStyle w:val="Hyperlink"/>
                  <w:lang w:val="en-GB"/>
                </w:rPr>
                <w:t>Summary of Product Characteristics (SmPC) which can be accessed on the EMC website</w:t>
              </w:r>
            </w:hyperlink>
            <w:r w:rsidR="005D24C6">
              <w:t xml:space="preserve"> before supplying.</w:t>
            </w:r>
          </w:p>
        </w:tc>
      </w:tr>
      <w:tr w:rsidR="00251D91" w14:paraId="6142EA67" w14:textId="77777777" w:rsidTr="00F31B89">
        <w:tc>
          <w:tcPr>
            <w:tcW w:w="2689" w:type="dxa"/>
          </w:tcPr>
          <w:p w14:paraId="751752A4" w14:textId="541B7266" w:rsidR="00251D91" w:rsidRPr="005A6168" w:rsidRDefault="00251D91" w:rsidP="00251D91">
            <w:pPr>
              <w:rPr>
                <w:rStyle w:val="TableHeaderColumn"/>
              </w:rPr>
            </w:pPr>
            <w:r w:rsidRPr="001C0CA0">
              <w:rPr>
                <w:rStyle w:val="TableHeaderColumn"/>
                <w:sz w:val="22"/>
              </w:rPr>
              <w:lastRenderedPageBreak/>
              <w:t xml:space="preserve">Action to be taken if the individual is excluded </w:t>
            </w:r>
            <w:r w:rsidR="00DB2A98">
              <w:rPr>
                <w:rStyle w:val="TableHeaderColumn"/>
                <w:sz w:val="22"/>
              </w:rPr>
              <w:t xml:space="preserve">or declines treatment </w:t>
            </w:r>
          </w:p>
        </w:tc>
        <w:tc>
          <w:tcPr>
            <w:tcW w:w="6237" w:type="dxa"/>
          </w:tcPr>
          <w:p w14:paraId="48BA7CB5" w14:textId="66A58899" w:rsidR="00F85669" w:rsidRDefault="00F85669" w:rsidP="00F85669">
            <w:pPr>
              <w:pStyle w:val="Bulletindent1"/>
            </w:pPr>
            <w:r>
              <w:t>If the individual is excluded from treatment, r</w:t>
            </w:r>
            <w:r w:rsidRPr="00270F1D">
              <w:t xml:space="preserve">ecord </w:t>
            </w:r>
            <w:r w:rsidRPr="004D22EE">
              <w:t xml:space="preserve">reasons for exclusion in </w:t>
            </w:r>
            <w:r>
              <w:t xml:space="preserve">the appropriate clinical </w:t>
            </w:r>
            <w:r w:rsidRPr="00E4157B">
              <w:t>record</w:t>
            </w:r>
            <w:r>
              <w:t>.</w:t>
            </w:r>
            <w:r w:rsidRPr="00E4157B">
              <w:t xml:space="preserve"> </w:t>
            </w:r>
          </w:p>
          <w:p w14:paraId="211633AD" w14:textId="40A0E172" w:rsidR="00F85669" w:rsidRPr="00F85669" w:rsidRDefault="00F85669" w:rsidP="00F85669">
            <w:pPr>
              <w:pStyle w:val="Bulletindent1"/>
            </w:pPr>
            <w:r>
              <w:t>If the individual declines treatment, e</w:t>
            </w:r>
            <w:r w:rsidRPr="00E40DEA">
              <w:t xml:space="preserve">nsure </w:t>
            </w:r>
            <w:r>
              <w:t>they are</w:t>
            </w:r>
            <w:r w:rsidRPr="00E40DEA">
              <w:t xml:space="preserve"> aware of the need for treatment and the potential consequences of not receiving treatment.</w:t>
            </w:r>
          </w:p>
          <w:p w14:paraId="057C5891" w14:textId="0F3719A1" w:rsidR="00F85669" w:rsidRDefault="00F85669" w:rsidP="00F85669">
            <w:pPr>
              <w:pStyle w:val="Bulletindent1"/>
            </w:pPr>
            <w:r w:rsidRPr="002B361B">
              <w:t>Record reason for declin</w:t>
            </w:r>
            <w:r>
              <w:t>ing</w:t>
            </w:r>
            <w:r w:rsidRPr="002B361B">
              <w:t xml:space="preserve"> in the consultation record.</w:t>
            </w:r>
          </w:p>
          <w:p w14:paraId="1ACA62F4" w14:textId="48BE0872" w:rsidR="00F85669" w:rsidRPr="00E40DEA" w:rsidRDefault="00F85669" w:rsidP="00F85669">
            <w:pPr>
              <w:pStyle w:val="Bulletindent1"/>
            </w:pPr>
            <w:r w:rsidRPr="00E40DEA">
              <w:t>Where required</w:t>
            </w:r>
            <w:r>
              <w:t>,</w:t>
            </w:r>
            <w:r w:rsidRPr="00E40DEA">
              <w:t xml:space="preserve"> refer the individual to a suitable health service provider if appropriate and/or provide them with information about further options.</w:t>
            </w:r>
            <w:r w:rsidRPr="00251D91">
              <w:t xml:space="preserve"> </w:t>
            </w:r>
          </w:p>
        </w:tc>
      </w:tr>
      <w:tr w:rsidR="00251D91" w14:paraId="5F7EA723" w14:textId="77777777" w:rsidTr="00F31B89">
        <w:tc>
          <w:tcPr>
            <w:tcW w:w="2689" w:type="dxa"/>
          </w:tcPr>
          <w:p w14:paraId="43300DCD" w14:textId="6DD7E2D4" w:rsidR="00251D91" w:rsidRPr="001C0CA0" w:rsidRDefault="00251D91" w:rsidP="00251D91">
            <w:pPr>
              <w:rPr>
                <w:rStyle w:val="TableHeaderColumn"/>
                <w:sz w:val="22"/>
              </w:rPr>
            </w:pPr>
            <w:r w:rsidRPr="001C0CA0">
              <w:rPr>
                <w:rStyle w:val="TableHeaderColumn"/>
                <w:sz w:val="22"/>
              </w:rPr>
              <w:t>Arrangements for referral for medical advice</w:t>
            </w:r>
          </w:p>
        </w:tc>
        <w:tc>
          <w:tcPr>
            <w:tcW w:w="6237" w:type="dxa"/>
          </w:tcPr>
          <w:p w14:paraId="258E4F23" w14:textId="34DD0BDC" w:rsidR="00251D91" w:rsidRPr="00270F1D" w:rsidRDefault="008B7763" w:rsidP="00A95DEB">
            <w:pPr>
              <w:pStyle w:val="Tabletext"/>
              <w:rPr>
                <w:rFonts w:cs="Arial"/>
                <w:lang w:val="en-GB"/>
              </w:rPr>
            </w:pPr>
            <w:r w:rsidRPr="008B7763">
              <w:t>Refer to the appropriate medical practitioner in the care pathway</w:t>
            </w:r>
            <w:r w:rsidR="00251D91" w:rsidRPr="00A95DEB">
              <w:t>.</w:t>
            </w:r>
          </w:p>
        </w:tc>
      </w:tr>
    </w:tbl>
    <w:p w14:paraId="33A25EBD" w14:textId="75A4AEE9" w:rsidR="00BB2599" w:rsidRPr="002B1B6E" w:rsidRDefault="00BB2599" w:rsidP="005A6168">
      <w:pPr>
        <w:pStyle w:val="PGDNormal"/>
        <w:rPr>
          <w:b/>
          <w:bCs/>
          <w:sz w:val="28"/>
          <w:szCs w:val="28"/>
        </w:rPr>
      </w:pPr>
    </w:p>
    <w:p w14:paraId="035E86F2" w14:textId="7CE0D48E" w:rsidR="007A1448" w:rsidRPr="002B1B6E" w:rsidRDefault="00C25DE0" w:rsidP="00025EBC">
      <w:pPr>
        <w:pStyle w:val="Tabletext"/>
        <w:rPr>
          <w:b/>
          <w:bCs/>
          <w:sz w:val="28"/>
          <w:szCs w:val="28"/>
        </w:rPr>
      </w:pPr>
      <w:r w:rsidRPr="002B1B6E">
        <w:rPr>
          <w:b/>
          <w:bCs/>
          <w:sz w:val="28"/>
          <w:szCs w:val="28"/>
        </w:rPr>
        <w:lastRenderedPageBreak/>
        <w:t>D</w:t>
      </w:r>
      <w:r w:rsidR="007A1448" w:rsidRPr="002B1B6E">
        <w:rPr>
          <w:b/>
          <w:bCs/>
          <w:sz w:val="28"/>
          <w:szCs w:val="28"/>
        </w:rPr>
        <w:t>e</w:t>
      </w:r>
      <w:r w:rsidR="003E69CD" w:rsidRPr="002B1B6E">
        <w:rPr>
          <w:b/>
          <w:bCs/>
          <w:sz w:val="28"/>
          <w:szCs w:val="28"/>
        </w:rPr>
        <w:t>scription of treatment</w:t>
      </w:r>
    </w:p>
    <w:tbl>
      <w:tblPr>
        <w:tblStyle w:val="TableGrid"/>
        <w:tblW w:w="8926" w:type="dxa"/>
        <w:tblLayout w:type="fixed"/>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2689"/>
        <w:gridCol w:w="6237"/>
      </w:tblGrid>
      <w:tr w:rsidR="00165DD9" w14:paraId="2B351AEC" w14:textId="77777777" w:rsidTr="00B63F21">
        <w:tc>
          <w:tcPr>
            <w:tcW w:w="2689" w:type="dxa"/>
          </w:tcPr>
          <w:p w14:paraId="6EB1838B" w14:textId="05D2D765" w:rsidR="00165DD9" w:rsidRPr="001C0CA0" w:rsidRDefault="00165DD9" w:rsidP="005A6168">
            <w:pPr>
              <w:rPr>
                <w:rStyle w:val="TableHeaderColumn"/>
                <w:sz w:val="22"/>
              </w:rPr>
            </w:pPr>
            <w:r w:rsidRPr="001C0CA0">
              <w:rPr>
                <w:rStyle w:val="TableHeaderColumn"/>
                <w:sz w:val="22"/>
              </w:rPr>
              <w:t xml:space="preserve">Name, form and strength of </w:t>
            </w:r>
            <w:r w:rsidR="008B7763">
              <w:rPr>
                <w:rStyle w:val="TableHeaderColumn"/>
                <w:sz w:val="22"/>
              </w:rPr>
              <w:t>medicine</w:t>
            </w:r>
          </w:p>
        </w:tc>
        <w:tc>
          <w:tcPr>
            <w:tcW w:w="6237" w:type="dxa"/>
          </w:tcPr>
          <w:p w14:paraId="3021DA78" w14:textId="2A7A515A" w:rsidR="00264121" w:rsidRPr="00BC348C" w:rsidRDefault="00DB0451" w:rsidP="00AF354B">
            <w:pPr>
              <w:pStyle w:val="Tabletext"/>
              <w:spacing w:before="115" w:after="115"/>
              <w:rPr>
                <w:highlight w:val="cyan"/>
                <w:lang w:val="en-GB"/>
              </w:rPr>
            </w:pPr>
            <w:r>
              <w:rPr>
                <w:highlight w:val="cyan"/>
                <w:lang w:val="en-GB"/>
              </w:rPr>
              <w:t>[</w:t>
            </w:r>
            <w:r w:rsidR="00264121" w:rsidRPr="00BC348C">
              <w:rPr>
                <w:highlight w:val="cyan"/>
                <w:lang w:val="en-GB"/>
              </w:rPr>
              <w:t>Metronidazole 200mg tablets</w:t>
            </w:r>
          </w:p>
          <w:p w14:paraId="1DC6FE72" w14:textId="77777777" w:rsidR="00264121" w:rsidRPr="00017CF7" w:rsidRDefault="00264121" w:rsidP="00AF354B">
            <w:pPr>
              <w:pStyle w:val="Tabletext"/>
              <w:spacing w:before="115" w:after="115"/>
              <w:rPr>
                <w:highlight w:val="cyan"/>
                <w:lang w:val="en-GB"/>
              </w:rPr>
            </w:pPr>
            <w:r w:rsidRPr="00BC348C">
              <w:rPr>
                <w:highlight w:val="cyan"/>
                <w:lang w:val="en-GB"/>
              </w:rPr>
              <w:t>Metronidazole 400mg tablets</w:t>
            </w:r>
          </w:p>
          <w:p w14:paraId="5BD82CA6" w14:textId="3F558ECC" w:rsidR="00BC348C" w:rsidRPr="00BC348C" w:rsidRDefault="00BC348C" w:rsidP="00AF354B">
            <w:pPr>
              <w:pStyle w:val="Tabletext"/>
              <w:spacing w:before="115" w:after="115"/>
              <w:rPr>
                <w:highlight w:val="cyan"/>
                <w:lang w:val="en-GB"/>
              </w:rPr>
            </w:pPr>
            <w:r w:rsidRPr="00017CF7">
              <w:rPr>
                <w:highlight w:val="cyan"/>
                <w:lang w:val="en-GB"/>
              </w:rPr>
              <w:t>Metronidazole 500mg tablets (</w:t>
            </w:r>
            <w:r w:rsidRPr="00017CF7">
              <w:rPr>
                <w:rFonts w:cs="Arial"/>
                <w:highlight w:val="cyan"/>
              </w:rPr>
              <w:t xml:space="preserve">see </w:t>
            </w:r>
            <w:hyperlink w:anchor="dose" w:history="1">
              <w:r w:rsidR="00017CF7" w:rsidRPr="00606847">
                <w:rPr>
                  <w:rStyle w:val="Hyperlink"/>
                  <w:highlight w:val="cyan"/>
                </w:rPr>
                <w:t>Dose and frequency of administration (including duration of treatment)</w:t>
              </w:r>
            </w:hyperlink>
            <w:r w:rsidR="00017CF7" w:rsidRPr="00017CF7">
              <w:rPr>
                <w:rFonts w:cs="Arial"/>
                <w:highlight w:val="cyan"/>
              </w:rPr>
              <w:t xml:space="preserve"> section </w:t>
            </w:r>
            <w:r w:rsidRPr="00BC348C">
              <w:rPr>
                <w:rFonts w:cs="Arial"/>
                <w:highlight w:val="cyan"/>
              </w:rPr>
              <w:t>for further information)</w:t>
            </w:r>
          </w:p>
          <w:p w14:paraId="2B104BB5" w14:textId="56330048" w:rsidR="00165DD9" w:rsidRDefault="00264121" w:rsidP="00AF354B">
            <w:pPr>
              <w:pStyle w:val="Tabletext"/>
              <w:spacing w:before="115" w:after="115"/>
            </w:pPr>
            <w:r w:rsidRPr="00BC348C">
              <w:rPr>
                <w:highlight w:val="cyan"/>
                <w:lang w:val="en-GB"/>
              </w:rPr>
              <w:t>Metronidazole 200mg/5mL oral suspension</w:t>
            </w:r>
            <w:r w:rsidR="00DB0451">
              <w:rPr>
                <w:lang w:val="en-GB"/>
              </w:rPr>
              <w:t>]</w:t>
            </w:r>
          </w:p>
        </w:tc>
      </w:tr>
      <w:tr w:rsidR="00165DD9" w14:paraId="6DAA0645" w14:textId="77777777" w:rsidTr="00B63F21">
        <w:tc>
          <w:tcPr>
            <w:tcW w:w="2689" w:type="dxa"/>
          </w:tcPr>
          <w:p w14:paraId="2F56A41B" w14:textId="05091A78" w:rsidR="00165DD9" w:rsidRPr="001C0CA0" w:rsidRDefault="00165DD9" w:rsidP="005A6168">
            <w:pPr>
              <w:rPr>
                <w:rStyle w:val="TableHeaderColumn"/>
                <w:sz w:val="22"/>
              </w:rPr>
            </w:pPr>
            <w:r w:rsidRPr="001C0CA0">
              <w:rPr>
                <w:rStyle w:val="TableHeaderColumn"/>
                <w:sz w:val="22"/>
              </w:rPr>
              <w:t>Legal category</w:t>
            </w:r>
          </w:p>
        </w:tc>
        <w:tc>
          <w:tcPr>
            <w:tcW w:w="6237" w:type="dxa"/>
          </w:tcPr>
          <w:p w14:paraId="29E26784" w14:textId="49492B56" w:rsidR="00165DD9" w:rsidRDefault="00165DD9" w:rsidP="009B62D2">
            <w:pPr>
              <w:pStyle w:val="Tabletext"/>
            </w:pPr>
            <w:r w:rsidRPr="008676A6">
              <w:t>POM</w:t>
            </w:r>
          </w:p>
        </w:tc>
      </w:tr>
      <w:tr w:rsidR="00165DD9" w14:paraId="44E2B1CC" w14:textId="77777777" w:rsidTr="00B63F21">
        <w:tc>
          <w:tcPr>
            <w:tcW w:w="2689" w:type="dxa"/>
          </w:tcPr>
          <w:p w14:paraId="2EBF84AC" w14:textId="42DE253B" w:rsidR="00165DD9" w:rsidRPr="001C0CA0" w:rsidRDefault="00165DD9" w:rsidP="005A6168">
            <w:pPr>
              <w:rPr>
                <w:rStyle w:val="TableHeaderColumn"/>
                <w:sz w:val="22"/>
              </w:rPr>
            </w:pPr>
            <w:r w:rsidRPr="001C0CA0">
              <w:rPr>
                <w:rStyle w:val="TableHeaderColumn"/>
                <w:sz w:val="22"/>
              </w:rPr>
              <w:t>Route</w:t>
            </w:r>
            <w:r w:rsidR="009604EE" w:rsidRPr="001C0CA0">
              <w:rPr>
                <w:rStyle w:val="TableHeaderColumn"/>
                <w:sz w:val="22"/>
              </w:rPr>
              <w:t xml:space="preserve"> </w:t>
            </w:r>
            <w:r w:rsidRPr="001C0CA0">
              <w:rPr>
                <w:rStyle w:val="TableHeaderColumn"/>
                <w:sz w:val="22"/>
              </w:rPr>
              <w:t>of administration</w:t>
            </w:r>
          </w:p>
        </w:tc>
        <w:tc>
          <w:tcPr>
            <w:tcW w:w="6237" w:type="dxa"/>
          </w:tcPr>
          <w:p w14:paraId="2D9F74BE" w14:textId="77777777" w:rsidR="00757C02" w:rsidRDefault="00264121" w:rsidP="00757C02">
            <w:pPr>
              <w:pStyle w:val="Tabletext"/>
              <w:rPr>
                <w:iCs/>
                <w:lang w:val="en-GB"/>
              </w:rPr>
            </w:pPr>
            <w:r>
              <w:rPr>
                <w:iCs/>
                <w:lang w:val="en-GB"/>
              </w:rPr>
              <w:t>Oral</w:t>
            </w:r>
          </w:p>
          <w:p w14:paraId="697DF65B" w14:textId="77777777" w:rsidR="00F85669" w:rsidRDefault="00F85669" w:rsidP="00757C02">
            <w:pPr>
              <w:pStyle w:val="Tabletext"/>
              <w:rPr>
                <w:iCs/>
                <w:lang w:val="en-GB"/>
              </w:rPr>
            </w:pPr>
          </w:p>
          <w:p w14:paraId="04517ADA" w14:textId="199E6280" w:rsidR="00F85669" w:rsidRPr="00F85669" w:rsidRDefault="00F85669" w:rsidP="00F85669">
            <w:pPr>
              <w:pStyle w:val="Tabletext"/>
              <w:rPr>
                <w:iCs/>
                <w:lang w:val="en-GB"/>
              </w:rPr>
            </w:pPr>
            <w:r>
              <w:rPr>
                <w:iCs/>
                <w:lang w:val="en-GB"/>
              </w:rPr>
              <w:t>The tablets should be swallowed wh</w:t>
            </w:r>
            <w:r w:rsidR="00017CF7">
              <w:rPr>
                <w:iCs/>
                <w:lang w:val="en-GB"/>
              </w:rPr>
              <w:t>ol</w:t>
            </w:r>
            <w:r>
              <w:rPr>
                <w:iCs/>
                <w:lang w:val="en-GB"/>
              </w:rPr>
              <w:t xml:space="preserve">e with plenty of water with or after food. </w:t>
            </w:r>
          </w:p>
        </w:tc>
      </w:tr>
      <w:tr w:rsidR="003E69CD" w14:paraId="264CA183" w14:textId="77777777" w:rsidTr="00B63F21">
        <w:tc>
          <w:tcPr>
            <w:tcW w:w="2689" w:type="dxa"/>
          </w:tcPr>
          <w:p w14:paraId="011DED45" w14:textId="24D56F46" w:rsidR="003E69CD" w:rsidRPr="001C0CA0" w:rsidRDefault="003E69CD" w:rsidP="005A6168">
            <w:pPr>
              <w:rPr>
                <w:rStyle w:val="TableHeaderColumn"/>
                <w:sz w:val="22"/>
              </w:rPr>
            </w:pPr>
            <w:r w:rsidRPr="001C0CA0">
              <w:rPr>
                <w:rStyle w:val="TableHeaderColumn"/>
                <w:sz w:val="22"/>
              </w:rPr>
              <w:t>Off</w:t>
            </w:r>
            <w:r w:rsidR="00BC348C">
              <w:rPr>
                <w:rStyle w:val="TableHeaderColumn"/>
                <w:sz w:val="22"/>
              </w:rPr>
              <w:t>-</w:t>
            </w:r>
            <w:r w:rsidRPr="001C0CA0">
              <w:rPr>
                <w:rStyle w:val="TableHeaderColumn"/>
                <w:sz w:val="22"/>
              </w:rPr>
              <w:t>label use</w:t>
            </w:r>
          </w:p>
        </w:tc>
        <w:tc>
          <w:tcPr>
            <w:tcW w:w="6237" w:type="dxa"/>
          </w:tcPr>
          <w:p w14:paraId="355103DF" w14:textId="399DFF8B" w:rsidR="00BC348C" w:rsidRPr="005D24C6" w:rsidRDefault="00BC348C" w:rsidP="00BC348C">
            <w:pPr>
              <w:overflowPunct w:val="0"/>
              <w:autoSpaceDE w:val="0"/>
              <w:autoSpaceDN w:val="0"/>
              <w:adjustRightInd w:val="0"/>
              <w:textAlignment w:val="baseline"/>
              <w:rPr>
                <w:rFonts w:ascii="Arial" w:hAnsi="Arial" w:cs="Arial"/>
                <w:sz w:val="22"/>
                <w:szCs w:val="22"/>
              </w:rPr>
            </w:pPr>
            <w:r w:rsidRPr="005D24C6">
              <w:rPr>
                <w:rFonts w:ascii="Arial" w:hAnsi="Arial" w:cs="Arial"/>
                <w:sz w:val="22"/>
                <w:szCs w:val="22"/>
              </w:rPr>
              <w:t xml:space="preserve">Best practice advice is given by BASHH and is used as the reference guidance in this PGD and may vary from the </w:t>
            </w:r>
            <w:hyperlink r:id="rId26" w:history="1">
              <w:r w:rsidR="005D24C6" w:rsidRPr="005D24C6">
                <w:rPr>
                  <w:rStyle w:val="Hyperlink"/>
                  <w:rFonts w:ascii="Arial" w:hAnsi="Arial" w:cs="Arial"/>
                  <w:sz w:val="22"/>
                  <w:szCs w:val="22"/>
                </w:rPr>
                <w:t>Summary of Product Characteristics (SmPC) which can be accessed on the EMC website</w:t>
              </w:r>
            </w:hyperlink>
            <w:r w:rsidR="005D24C6" w:rsidRPr="005D24C6">
              <w:rPr>
                <w:rFonts w:ascii="Arial" w:hAnsi="Arial" w:cs="Arial"/>
                <w:sz w:val="22"/>
                <w:szCs w:val="22"/>
              </w:rPr>
              <w:t>.</w:t>
            </w:r>
          </w:p>
          <w:p w14:paraId="000E4D05" w14:textId="77777777" w:rsidR="00BC348C" w:rsidRPr="005D24C6" w:rsidRDefault="00BC348C" w:rsidP="00BC348C">
            <w:pPr>
              <w:overflowPunct w:val="0"/>
              <w:autoSpaceDE w:val="0"/>
              <w:autoSpaceDN w:val="0"/>
              <w:adjustRightInd w:val="0"/>
              <w:textAlignment w:val="baseline"/>
              <w:rPr>
                <w:rFonts w:ascii="Arial" w:hAnsi="Arial" w:cs="Arial"/>
                <w:sz w:val="22"/>
                <w:szCs w:val="22"/>
              </w:rPr>
            </w:pPr>
          </w:p>
          <w:p w14:paraId="3FE42B56" w14:textId="50A6EA6E" w:rsidR="00BC348C" w:rsidRPr="005D24C6" w:rsidRDefault="005D24C6" w:rsidP="00BC348C">
            <w:pPr>
              <w:overflowPunct w:val="0"/>
              <w:autoSpaceDE w:val="0"/>
              <w:autoSpaceDN w:val="0"/>
              <w:adjustRightInd w:val="0"/>
              <w:textAlignment w:val="baseline"/>
              <w:rPr>
                <w:rFonts w:ascii="Arial" w:hAnsi="Arial" w:cs="Arial"/>
                <w:sz w:val="22"/>
                <w:szCs w:val="22"/>
              </w:rPr>
            </w:pPr>
            <w:r>
              <w:rPr>
                <w:rFonts w:ascii="Arial" w:hAnsi="Arial" w:cs="Arial"/>
                <w:b/>
                <w:sz w:val="22"/>
                <w:szCs w:val="22"/>
              </w:rPr>
              <w:t xml:space="preserve">Pregnancy: </w:t>
            </w:r>
            <w:r w:rsidR="00DB0451">
              <w:rPr>
                <w:rFonts w:ascii="Arial" w:hAnsi="Arial" w:cs="Arial"/>
                <w:bCs/>
                <w:sz w:val="22"/>
                <w:szCs w:val="22"/>
              </w:rPr>
              <w:t>Some manufacturers do</w:t>
            </w:r>
            <w:r w:rsidR="00BC348C" w:rsidRPr="005D24C6">
              <w:rPr>
                <w:rFonts w:ascii="Arial" w:hAnsi="Arial" w:cs="Arial"/>
                <w:sz w:val="22"/>
                <w:szCs w:val="22"/>
              </w:rPr>
              <w:t xml:space="preserve"> not recommend use </w:t>
            </w:r>
            <w:r w:rsidR="00DB0451">
              <w:rPr>
                <w:rFonts w:ascii="Arial" w:hAnsi="Arial" w:cs="Arial"/>
                <w:sz w:val="22"/>
                <w:szCs w:val="22"/>
              </w:rPr>
              <w:t xml:space="preserve">of metronidazole </w:t>
            </w:r>
            <w:r w:rsidR="00BC348C" w:rsidRPr="005D24C6">
              <w:rPr>
                <w:rFonts w:ascii="Arial" w:hAnsi="Arial" w:cs="Arial"/>
                <w:sz w:val="22"/>
                <w:szCs w:val="22"/>
              </w:rPr>
              <w:t>in</w:t>
            </w:r>
            <w:r w:rsidR="00DB0451">
              <w:rPr>
                <w:rFonts w:ascii="Arial" w:hAnsi="Arial" w:cs="Arial"/>
                <w:sz w:val="22"/>
                <w:szCs w:val="22"/>
              </w:rPr>
              <w:t xml:space="preserve"> the</w:t>
            </w:r>
            <w:r w:rsidR="00BC348C" w:rsidRPr="005D24C6">
              <w:rPr>
                <w:rFonts w:ascii="Arial" w:hAnsi="Arial" w:cs="Arial"/>
                <w:sz w:val="22"/>
                <w:szCs w:val="22"/>
              </w:rPr>
              <w:t xml:space="preserve"> first trimester of pregnancy</w:t>
            </w:r>
            <w:r w:rsidR="00DB0451">
              <w:rPr>
                <w:rFonts w:ascii="Arial" w:hAnsi="Arial" w:cs="Arial"/>
                <w:sz w:val="22"/>
                <w:szCs w:val="22"/>
              </w:rPr>
              <w:t>. H</w:t>
            </w:r>
            <w:r w:rsidR="00BC348C" w:rsidRPr="005D24C6">
              <w:rPr>
                <w:rFonts w:ascii="Arial" w:hAnsi="Arial" w:cs="Arial"/>
                <w:sz w:val="22"/>
                <w:szCs w:val="22"/>
              </w:rPr>
              <w:t>owever</w:t>
            </w:r>
            <w:r w:rsidR="00E80C4A">
              <w:rPr>
                <w:rFonts w:ascii="Arial" w:hAnsi="Arial" w:cs="Arial"/>
                <w:sz w:val="22"/>
                <w:szCs w:val="22"/>
              </w:rPr>
              <w:t xml:space="preserve">, both the </w:t>
            </w:r>
            <w:hyperlink r:id="rId27" w:history="1">
              <w:r w:rsidR="00E80C4A" w:rsidRPr="00E80C4A">
                <w:rPr>
                  <w:rStyle w:val="Hyperlink"/>
                  <w:rFonts w:ascii="Arial" w:hAnsi="Arial" w:cs="Arial"/>
                  <w:sz w:val="22"/>
                  <w:szCs w:val="22"/>
                </w:rPr>
                <w:t>BASHH bacterial vaginosis guidelines</w:t>
              </w:r>
            </w:hyperlink>
            <w:r w:rsidR="00E80C4A">
              <w:rPr>
                <w:rFonts w:ascii="Arial" w:hAnsi="Arial" w:cs="Arial"/>
                <w:sz w:val="22"/>
                <w:szCs w:val="22"/>
              </w:rPr>
              <w:t xml:space="preserve"> and the</w:t>
            </w:r>
            <w:r w:rsidR="00BC348C" w:rsidRPr="005D24C6">
              <w:rPr>
                <w:rFonts w:ascii="Arial" w:hAnsi="Arial" w:cs="Arial"/>
                <w:sz w:val="22"/>
                <w:szCs w:val="22"/>
              </w:rPr>
              <w:t xml:space="preserve"> </w:t>
            </w:r>
            <w:hyperlink r:id="rId28" w:history="1">
              <w:r w:rsidR="00BC348C" w:rsidRPr="005D24C6">
                <w:rPr>
                  <w:rStyle w:val="Hyperlink"/>
                  <w:rFonts w:ascii="Arial" w:hAnsi="Arial" w:cs="Arial"/>
                  <w:sz w:val="22"/>
                  <w:szCs w:val="22"/>
                </w:rPr>
                <w:t xml:space="preserve">BASHH </w:t>
              </w:r>
              <w:r w:rsidRPr="005D24C6">
                <w:rPr>
                  <w:rStyle w:val="Hyperlink"/>
                  <w:rFonts w:ascii="Arial" w:hAnsi="Arial" w:cs="Arial"/>
                  <w:sz w:val="22"/>
                  <w:szCs w:val="22"/>
                </w:rPr>
                <w:t xml:space="preserve">Trichomonas vaginalis </w:t>
              </w:r>
              <w:r w:rsidR="00BC348C" w:rsidRPr="005D24C6">
                <w:rPr>
                  <w:rStyle w:val="Hyperlink"/>
                  <w:rFonts w:ascii="Arial" w:hAnsi="Arial" w:cs="Arial"/>
                  <w:sz w:val="22"/>
                  <w:szCs w:val="22"/>
                </w:rPr>
                <w:t>guidelines</w:t>
              </w:r>
            </w:hyperlink>
            <w:r w:rsidR="00BC348C" w:rsidRPr="005D24C6">
              <w:rPr>
                <w:rFonts w:ascii="Arial" w:hAnsi="Arial" w:cs="Arial"/>
                <w:sz w:val="22"/>
                <w:szCs w:val="22"/>
              </w:rPr>
              <w:t xml:space="preserve"> states that </w:t>
            </w:r>
            <w:r w:rsidR="00DB0451">
              <w:rPr>
                <w:rFonts w:ascii="Arial" w:hAnsi="Arial" w:cs="Arial"/>
                <w:sz w:val="22"/>
                <w:szCs w:val="22"/>
              </w:rPr>
              <w:t xml:space="preserve">a </w:t>
            </w:r>
            <w:r w:rsidR="00BC348C" w:rsidRPr="005D24C6">
              <w:rPr>
                <w:rFonts w:ascii="Arial" w:hAnsi="Arial" w:cs="Arial"/>
                <w:sz w:val="22"/>
                <w:szCs w:val="22"/>
              </w:rPr>
              <w:t xml:space="preserve">meta-analysis </w:t>
            </w:r>
            <w:r w:rsidR="00DB0451" w:rsidRPr="005D24C6">
              <w:rPr>
                <w:rFonts w:ascii="Arial" w:hAnsi="Arial" w:cs="Arial"/>
                <w:sz w:val="22"/>
                <w:szCs w:val="22"/>
              </w:rPr>
              <w:t>ha</w:t>
            </w:r>
            <w:r w:rsidR="00DB0451">
              <w:rPr>
                <w:rFonts w:ascii="Arial" w:hAnsi="Arial" w:cs="Arial"/>
                <w:sz w:val="22"/>
                <w:szCs w:val="22"/>
              </w:rPr>
              <w:t>s</w:t>
            </w:r>
            <w:r w:rsidR="00DB0451" w:rsidRPr="005D24C6">
              <w:rPr>
                <w:rFonts w:ascii="Arial" w:hAnsi="Arial" w:cs="Arial"/>
                <w:sz w:val="22"/>
                <w:szCs w:val="22"/>
              </w:rPr>
              <w:t xml:space="preserve"> </w:t>
            </w:r>
            <w:r w:rsidR="00BC348C" w:rsidRPr="005D24C6">
              <w:rPr>
                <w:rFonts w:ascii="Arial" w:hAnsi="Arial" w:cs="Arial"/>
                <w:sz w:val="22"/>
                <w:szCs w:val="22"/>
              </w:rPr>
              <w:t>concluded that there is no evidence of teratogenicity (malformation of the embryo) from the use of metronidazole during the first trimester of pregnancy.</w:t>
            </w:r>
          </w:p>
          <w:p w14:paraId="7853D212" w14:textId="77777777" w:rsidR="00BC348C" w:rsidRDefault="00BC348C" w:rsidP="00C26548">
            <w:pPr>
              <w:pStyle w:val="Tabletext"/>
              <w:rPr>
                <w:b/>
                <w:bCs/>
              </w:rPr>
            </w:pPr>
          </w:p>
          <w:p w14:paraId="21453689" w14:textId="2F5F5BDC" w:rsidR="00393D73" w:rsidRPr="00C26548" w:rsidRDefault="00393D73" w:rsidP="00C26548">
            <w:pPr>
              <w:pStyle w:val="Tabletext"/>
              <w:rPr>
                <w:b/>
                <w:bCs/>
              </w:rPr>
            </w:pPr>
            <w:r w:rsidRPr="00C26548">
              <w:rPr>
                <w:b/>
                <w:bCs/>
              </w:rPr>
              <w:t>Temperature variations:</w:t>
            </w:r>
          </w:p>
          <w:p w14:paraId="5885F630" w14:textId="1F156129" w:rsidR="00393D73" w:rsidRPr="00677C74" w:rsidRDefault="00393D73" w:rsidP="00A95DEB">
            <w:pPr>
              <w:pStyle w:val="Tabletext"/>
            </w:pPr>
            <w:r w:rsidRPr="00677C74">
              <w:t xml:space="preserve">Medicines should be stored according to the conditions detailed in the </w:t>
            </w:r>
            <w:hyperlink w:anchor="Storage" w:history="1">
              <w:r w:rsidRPr="00C26548">
                <w:rPr>
                  <w:rStyle w:val="Hyperlink"/>
                </w:rPr>
                <w:t>Storage section below.</w:t>
              </w:r>
            </w:hyperlink>
            <w:r w:rsidRPr="00677C74">
              <w:t xml:space="preserve"> However, in the event of an inadvertent or unavoidable deviation of these conditions </w:t>
            </w:r>
            <w:r w:rsidR="00BC348C">
              <w:t>the local pharmacy or Medicines Management team</w:t>
            </w:r>
            <w:r w:rsidRPr="00677C74">
              <w:t xml:space="preserve"> must </w:t>
            </w:r>
            <w:r w:rsidR="00BC348C">
              <w:t xml:space="preserve">be consulted and must </w:t>
            </w:r>
            <w:r w:rsidRPr="00677C74">
              <w:t>ensure the medicine remains pharmaceutically stable and appropriate for use if it is to be issued.</w:t>
            </w:r>
            <w:r w:rsidR="00EB0BF1">
              <w:t xml:space="preserve"> </w:t>
            </w:r>
            <w:r w:rsidRPr="00677C74">
              <w:t xml:space="preserve">Where medicines have been assessed by </w:t>
            </w:r>
            <w:r w:rsidR="00BC348C">
              <w:t xml:space="preserve">pharmacy/Medicines Management team </w:t>
            </w:r>
            <w:r w:rsidRPr="00677C74">
              <w:t xml:space="preserve">in accordance with national or specific product recommendations/manufacturer </w:t>
            </w:r>
            <w:r w:rsidRPr="00677C74">
              <w:lastRenderedPageBreak/>
              <w:t xml:space="preserve">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BF8A44A" w:rsidR="00393D73" w:rsidRPr="00677C74" w:rsidRDefault="00393D73" w:rsidP="00A95DEB">
            <w:pPr>
              <w:pStyle w:val="Tabletext"/>
            </w:pPr>
            <w:r w:rsidRPr="00677C74">
              <w:t xml:space="preserve">The responsibility for the decision to release the affected medicines for use lies with </w:t>
            </w:r>
            <w:r w:rsidR="00BC348C">
              <w:t xml:space="preserve">pharmacy/Medicines Management team. </w:t>
            </w:r>
          </w:p>
          <w:p w14:paraId="09942791" w14:textId="77777777" w:rsidR="00393D73" w:rsidRPr="00677C74" w:rsidRDefault="00393D73" w:rsidP="00A95DEB">
            <w:pPr>
              <w:pStyle w:val="Tabletext"/>
            </w:pPr>
          </w:p>
          <w:p w14:paraId="74240E7C" w14:textId="4323D6A3" w:rsidR="003E69CD" w:rsidRPr="003B61FD" w:rsidRDefault="00393D73" w:rsidP="00A95DEB">
            <w:pPr>
              <w:pStyle w:val="Tabletext"/>
              <w:rPr>
                <w:szCs w:val="22"/>
              </w:rPr>
            </w:pPr>
            <w:r w:rsidRPr="00677C74">
              <w:t xml:space="preserve">Where a </w:t>
            </w:r>
            <w:r w:rsidR="00BC348C">
              <w:t>medicine</w:t>
            </w:r>
            <w:r w:rsidRPr="00677C74">
              <w:t xml:space="preserve">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rsidR="00BC348C">
              <w:t>c</w:t>
            </w:r>
            <w:r w:rsidRPr="00677C74">
              <w:t>e.</w:t>
            </w:r>
          </w:p>
        </w:tc>
      </w:tr>
      <w:tr w:rsidR="00165DD9" w14:paraId="27DDC201" w14:textId="77777777" w:rsidTr="00B63F21">
        <w:tc>
          <w:tcPr>
            <w:tcW w:w="2689" w:type="dxa"/>
          </w:tcPr>
          <w:p w14:paraId="47CBA637" w14:textId="4D7D7771" w:rsidR="00165DD9" w:rsidRPr="001C0CA0" w:rsidRDefault="00165DD9" w:rsidP="005A6168">
            <w:pPr>
              <w:rPr>
                <w:rStyle w:val="TableHeaderColumn"/>
                <w:sz w:val="22"/>
              </w:rPr>
            </w:pPr>
            <w:bookmarkStart w:id="7" w:name="DoseAndFreq"/>
            <w:bookmarkEnd w:id="7"/>
            <w:r w:rsidRPr="001C0CA0">
              <w:rPr>
                <w:rStyle w:val="TableHeaderColumn"/>
                <w:sz w:val="22"/>
              </w:rPr>
              <w:lastRenderedPageBreak/>
              <w:t>Dose and frequency</w:t>
            </w:r>
            <w:r w:rsidR="005F17C5" w:rsidRPr="001C0CA0">
              <w:rPr>
                <w:rStyle w:val="TableHeaderColumn"/>
                <w:sz w:val="22"/>
              </w:rPr>
              <w:t xml:space="preserve"> of administration</w:t>
            </w:r>
            <w:r w:rsidR="00BC348C">
              <w:rPr>
                <w:rStyle w:val="TableHeaderColumn"/>
                <w:sz w:val="22"/>
              </w:rPr>
              <w:t xml:space="preserve"> (inclu</w:t>
            </w:r>
            <w:r w:rsidR="00017CF7">
              <w:rPr>
                <w:rStyle w:val="TableHeaderColumn"/>
                <w:sz w:val="22"/>
              </w:rPr>
              <w:t>di</w:t>
            </w:r>
            <w:r w:rsidR="00BC348C">
              <w:rPr>
                <w:rStyle w:val="TableHeaderColumn"/>
                <w:sz w:val="22"/>
              </w:rPr>
              <w:t>ng duration of treatment)</w:t>
            </w:r>
          </w:p>
        </w:tc>
        <w:tc>
          <w:tcPr>
            <w:tcW w:w="6237" w:type="dxa"/>
          </w:tcPr>
          <w:p w14:paraId="100B871E" w14:textId="77777777" w:rsidR="00BC348C" w:rsidRPr="00BC348C" w:rsidRDefault="00BC348C" w:rsidP="00BC348C">
            <w:pPr>
              <w:rPr>
                <w:rFonts w:ascii="Arial" w:hAnsi="Arial" w:cs="Arial"/>
                <w:b/>
                <w:bCs/>
                <w:sz w:val="22"/>
                <w:szCs w:val="22"/>
                <w:u w:val="single"/>
              </w:rPr>
            </w:pPr>
            <w:r w:rsidRPr="00BC348C">
              <w:rPr>
                <w:rFonts w:ascii="Arial" w:hAnsi="Arial" w:cs="Arial"/>
                <w:b/>
                <w:bCs/>
                <w:sz w:val="22"/>
                <w:szCs w:val="22"/>
                <w:u w:val="single"/>
              </w:rPr>
              <w:t>Individuals with BV:</w:t>
            </w:r>
          </w:p>
          <w:p w14:paraId="254B35BC" w14:textId="72EB9108" w:rsidR="00BC348C" w:rsidRPr="00BC348C" w:rsidRDefault="00DB0451" w:rsidP="00AF354B">
            <w:pPr>
              <w:spacing w:before="115" w:after="115"/>
              <w:rPr>
                <w:rFonts w:ascii="Arial" w:hAnsi="Arial" w:cs="Arial"/>
                <w:sz w:val="22"/>
                <w:szCs w:val="22"/>
                <w:highlight w:val="cyan"/>
              </w:rPr>
            </w:pPr>
            <w:r>
              <w:rPr>
                <w:rFonts w:ascii="Arial" w:hAnsi="Arial" w:cs="Arial"/>
                <w:sz w:val="22"/>
                <w:szCs w:val="22"/>
                <w:highlight w:val="cyan"/>
              </w:rPr>
              <w:t>[</w:t>
            </w:r>
            <w:r w:rsidR="00BC348C" w:rsidRPr="00BC348C">
              <w:rPr>
                <w:rFonts w:ascii="Arial" w:hAnsi="Arial" w:cs="Arial"/>
                <w:sz w:val="22"/>
                <w:szCs w:val="22"/>
                <w:highlight w:val="cyan"/>
              </w:rPr>
              <w:t>According to local protocol:</w:t>
            </w:r>
          </w:p>
          <w:p w14:paraId="64C96C66" w14:textId="1CC26ABC" w:rsidR="00BC348C" w:rsidRPr="00BC348C" w:rsidRDefault="00BC348C" w:rsidP="00AF354B">
            <w:pPr>
              <w:numPr>
                <w:ilvl w:val="0"/>
                <w:numId w:val="34"/>
              </w:numPr>
              <w:spacing w:before="115" w:after="115"/>
              <w:rPr>
                <w:rFonts w:ascii="Arial" w:hAnsi="Arial" w:cs="Arial"/>
                <w:sz w:val="22"/>
                <w:szCs w:val="22"/>
                <w:highlight w:val="cyan"/>
              </w:rPr>
            </w:pPr>
            <w:r w:rsidRPr="00BC348C">
              <w:rPr>
                <w:rFonts w:ascii="Arial" w:hAnsi="Arial" w:cs="Arial"/>
                <w:sz w:val="22"/>
                <w:szCs w:val="22"/>
                <w:highlight w:val="cyan"/>
              </w:rPr>
              <w:t xml:space="preserve">400mg to be taken twice a day for 5 days </w:t>
            </w:r>
            <w:r w:rsidR="005D24C6" w:rsidRPr="00AF354B">
              <w:rPr>
                <w:rFonts w:ascii="Arial" w:hAnsi="Arial" w:cs="Arial"/>
                <w:b/>
                <w:bCs/>
                <w:sz w:val="22"/>
                <w:szCs w:val="22"/>
                <w:highlight w:val="cyan"/>
              </w:rPr>
              <w:t>OR</w:t>
            </w:r>
          </w:p>
          <w:p w14:paraId="1E5079CC" w14:textId="60EF91E8" w:rsidR="00BC348C" w:rsidRDefault="00BC348C" w:rsidP="00AF354B">
            <w:pPr>
              <w:numPr>
                <w:ilvl w:val="0"/>
                <w:numId w:val="34"/>
              </w:numPr>
              <w:spacing w:before="115" w:after="115"/>
              <w:rPr>
                <w:rFonts w:ascii="Arial" w:hAnsi="Arial" w:cs="Arial"/>
                <w:sz w:val="22"/>
                <w:szCs w:val="22"/>
                <w:highlight w:val="cyan"/>
              </w:rPr>
            </w:pPr>
            <w:r w:rsidRPr="00BC348C">
              <w:rPr>
                <w:rFonts w:ascii="Arial" w:hAnsi="Arial" w:cs="Arial"/>
                <w:sz w:val="22"/>
                <w:szCs w:val="22"/>
                <w:highlight w:val="cyan"/>
              </w:rPr>
              <w:t>400mg to be taken twice a day for 7 days</w:t>
            </w:r>
            <w:r w:rsidR="00514EDC">
              <w:rPr>
                <w:rFonts w:ascii="Arial" w:hAnsi="Arial" w:cs="Arial"/>
                <w:sz w:val="22"/>
                <w:szCs w:val="22"/>
                <w:highlight w:val="cyan"/>
              </w:rPr>
              <w:t xml:space="preserve"> </w:t>
            </w:r>
            <w:r w:rsidR="00514EDC" w:rsidRPr="00AF354B">
              <w:rPr>
                <w:rFonts w:ascii="Arial" w:hAnsi="Arial" w:cs="Arial"/>
                <w:b/>
                <w:bCs/>
                <w:sz w:val="22"/>
                <w:szCs w:val="22"/>
                <w:highlight w:val="cyan"/>
              </w:rPr>
              <w:t xml:space="preserve">OR </w:t>
            </w:r>
          </w:p>
          <w:p w14:paraId="3667D0E4" w14:textId="7112A294" w:rsidR="00514EDC" w:rsidRPr="00514EDC" w:rsidRDefault="00514EDC" w:rsidP="00AF354B">
            <w:pPr>
              <w:numPr>
                <w:ilvl w:val="0"/>
                <w:numId w:val="34"/>
              </w:numPr>
              <w:spacing w:before="115" w:after="115"/>
              <w:rPr>
                <w:rFonts w:ascii="Arial" w:hAnsi="Arial" w:cs="Arial"/>
                <w:sz w:val="22"/>
                <w:szCs w:val="22"/>
                <w:highlight w:val="cyan"/>
              </w:rPr>
            </w:pPr>
            <w:r w:rsidRPr="00BC348C">
              <w:rPr>
                <w:rFonts w:ascii="Arial" w:hAnsi="Arial" w:cs="Arial"/>
                <w:sz w:val="22"/>
                <w:szCs w:val="22"/>
                <w:highlight w:val="cyan"/>
              </w:rPr>
              <w:t>Single 2g dose (e.g. 5 x 400mg tablets all at once) (not in pregnant individuals)</w:t>
            </w:r>
            <w:r w:rsidR="00DB0451">
              <w:rPr>
                <w:rFonts w:ascii="Arial" w:hAnsi="Arial" w:cs="Arial"/>
                <w:sz w:val="22"/>
                <w:szCs w:val="22"/>
                <w:highlight w:val="cyan"/>
              </w:rPr>
              <w:t>]</w:t>
            </w:r>
          </w:p>
          <w:p w14:paraId="105D3A70" w14:textId="77777777" w:rsidR="00BC348C" w:rsidRPr="00BC348C" w:rsidRDefault="00BC348C" w:rsidP="00BC348C">
            <w:pPr>
              <w:rPr>
                <w:rFonts w:ascii="Arial" w:hAnsi="Arial" w:cs="Arial"/>
                <w:sz w:val="22"/>
                <w:szCs w:val="22"/>
              </w:rPr>
            </w:pPr>
          </w:p>
          <w:p w14:paraId="63979E6C" w14:textId="77777777" w:rsidR="00BC348C" w:rsidRPr="00BC348C" w:rsidRDefault="00BC348C" w:rsidP="00BC348C">
            <w:pPr>
              <w:rPr>
                <w:rFonts w:ascii="Arial" w:hAnsi="Arial" w:cs="Arial"/>
                <w:b/>
                <w:bCs/>
                <w:sz w:val="22"/>
                <w:szCs w:val="22"/>
                <w:u w:val="single"/>
              </w:rPr>
            </w:pPr>
            <w:r w:rsidRPr="00BC348C">
              <w:rPr>
                <w:rFonts w:ascii="Arial" w:hAnsi="Arial" w:cs="Arial"/>
                <w:b/>
                <w:bCs/>
                <w:sz w:val="22"/>
                <w:szCs w:val="22"/>
                <w:u w:val="single"/>
              </w:rPr>
              <w:t>Individuals with TV:</w:t>
            </w:r>
          </w:p>
          <w:p w14:paraId="4AA576DE" w14:textId="605695B8" w:rsidR="00BC348C" w:rsidRPr="00BC348C" w:rsidRDefault="00BC348C" w:rsidP="00AF354B">
            <w:pPr>
              <w:numPr>
                <w:ilvl w:val="0"/>
                <w:numId w:val="35"/>
              </w:numPr>
              <w:spacing w:before="115" w:after="115"/>
              <w:rPr>
                <w:rFonts w:ascii="Arial" w:hAnsi="Arial" w:cs="Arial"/>
                <w:sz w:val="22"/>
                <w:szCs w:val="22"/>
              </w:rPr>
            </w:pPr>
            <w:r w:rsidRPr="00BC348C">
              <w:rPr>
                <w:rFonts w:ascii="Arial" w:hAnsi="Arial" w:cs="Arial"/>
                <w:sz w:val="22"/>
                <w:szCs w:val="22"/>
              </w:rPr>
              <w:t xml:space="preserve">First line: </w:t>
            </w:r>
            <w:r w:rsidR="00DB0451" w:rsidRPr="00EB0BF1">
              <w:rPr>
                <w:rFonts w:ascii="Arial" w:hAnsi="Arial" w:cs="Arial"/>
                <w:sz w:val="22"/>
                <w:szCs w:val="22"/>
                <w:highlight w:val="cyan"/>
              </w:rPr>
              <w:t>[</w:t>
            </w:r>
            <w:r w:rsidRPr="00EB0BF1">
              <w:rPr>
                <w:rFonts w:ascii="Arial" w:hAnsi="Arial" w:cs="Arial"/>
                <w:sz w:val="22"/>
                <w:szCs w:val="22"/>
                <w:highlight w:val="cyan"/>
                <w:shd w:val="clear" w:color="auto" w:fill="00FFFF"/>
              </w:rPr>
              <w:t>4</w:t>
            </w:r>
            <w:r w:rsidRPr="00BC348C">
              <w:rPr>
                <w:rFonts w:ascii="Arial" w:hAnsi="Arial" w:cs="Arial"/>
                <w:sz w:val="22"/>
                <w:szCs w:val="22"/>
                <w:shd w:val="clear" w:color="auto" w:fill="00FFFF"/>
              </w:rPr>
              <w:t>00mg-500mg</w:t>
            </w:r>
            <w:r w:rsidR="00DB0451">
              <w:rPr>
                <w:rFonts w:ascii="Arial" w:hAnsi="Arial" w:cs="Arial"/>
                <w:sz w:val="22"/>
                <w:szCs w:val="22"/>
                <w:shd w:val="clear" w:color="auto" w:fill="00FFFF"/>
              </w:rPr>
              <w:t>]</w:t>
            </w:r>
            <w:r w:rsidRPr="00BC348C">
              <w:rPr>
                <w:rFonts w:ascii="Arial" w:hAnsi="Arial" w:cs="Arial"/>
                <w:sz w:val="22"/>
                <w:szCs w:val="22"/>
              </w:rPr>
              <w:t xml:space="preserve"> to be taken twice daily for 7 days</w:t>
            </w:r>
            <w:r w:rsidR="00AF354B">
              <w:rPr>
                <w:rFonts w:ascii="Arial" w:hAnsi="Arial" w:cs="Arial"/>
                <w:sz w:val="22"/>
                <w:szCs w:val="22"/>
              </w:rPr>
              <w:t xml:space="preserve"> </w:t>
            </w:r>
            <w:r w:rsidR="00AF354B" w:rsidRPr="00AF354B">
              <w:rPr>
                <w:rFonts w:ascii="Arial" w:hAnsi="Arial" w:cs="Arial"/>
                <w:b/>
                <w:bCs/>
                <w:sz w:val="22"/>
                <w:szCs w:val="22"/>
              </w:rPr>
              <w:t>OR</w:t>
            </w:r>
          </w:p>
          <w:p w14:paraId="48CDF020" w14:textId="57FED8A2" w:rsidR="00BC348C" w:rsidRPr="00BC348C" w:rsidRDefault="00BC348C" w:rsidP="00AF354B">
            <w:pPr>
              <w:numPr>
                <w:ilvl w:val="0"/>
                <w:numId w:val="35"/>
              </w:numPr>
              <w:spacing w:before="115" w:after="115"/>
              <w:rPr>
                <w:rFonts w:ascii="Arial" w:hAnsi="Arial" w:cs="Arial"/>
                <w:sz w:val="22"/>
                <w:szCs w:val="22"/>
              </w:rPr>
            </w:pPr>
            <w:r w:rsidRPr="00BC348C">
              <w:rPr>
                <w:rFonts w:ascii="Arial" w:hAnsi="Arial" w:cs="Arial"/>
                <w:sz w:val="22"/>
                <w:szCs w:val="22"/>
              </w:rPr>
              <w:t xml:space="preserve">Second line (individuals unlikely to adhere with 7 day regime but who are </w:t>
            </w:r>
            <w:r w:rsidRPr="00E80C4A">
              <w:rPr>
                <w:rFonts w:ascii="Arial" w:hAnsi="Arial" w:cs="Arial"/>
                <w:b/>
                <w:bCs/>
                <w:sz w:val="22"/>
                <w:szCs w:val="22"/>
              </w:rPr>
              <w:t>not</w:t>
            </w:r>
            <w:r w:rsidRPr="00BC348C">
              <w:rPr>
                <w:rFonts w:ascii="Arial" w:hAnsi="Arial" w:cs="Arial"/>
                <w:sz w:val="22"/>
                <w:szCs w:val="22"/>
              </w:rPr>
              <w:t xml:space="preserve"> pregnant</w:t>
            </w:r>
            <w:r w:rsidR="00EB0BF1">
              <w:rPr>
                <w:rFonts w:ascii="Arial" w:hAnsi="Arial" w:cs="Arial"/>
                <w:sz w:val="22"/>
                <w:szCs w:val="22"/>
              </w:rPr>
              <w:t xml:space="preserve"> or living with HIV</w:t>
            </w:r>
            <w:r w:rsidRPr="00BC348C">
              <w:rPr>
                <w:rFonts w:ascii="Arial" w:hAnsi="Arial" w:cs="Arial"/>
                <w:sz w:val="22"/>
                <w:szCs w:val="22"/>
              </w:rPr>
              <w:t>): single 2g dose</w:t>
            </w:r>
          </w:p>
          <w:p w14:paraId="51D8D40F" w14:textId="4B55126B" w:rsidR="00BC348C" w:rsidRPr="00BC348C" w:rsidRDefault="00EB0BF1" w:rsidP="00AF354B">
            <w:pPr>
              <w:spacing w:before="115" w:after="115"/>
              <w:rPr>
                <w:rFonts w:ascii="Arial" w:hAnsi="Arial" w:cs="Arial"/>
                <w:b/>
                <w:bCs/>
                <w:sz w:val="22"/>
                <w:szCs w:val="22"/>
                <w:u w:val="single"/>
              </w:rPr>
            </w:pPr>
            <w:r w:rsidRPr="00EB0BF1">
              <w:rPr>
                <w:rFonts w:ascii="Arial" w:hAnsi="Arial" w:cs="Arial"/>
                <w:b/>
                <w:bCs/>
                <w:sz w:val="22"/>
                <w:szCs w:val="22"/>
                <w:u w:val="single"/>
              </w:rPr>
              <w:t>Pregnant i</w:t>
            </w:r>
            <w:r w:rsidR="00BC348C" w:rsidRPr="00EB0BF1">
              <w:rPr>
                <w:rFonts w:ascii="Arial" w:hAnsi="Arial" w:cs="Arial"/>
                <w:b/>
                <w:bCs/>
                <w:sz w:val="22"/>
                <w:szCs w:val="22"/>
                <w:u w:val="single"/>
              </w:rPr>
              <w:t>ndividuals</w:t>
            </w:r>
            <w:r w:rsidR="00BC348C" w:rsidRPr="00BC348C">
              <w:rPr>
                <w:rFonts w:ascii="Arial" w:hAnsi="Arial" w:cs="Arial"/>
                <w:b/>
                <w:bCs/>
                <w:sz w:val="22"/>
                <w:szCs w:val="22"/>
                <w:u w:val="single"/>
              </w:rPr>
              <w:t xml:space="preserve"> </w:t>
            </w:r>
            <w:r>
              <w:rPr>
                <w:rFonts w:ascii="Arial" w:hAnsi="Arial" w:cs="Arial"/>
                <w:b/>
                <w:bCs/>
                <w:sz w:val="22"/>
                <w:szCs w:val="22"/>
                <w:u w:val="single"/>
              </w:rPr>
              <w:t xml:space="preserve">or individuals </w:t>
            </w:r>
            <w:r w:rsidR="00BC348C" w:rsidRPr="00BC348C">
              <w:rPr>
                <w:rFonts w:ascii="Arial" w:hAnsi="Arial" w:cs="Arial"/>
                <w:b/>
                <w:bCs/>
                <w:sz w:val="22"/>
                <w:szCs w:val="22"/>
                <w:u w:val="single"/>
              </w:rPr>
              <w:t>living with HIV diagnosed with TV:</w:t>
            </w:r>
          </w:p>
          <w:p w14:paraId="064C2097" w14:textId="0867C131" w:rsidR="00BC348C" w:rsidRPr="00BC348C" w:rsidRDefault="00DB0451" w:rsidP="00AF354B">
            <w:pPr>
              <w:numPr>
                <w:ilvl w:val="0"/>
                <w:numId w:val="36"/>
              </w:numPr>
              <w:spacing w:before="115" w:after="115"/>
              <w:rPr>
                <w:rFonts w:ascii="Arial" w:hAnsi="Arial" w:cs="Arial"/>
                <w:sz w:val="22"/>
                <w:szCs w:val="22"/>
              </w:rPr>
            </w:pPr>
            <w:r>
              <w:rPr>
                <w:rFonts w:ascii="Arial" w:hAnsi="Arial" w:cs="Arial"/>
                <w:sz w:val="22"/>
                <w:szCs w:val="22"/>
                <w:highlight w:val="cyan"/>
              </w:rPr>
              <w:t>[</w:t>
            </w:r>
            <w:r w:rsidR="00BC348C" w:rsidRPr="00BC348C">
              <w:rPr>
                <w:rFonts w:ascii="Arial" w:hAnsi="Arial" w:cs="Arial"/>
                <w:sz w:val="22"/>
                <w:szCs w:val="22"/>
                <w:highlight w:val="cyan"/>
              </w:rPr>
              <w:t>400mg-500m</w:t>
            </w:r>
            <w:r w:rsidR="00BC348C" w:rsidRPr="00EB0BF1">
              <w:rPr>
                <w:rFonts w:ascii="Arial" w:hAnsi="Arial" w:cs="Arial"/>
                <w:sz w:val="22"/>
                <w:szCs w:val="22"/>
                <w:highlight w:val="cyan"/>
              </w:rPr>
              <w:t>g</w:t>
            </w:r>
            <w:r w:rsidRPr="00EB0BF1">
              <w:rPr>
                <w:rFonts w:ascii="Arial" w:hAnsi="Arial" w:cs="Arial"/>
                <w:sz w:val="22"/>
                <w:szCs w:val="22"/>
                <w:highlight w:val="cyan"/>
              </w:rPr>
              <w:t>]</w:t>
            </w:r>
            <w:r>
              <w:rPr>
                <w:rFonts w:ascii="Arial" w:hAnsi="Arial" w:cs="Arial"/>
                <w:sz w:val="22"/>
                <w:szCs w:val="22"/>
              </w:rPr>
              <w:t xml:space="preserve"> </w:t>
            </w:r>
            <w:r w:rsidR="00BC348C" w:rsidRPr="00BC348C">
              <w:rPr>
                <w:rFonts w:ascii="Arial" w:hAnsi="Arial" w:cs="Arial"/>
                <w:sz w:val="22"/>
                <w:szCs w:val="22"/>
              </w:rPr>
              <w:t xml:space="preserve">to be taken twice a day for 7 days </w:t>
            </w:r>
          </w:p>
          <w:p w14:paraId="318AEBDE" w14:textId="77777777" w:rsidR="00BC348C" w:rsidRPr="00BC348C" w:rsidRDefault="00BC348C" w:rsidP="00BC348C">
            <w:pPr>
              <w:rPr>
                <w:rFonts w:ascii="Arial" w:hAnsi="Arial" w:cs="Arial"/>
                <w:sz w:val="22"/>
                <w:szCs w:val="22"/>
              </w:rPr>
            </w:pPr>
          </w:p>
          <w:p w14:paraId="3987612A" w14:textId="466A7C25" w:rsidR="00BC348C" w:rsidRPr="005D24C6" w:rsidRDefault="00DB0451" w:rsidP="00BC348C">
            <w:pPr>
              <w:rPr>
                <w:rFonts w:ascii="Arial" w:hAnsi="Arial" w:cs="Arial"/>
                <w:sz w:val="22"/>
                <w:szCs w:val="22"/>
              </w:rPr>
            </w:pPr>
            <w:r>
              <w:rPr>
                <w:rFonts w:ascii="Arial" w:hAnsi="Arial" w:cs="Arial"/>
                <w:b/>
                <w:bCs/>
                <w:sz w:val="22"/>
                <w:szCs w:val="22"/>
                <w:highlight w:val="yellow"/>
              </w:rPr>
              <w:t>[[</w:t>
            </w:r>
            <w:r w:rsidR="00BC348C" w:rsidRPr="00BC348C">
              <w:rPr>
                <w:rFonts w:ascii="Arial" w:hAnsi="Arial" w:cs="Arial"/>
                <w:b/>
                <w:bCs/>
                <w:sz w:val="22"/>
                <w:szCs w:val="22"/>
                <w:highlight w:val="yellow"/>
              </w:rPr>
              <w:t xml:space="preserve">500mg dose </w:t>
            </w:r>
            <w:r w:rsidR="00BC348C" w:rsidRPr="005D24C6">
              <w:rPr>
                <w:rFonts w:ascii="Arial" w:hAnsi="Arial" w:cs="Arial"/>
                <w:b/>
                <w:bCs/>
                <w:sz w:val="22"/>
                <w:szCs w:val="22"/>
                <w:highlight w:val="yellow"/>
              </w:rPr>
              <w:t>considerations</w:t>
            </w:r>
            <w:r w:rsidR="005D24C6">
              <w:rPr>
                <w:rFonts w:ascii="Arial" w:hAnsi="Arial" w:cs="Arial"/>
                <w:b/>
                <w:bCs/>
                <w:sz w:val="22"/>
                <w:szCs w:val="22"/>
                <w:highlight w:val="yellow"/>
              </w:rPr>
              <w:t>:</w:t>
            </w:r>
            <w:r w:rsidR="00BC348C" w:rsidRPr="005D24C6">
              <w:rPr>
                <w:rFonts w:ascii="Arial" w:hAnsi="Arial" w:cs="Arial"/>
                <w:b/>
                <w:bCs/>
                <w:sz w:val="22"/>
                <w:szCs w:val="22"/>
                <w:highlight w:val="yellow"/>
              </w:rPr>
              <w:t xml:space="preserve"> </w:t>
            </w:r>
            <w:hyperlink r:id="rId29" w:history="1">
              <w:r w:rsidR="005D24C6" w:rsidRPr="005D24C6">
                <w:rPr>
                  <w:rStyle w:val="Hyperlink"/>
                  <w:rFonts w:ascii="Arial" w:hAnsi="Arial" w:cs="Arial"/>
                  <w:sz w:val="22"/>
                  <w:szCs w:val="22"/>
                  <w:highlight w:val="yellow"/>
                </w:rPr>
                <w:t>BASHH Trichomonas vaginalis guidelines</w:t>
              </w:r>
            </w:hyperlink>
            <w:r w:rsidR="005D24C6" w:rsidRPr="005D24C6">
              <w:rPr>
                <w:rFonts w:ascii="Arial" w:hAnsi="Arial" w:cs="Arial"/>
                <w:sz w:val="22"/>
                <w:szCs w:val="22"/>
                <w:highlight w:val="yellow"/>
              </w:rPr>
              <w:t xml:space="preserve"> state: </w:t>
            </w:r>
            <w:r w:rsidR="00BC348C" w:rsidRPr="005D24C6">
              <w:rPr>
                <w:rFonts w:ascii="Arial" w:hAnsi="Arial" w:cs="Arial"/>
                <w:sz w:val="22"/>
                <w:szCs w:val="22"/>
                <w:highlight w:val="yellow"/>
              </w:rPr>
              <w:t>“While it is recognised that 400mg is the standard dose of metronidazole used in the UK, most of the recent evidence is based on 500mg and this dose is also listed in the British National Formulary. It is therefore recommended to use 500mg twice daily for 7 days where 500mg tablets are available. 400mg twice daily for 7 days is an acceptable alternative.”</w:t>
            </w:r>
          </w:p>
          <w:p w14:paraId="19A766F8" w14:textId="77777777" w:rsidR="00BC348C" w:rsidRPr="00BC348C" w:rsidRDefault="00BC348C" w:rsidP="00BC348C">
            <w:pPr>
              <w:rPr>
                <w:rFonts w:ascii="Arial" w:hAnsi="Arial" w:cs="Arial"/>
                <w:i/>
                <w:iCs/>
                <w:sz w:val="22"/>
                <w:szCs w:val="22"/>
              </w:rPr>
            </w:pPr>
          </w:p>
          <w:p w14:paraId="6AB47447" w14:textId="1C0AFDBB" w:rsidR="00165DD9" w:rsidRPr="00BC348C" w:rsidRDefault="00BC348C" w:rsidP="00BC348C">
            <w:pPr>
              <w:pStyle w:val="Tabletext"/>
              <w:rPr>
                <w:szCs w:val="22"/>
              </w:rPr>
            </w:pPr>
            <w:r w:rsidRPr="00BC348C">
              <w:rPr>
                <w:rFonts w:cs="Arial"/>
                <w:szCs w:val="22"/>
                <w:highlight w:val="yellow"/>
              </w:rPr>
              <w:t>500mg tablets are not widely manufactured in the UK so organisations should consider availability (including of pre-packs/over labelled packs), supply chain reliability and cost when considering the product to be supplied</w:t>
            </w:r>
            <w:r w:rsidRPr="00017CF7">
              <w:rPr>
                <w:rFonts w:cs="Arial"/>
                <w:szCs w:val="22"/>
                <w:highlight w:val="yellow"/>
              </w:rPr>
              <w:t>.</w:t>
            </w:r>
            <w:r w:rsidR="00DB0451" w:rsidRPr="00017CF7">
              <w:rPr>
                <w:rFonts w:cs="Arial"/>
                <w:szCs w:val="22"/>
                <w:highlight w:val="yellow"/>
              </w:rPr>
              <w:t>]]</w:t>
            </w:r>
          </w:p>
        </w:tc>
      </w:tr>
      <w:tr w:rsidR="00393D73" w14:paraId="073231F9" w14:textId="77777777" w:rsidTr="00B63F21">
        <w:tc>
          <w:tcPr>
            <w:tcW w:w="2689" w:type="dxa"/>
            <w:tcBorders>
              <w:top w:val="single" w:sz="4" w:space="0" w:color="auto"/>
              <w:left w:val="single" w:sz="4" w:space="0" w:color="auto"/>
              <w:bottom w:val="single" w:sz="4" w:space="0" w:color="auto"/>
              <w:right w:val="single" w:sz="4" w:space="0" w:color="auto"/>
            </w:tcBorders>
          </w:tcPr>
          <w:p w14:paraId="3CF8ECDD" w14:textId="0AB526F0" w:rsidR="00393D73" w:rsidRPr="001C0CA0" w:rsidRDefault="00393D73" w:rsidP="00393D73">
            <w:pPr>
              <w:rPr>
                <w:rStyle w:val="TableHeaderColumn"/>
                <w:sz w:val="22"/>
              </w:rPr>
            </w:pPr>
            <w:r w:rsidRPr="001C0CA0">
              <w:rPr>
                <w:rStyle w:val="TableHeaderColumn"/>
                <w:sz w:val="22"/>
              </w:rPr>
              <w:lastRenderedPageBreak/>
              <w:t>Quantity to be supplied</w:t>
            </w:r>
          </w:p>
        </w:tc>
        <w:tc>
          <w:tcPr>
            <w:tcW w:w="6237" w:type="dxa"/>
            <w:tcBorders>
              <w:top w:val="single" w:sz="4" w:space="0" w:color="auto"/>
              <w:left w:val="single" w:sz="4" w:space="0" w:color="auto"/>
              <w:bottom w:val="single" w:sz="4" w:space="0" w:color="auto"/>
              <w:right w:val="single" w:sz="4" w:space="0" w:color="auto"/>
            </w:tcBorders>
          </w:tcPr>
          <w:p w14:paraId="2F23F6B9" w14:textId="796C3B57" w:rsidR="00BC348C" w:rsidRPr="005D24C6" w:rsidRDefault="00DB0451" w:rsidP="00AF354B">
            <w:pPr>
              <w:overflowPunct w:val="0"/>
              <w:autoSpaceDE w:val="0"/>
              <w:autoSpaceDN w:val="0"/>
              <w:adjustRightInd w:val="0"/>
              <w:spacing w:before="115" w:after="115"/>
              <w:textAlignment w:val="baseline"/>
              <w:rPr>
                <w:rFonts w:ascii="Arial" w:hAnsi="Arial" w:cs="Arial"/>
                <w:sz w:val="22"/>
                <w:szCs w:val="22"/>
                <w:highlight w:val="cyan"/>
              </w:rPr>
            </w:pPr>
            <w:r>
              <w:rPr>
                <w:rFonts w:ascii="Arial" w:hAnsi="Arial" w:cs="Arial"/>
                <w:sz w:val="22"/>
                <w:szCs w:val="22"/>
                <w:highlight w:val="cyan"/>
              </w:rPr>
              <w:t>[</w:t>
            </w:r>
            <w:r w:rsidR="00BC348C" w:rsidRPr="005D24C6">
              <w:rPr>
                <w:rFonts w:ascii="Arial" w:hAnsi="Arial" w:cs="Arial"/>
                <w:sz w:val="22"/>
                <w:szCs w:val="22"/>
                <w:highlight w:val="cyan"/>
              </w:rPr>
              <w:t>Five-day course (400mg): appropriately labelled pack of 400mg</w:t>
            </w:r>
            <w:r w:rsidR="005D24C6">
              <w:rPr>
                <w:rFonts w:ascii="Arial" w:hAnsi="Arial" w:cs="Arial"/>
                <w:sz w:val="22"/>
                <w:szCs w:val="22"/>
                <w:highlight w:val="cyan"/>
              </w:rPr>
              <w:t xml:space="preserve"> </w:t>
            </w:r>
            <w:r w:rsidR="00BC348C" w:rsidRPr="005D24C6">
              <w:rPr>
                <w:rFonts w:ascii="Arial" w:hAnsi="Arial" w:cs="Arial"/>
                <w:sz w:val="22"/>
                <w:szCs w:val="22"/>
                <w:highlight w:val="cyan"/>
              </w:rPr>
              <w:t>x</w:t>
            </w:r>
            <w:r w:rsidR="005D24C6">
              <w:rPr>
                <w:rFonts w:ascii="Arial" w:hAnsi="Arial" w:cs="Arial"/>
                <w:sz w:val="22"/>
                <w:szCs w:val="22"/>
                <w:highlight w:val="cyan"/>
              </w:rPr>
              <w:t xml:space="preserve"> </w:t>
            </w:r>
            <w:r w:rsidR="00BC348C" w:rsidRPr="005D24C6">
              <w:rPr>
                <w:rFonts w:ascii="Arial" w:hAnsi="Arial" w:cs="Arial"/>
                <w:sz w:val="22"/>
                <w:szCs w:val="22"/>
                <w:highlight w:val="cyan"/>
              </w:rPr>
              <w:t>10 tablets</w:t>
            </w:r>
            <w:r w:rsidR="005D24C6">
              <w:rPr>
                <w:rFonts w:ascii="Arial" w:hAnsi="Arial" w:cs="Arial"/>
                <w:sz w:val="22"/>
                <w:szCs w:val="22"/>
                <w:highlight w:val="cyan"/>
              </w:rPr>
              <w:t xml:space="preserve"> OR </w:t>
            </w:r>
            <w:r w:rsidR="00BC348C" w:rsidRPr="005D24C6">
              <w:rPr>
                <w:rFonts w:ascii="Arial" w:hAnsi="Arial" w:cs="Arial"/>
                <w:sz w:val="22"/>
                <w:szCs w:val="22"/>
                <w:highlight w:val="cyan"/>
              </w:rPr>
              <w:t>200mg</w:t>
            </w:r>
            <w:r w:rsidR="005D24C6">
              <w:rPr>
                <w:rFonts w:ascii="Arial" w:hAnsi="Arial" w:cs="Arial"/>
                <w:sz w:val="22"/>
                <w:szCs w:val="22"/>
                <w:highlight w:val="cyan"/>
              </w:rPr>
              <w:t xml:space="preserve"> </w:t>
            </w:r>
            <w:r w:rsidR="00BC348C" w:rsidRPr="005D24C6">
              <w:rPr>
                <w:rFonts w:ascii="Arial" w:hAnsi="Arial" w:cs="Arial"/>
                <w:sz w:val="22"/>
                <w:szCs w:val="22"/>
                <w:highlight w:val="cyan"/>
              </w:rPr>
              <w:t>x</w:t>
            </w:r>
            <w:r w:rsidR="005D24C6">
              <w:rPr>
                <w:rFonts w:ascii="Arial" w:hAnsi="Arial" w:cs="Arial"/>
                <w:sz w:val="22"/>
                <w:szCs w:val="22"/>
                <w:highlight w:val="cyan"/>
              </w:rPr>
              <w:t xml:space="preserve"> </w:t>
            </w:r>
            <w:r w:rsidR="00BC348C" w:rsidRPr="005D24C6">
              <w:rPr>
                <w:rFonts w:ascii="Arial" w:hAnsi="Arial" w:cs="Arial"/>
                <w:sz w:val="22"/>
                <w:szCs w:val="22"/>
                <w:highlight w:val="cyan"/>
              </w:rPr>
              <w:t>20 tablets</w:t>
            </w:r>
            <w:r w:rsidR="005D24C6">
              <w:rPr>
                <w:rFonts w:ascii="Arial" w:hAnsi="Arial" w:cs="Arial"/>
                <w:sz w:val="22"/>
                <w:szCs w:val="22"/>
                <w:highlight w:val="cyan"/>
              </w:rPr>
              <w:t xml:space="preserve"> OR 1 </w:t>
            </w:r>
            <w:r w:rsidR="00BC348C" w:rsidRPr="005D24C6">
              <w:rPr>
                <w:rFonts w:ascii="Arial" w:hAnsi="Arial" w:cs="Arial"/>
                <w:sz w:val="22"/>
                <w:szCs w:val="22"/>
                <w:highlight w:val="cyan"/>
              </w:rPr>
              <w:t>x</w:t>
            </w:r>
            <w:r w:rsidR="005D24C6">
              <w:rPr>
                <w:rFonts w:ascii="Arial" w:hAnsi="Arial" w:cs="Arial"/>
                <w:sz w:val="22"/>
                <w:szCs w:val="22"/>
                <w:highlight w:val="cyan"/>
              </w:rPr>
              <w:t xml:space="preserve"> </w:t>
            </w:r>
            <w:r w:rsidR="00BC348C" w:rsidRPr="005D24C6">
              <w:rPr>
                <w:rFonts w:ascii="Arial" w:hAnsi="Arial" w:cs="Arial"/>
                <w:sz w:val="22"/>
                <w:szCs w:val="22"/>
                <w:highlight w:val="cyan"/>
              </w:rPr>
              <w:t xml:space="preserve">100ml </w:t>
            </w:r>
            <w:r w:rsidR="005D24C6">
              <w:rPr>
                <w:rFonts w:ascii="Arial" w:hAnsi="Arial" w:cs="Arial"/>
                <w:sz w:val="22"/>
                <w:szCs w:val="22"/>
                <w:highlight w:val="cyan"/>
              </w:rPr>
              <w:t>x</w:t>
            </w:r>
            <w:r w:rsidR="00BC348C" w:rsidRPr="005D24C6">
              <w:rPr>
                <w:rFonts w:ascii="Arial" w:hAnsi="Arial" w:cs="Arial"/>
                <w:sz w:val="22"/>
                <w:szCs w:val="22"/>
                <w:highlight w:val="cyan"/>
              </w:rPr>
              <w:t xml:space="preserve"> 200mg/5m</w:t>
            </w:r>
            <w:r w:rsidR="005D24C6">
              <w:rPr>
                <w:rFonts w:ascii="Arial" w:hAnsi="Arial" w:cs="Arial"/>
                <w:sz w:val="22"/>
                <w:szCs w:val="22"/>
                <w:highlight w:val="cyan"/>
              </w:rPr>
              <w:t>L oral suspension</w:t>
            </w:r>
          </w:p>
          <w:p w14:paraId="11BCF0C0" w14:textId="77777777" w:rsidR="00BC348C" w:rsidRPr="005D24C6" w:rsidRDefault="00BC348C" w:rsidP="00AF354B">
            <w:pPr>
              <w:overflowPunct w:val="0"/>
              <w:autoSpaceDE w:val="0"/>
              <w:autoSpaceDN w:val="0"/>
              <w:adjustRightInd w:val="0"/>
              <w:spacing w:before="115" w:after="115"/>
              <w:textAlignment w:val="baseline"/>
              <w:rPr>
                <w:rFonts w:ascii="Arial" w:hAnsi="Arial" w:cs="Arial"/>
                <w:b/>
                <w:bCs/>
                <w:sz w:val="22"/>
                <w:szCs w:val="22"/>
                <w:highlight w:val="cyan"/>
              </w:rPr>
            </w:pPr>
            <w:r w:rsidRPr="005D24C6">
              <w:rPr>
                <w:rFonts w:ascii="Arial" w:hAnsi="Arial" w:cs="Arial"/>
                <w:b/>
                <w:bCs/>
                <w:sz w:val="22"/>
                <w:szCs w:val="22"/>
                <w:highlight w:val="cyan"/>
              </w:rPr>
              <w:t>OR</w:t>
            </w:r>
          </w:p>
          <w:p w14:paraId="64624311" w14:textId="28B3BD04" w:rsidR="00514EDC" w:rsidRPr="005D24C6" w:rsidRDefault="00BC348C" w:rsidP="00AF354B">
            <w:pPr>
              <w:overflowPunct w:val="0"/>
              <w:autoSpaceDE w:val="0"/>
              <w:autoSpaceDN w:val="0"/>
              <w:adjustRightInd w:val="0"/>
              <w:spacing w:before="115" w:after="115"/>
              <w:textAlignment w:val="baseline"/>
              <w:rPr>
                <w:rFonts w:ascii="Arial" w:hAnsi="Arial" w:cs="Arial"/>
                <w:sz w:val="22"/>
                <w:szCs w:val="22"/>
                <w:highlight w:val="cyan"/>
              </w:rPr>
            </w:pPr>
            <w:r w:rsidRPr="005D24C6">
              <w:rPr>
                <w:rFonts w:ascii="Arial" w:hAnsi="Arial" w:cs="Arial"/>
                <w:sz w:val="22"/>
                <w:szCs w:val="22"/>
                <w:highlight w:val="cyan"/>
              </w:rPr>
              <w:t>Seven-day course (400mg): appropriately labelled pack of 400mg</w:t>
            </w:r>
            <w:r w:rsidR="005D24C6">
              <w:rPr>
                <w:rFonts w:ascii="Arial" w:hAnsi="Arial" w:cs="Arial"/>
                <w:sz w:val="22"/>
                <w:szCs w:val="22"/>
                <w:highlight w:val="cyan"/>
              </w:rPr>
              <w:t xml:space="preserve"> </w:t>
            </w:r>
            <w:r w:rsidRPr="005D24C6">
              <w:rPr>
                <w:rFonts w:ascii="Arial" w:hAnsi="Arial" w:cs="Arial"/>
                <w:sz w:val="22"/>
                <w:szCs w:val="22"/>
                <w:highlight w:val="cyan"/>
              </w:rPr>
              <w:t>x</w:t>
            </w:r>
            <w:r w:rsidR="005D24C6">
              <w:rPr>
                <w:rFonts w:ascii="Arial" w:hAnsi="Arial" w:cs="Arial"/>
                <w:sz w:val="22"/>
                <w:szCs w:val="22"/>
                <w:highlight w:val="cyan"/>
              </w:rPr>
              <w:t xml:space="preserve"> </w:t>
            </w:r>
            <w:r w:rsidRPr="005D24C6">
              <w:rPr>
                <w:rFonts w:ascii="Arial" w:hAnsi="Arial" w:cs="Arial"/>
                <w:sz w:val="22"/>
                <w:szCs w:val="22"/>
                <w:highlight w:val="cyan"/>
              </w:rPr>
              <w:t>14 tablets</w:t>
            </w:r>
            <w:r w:rsidR="005D24C6">
              <w:rPr>
                <w:rFonts w:ascii="Arial" w:hAnsi="Arial" w:cs="Arial"/>
                <w:sz w:val="22"/>
                <w:szCs w:val="22"/>
                <w:highlight w:val="cyan"/>
              </w:rPr>
              <w:t xml:space="preserve"> OR </w:t>
            </w:r>
            <w:r w:rsidRPr="005D24C6">
              <w:rPr>
                <w:rFonts w:ascii="Arial" w:hAnsi="Arial" w:cs="Arial"/>
                <w:sz w:val="22"/>
                <w:szCs w:val="22"/>
                <w:highlight w:val="cyan"/>
              </w:rPr>
              <w:t>200mg</w:t>
            </w:r>
            <w:r w:rsidR="005D24C6">
              <w:rPr>
                <w:rFonts w:ascii="Arial" w:hAnsi="Arial" w:cs="Arial"/>
                <w:sz w:val="22"/>
                <w:szCs w:val="22"/>
                <w:highlight w:val="cyan"/>
              </w:rPr>
              <w:t xml:space="preserve"> </w:t>
            </w:r>
            <w:r w:rsidRPr="005D24C6">
              <w:rPr>
                <w:rFonts w:ascii="Arial" w:hAnsi="Arial" w:cs="Arial"/>
                <w:sz w:val="22"/>
                <w:szCs w:val="22"/>
                <w:highlight w:val="cyan"/>
              </w:rPr>
              <w:t>x</w:t>
            </w:r>
            <w:r w:rsidR="005D24C6">
              <w:rPr>
                <w:rFonts w:ascii="Arial" w:hAnsi="Arial" w:cs="Arial"/>
                <w:sz w:val="22"/>
                <w:szCs w:val="22"/>
                <w:highlight w:val="cyan"/>
              </w:rPr>
              <w:t xml:space="preserve"> </w:t>
            </w:r>
            <w:r w:rsidRPr="005D24C6">
              <w:rPr>
                <w:rFonts w:ascii="Arial" w:hAnsi="Arial" w:cs="Arial"/>
                <w:sz w:val="22"/>
                <w:szCs w:val="22"/>
                <w:highlight w:val="cyan"/>
              </w:rPr>
              <w:t>28 tablets</w:t>
            </w:r>
            <w:r w:rsidR="005D24C6">
              <w:rPr>
                <w:rFonts w:ascii="Arial" w:hAnsi="Arial" w:cs="Arial"/>
                <w:sz w:val="22"/>
                <w:szCs w:val="22"/>
                <w:highlight w:val="cyan"/>
              </w:rPr>
              <w:t xml:space="preserve"> OR </w:t>
            </w:r>
            <w:r w:rsidRPr="005D24C6">
              <w:rPr>
                <w:rFonts w:ascii="Arial" w:hAnsi="Arial" w:cs="Arial"/>
                <w:sz w:val="22"/>
                <w:szCs w:val="22"/>
                <w:highlight w:val="cyan"/>
              </w:rPr>
              <w:t>2</w:t>
            </w:r>
            <w:r w:rsidR="005D24C6">
              <w:rPr>
                <w:rFonts w:ascii="Arial" w:hAnsi="Arial" w:cs="Arial"/>
                <w:sz w:val="22"/>
                <w:szCs w:val="22"/>
                <w:highlight w:val="cyan"/>
              </w:rPr>
              <w:t xml:space="preserve"> </w:t>
            </w:r>
            <w:r w:rsidRPr="005D24C6">
              <w:rPr>
                <w:rFonts w:ascii="Arial" w:hAnsi="Arial" w:cs="Arial"/>
                <w:sz w:val="22"/>
                <w:szCs w:val="22"/>
                <w:highlight w:val="cyan"/>
              </w:rPr>
              <w:t>x</w:t>
            </w:r>
            <w:r w:rsidR="005D24C6">
              <w:rPr>
                <w:rFonts w:ascii="Arial" w:hAnsi="Arial" w:cs="Arial"/>
                <w:sz w:val="22"/>
                <w:szCs w:val="22"/>
                <w:highlight w:val="cyan"/>
              </w:rPr>
              <w:t xml:space="preserve"> </w:t>
            </w:r>
            <w:r w:rsidRPr="005D24C6">
              <w:rPr>
                <w:rFonts w:ascii="Arial" w:hAnsi="Arial" w:cs="Arial"/>
                <w:sz w:val="22"/>
                <w:szCs w:val="22"/>
                <w:highlight w:val="cyan"/>
              </w:rPr>
              <w:t>100m</w:t>
            </w:r>
            <w:r w:rsidR="005D24C6">
              <w:rPr>
                <w:rFonts w:ascii="Arial" w:hAnsi="Arial" w:cs="Arial"/>
                <w:sz w:val="22"/>
                <w:szCs w:val="22"/>
                <w:highlight w:val="cyan"/>
              </w:rPr>
              <w:t>L x</w:t>
            </w:r>
            <w:r w:rsidRPr="005D24C6">
              <w:rPr>
                <w:rFonts w:ascii="Arial" w:hAnsi="Arial" w:cs="Arial"/>
                <w:sz w:val="22"/>
                <w:szCs w:val="22"/>
                <w:highlight w:val="cyan"/>
              </w:rPr>
              <w:t xml:space="preserve"> 200mg/</w:t>
            </w:r>
            <w:r w:rsidR="005D24C6" w:rsidRPr="005D24C6">
              <w:rPr>
                <w:rFonts w:ascii="Arial" w:hAnsi="Arial" w:cs="Arial"/>
                <w:sz w:val="22"/>
                <w:szCs w:val="22"/>
                <w:highlight w:val="cyan"/>
              </w:rPr>
              <w:t>5mL oral suspension</w:t>
            </w:r>
          </w:p>
          <w:p w14:paraId="1BFE03BC" w14:textId="77777777" w:rsidR="00BC348C" w:rsidRPr="005D24C6" w:rsidRDefault="00BC348C" w:rsidP="00AF354B">
            <w:pPr>
              <w:overflowPunct w:val="0"/>
              <w:autoSpaceDE w:val="0"/>
              <w:autoSpaceDN w:val="0"/>
              <w:adjustRightInd w:val="0"/>
              <w:spacing w:before="115" w:after="115"/>
              <w:textAlignment w:val="baseline"/>
              <w:rPr>
                <w:rFonts w:ascii="Arial" w:hAnsi="Arial" w:cs="Arial"/>
                <w:b/>
                <w:bCs/>
                <w:sz w:val="22"/>
                <w:szCs w:val="22"/>
                <w:highlight w:val="cyan"/>
              </w:rPr>
            </w:pPr>
            <w:r w:rsidRPr="005D24C6">
              <w:rPr>
                <w:rFonts w:ascii="Arial" w:hAnsi="Arial" w:cs="Arial"/>
                <w:b/>
                <w:bCs/>
                <w:sz w:val="22"/>
                <w:szCs w:val="22"/>
                <w:highlight w:val="cyan"/>
              </w:rPr>
              <w:t>OR</w:t>
            </w:r>
          </w:p>
          <w:p w14:paraId="6130EFBF" w14:textId="77777777" w:rsidR="00514EDC" w:rsidRDefault="00BC348C" w:rsidP="00AF354B">
            <w:pPr>
              <w:pStyle w:val="Tabletext"/>
              <w:spacing w:before="115" w:after="115"/>
              <w:rPr>
                <w:rFonts w:cs="Arial"/>
                <w:highlight w:val="cyan"/>
              </w:rPr>
            </w:pPr>
            <w:r w:rsidRPr="005D24C6">
              <w:rPr>
                <w:rFonts w:cs="Arial"/>
                <w:szCs w:val="22"/>
                <w:highlight w:val="cyan"/>
              </w:rPr>
              <w:t xml:space="preserve">Seven-day course (500mg): appropriately labelled pack </w:t>
            </w:r>
            <w:r w:rsidRPr="00514EDC">
              <w:rPr>
                <w:rFonts w:cs="Arial"/>
                <w:szCs w:val="22"/>
                <w:highlight w:val="cyan"/>
              </w:rPr>
              <w:t>of 500mg</w:t>
            </w:r>
            <w:r w:rsidR="005D24C6" w:rsidRPr="00514EDC">
              <w:rPr>
                <w:rFonts w:cs="Arial"/>
                <w:szCs w:val="22"/>
                <w:highlight w:val="cyan"/>
              </w:rPr>
              <w:t xml:space="preserve"> </w:t>
            </w:r>
            <w:r w:rsidRPr="00514EDC">
              <w:rPr>
                <w:rFonts w:cs="Arial"/>
                <w:szCs w:val="22"/>
                <w:highlight w:val="cyan"/>
              </w:rPr>
              <w:t>x</w:t>
            </w:r>
            <w:r w:rsidR="005D24C6" w:rsidRPr="00514EDC">
              <w:rPr>
                <w:rFonts w:cs="Arial"/>
                <w:szCs w:val="22"/>
                <w:highlight w:val="cyan"/>
              </w:rPr>
              <w:t xml:space="preserve"> </w:t>
            </w:r>
            <w:r w:rsidRPr="00514EDC">
              <w:rPr>
                <w:rFonts w:cs="Arial"/>
                <w:szCs w:val="22"/>
                <w:highlight w:val="cyan"/>
              </w:rPr>
              <w:t xml:space="preserve">14 tablets </w:t>
            </w:r>
            <w:r w:rsidR="005D24C6" w:rsidRPr="00514EDC">
              <w:rPr>
                <w:highlight w:val="cyan"/>
                <w:lang w:val="en-GB"/>
              </w:rPr>
              <w:t>(</w:t>
            </w:r>
            <w:r w:rsidR="005D24C6" w:rsidRPr="00514EDC">
              <w:rPr>
                <w:rFonts w:cs="Arial"/>
                <w:highlight w:val="cyan"/>
              </w:rPr>
              <w:t xml:space="preserve">see </w:t>
            </w:r>
            <w:hyperlink w:anchor="doseAndFreq" w:history="1">
              <w:r w:rsidR="005D24C6" w:rsidRPr="00514EDC">
                <w:rPr>
                  <w:rStyle w:val="Hyperlink"/>
                  <w:rFonts w:cs="Arial"/>
                  <w:highlight w:val="cyan"/>
                </w:rPr>
                <w:t>Dose and frequency of administration</w:t>
              </w:r>
            </w:hyperlink>
            <w:r w:rsidR="005D24C6" w:rsidRPr="00514EDC">
              <w:rPr>
                <w:rFonts w:cs="Arial"/>
                <w:highlight w:val="cyan"/>
              </w:rPr>
              <w:t xml:space="preserve"> section for further information)</w:t>
            </w:r>
            <w:r w:rsidR="00514EDC">
              <w:rPr>
                <w:rFonts w:cs="Arial"/>
                <w:highlight w:val="cyan"/>
              </w:rPr>
              <w:t xml:space="preserve"> </w:t>
            </w:r>
          </w:p>
          <w:p w14:paraId="075E382C" w14:textId="1E453C8F" w:rsidR="00514EDC" w:rsidRPr="00514EDC" w:rsidRDefault="00514EDC" w:rsidP="00AF354B">
            <w:pPr>
              <w:pStyle w:val="Tabletext"/>
              <w:spacing w:before="115" w:after="115"/>
              <w:rPr>
                <w:rFonts w:cs="Arial"/>
                <w:highlight w:val="cyan"/>
              </w:rPr>
            </w:pPr>
            <w:r w:rsidRPr="005D24C6">
              <w:rPr>
                <w:rFonts w:cs="Arial"/>
                <w:b/>
                <w:bCs/>
                <w:szCs w:val="22"/>
                <w:highlight w:val="cyan"/>
              </w:rPr>
              <w:t>OR</w:t>
            </w:r>
          </w:p>
          <w:p w14:paraId="34A3B3B7" w14:textId="5E772A2F" w:rsidR="00514EDC" w:rsidRPr="00514EDC" w:rsidRDefault="00514EDC" w:rsidP="00AF354B">
            <w:pPr>
              <w:overflowPunct w:val="0"/>
              <w:autoSpaceDE w:val="0"/>
              <w:autoSpaceDN w:val="0"/>
              <w:adjustRightInd w:val="0"/>
              <w:spacing w:before="115" w:after="115"/>
              <w:textAlignment w:val="baseline"/>
              <w:rPr>
                <w:rFonts w:ascii="Arial" w:hAnsi="Arial" w:cs="Arial"/>
                <w:sz w:val="22"/>
                <w:szCs w:val="22"/>
                <w:highlight w:val="cyan"/>
              </w:rPr>
            </w:pPr>
            <w:r w:rsidRPr="00514EDC">
              <w:rPr>
                <w:rFonts w:ascii="Arial" w:hAnsi="Arial" w:cs="Arial"/>
                <w:sz w:val="22"/>
                <w:szCs w:val="22"/>
                <w:highlight w:val="cyan"/>
              </w:rPr>
              <w:t xml:space="preserve">Single </w:t>
            </w:r>
            <w:r w:rsidRPr="005D24C6">
              <w:rPr>
                <w:rFonts w:ascii="Arial" w:hAnsi="Arial" w:cs="Arial"/>
                <w:sz w:val="22"/>
                <w:szCs w:val="22"/>
                <w:highlight w:val="cyan"/>
              </w:rPr>
              <w:t>dose (2g): appropriately labelled pack of 400mg x 5 tablets</w:t>
            </w:r>
            <w:r>
              <w:rPr>
                <w:rFonts w:ascii="Arial" w:hAnsi="Arial" w:cs="Arial"/>
                <w:sz w:val="22"/>
                <w:szCs w:val="22"/>
                <w:highlight w:val="cyan"/>
              </w:rPr>
              <w:t xml:space="preserve"> OR </w:t>
            </w:r>
            <w:r w:rsidRPr="005D24C6">
              <w:rPr>
                <w:rFonts w:ascii="Arial" w:hAnsi="Arial" w:cs="Arial"/>
                <w:sz w:val="22"/>
                <w:szCs w:val="22"/>
                <w:highlight w:val="cyan"/>
              </w:rPr>
              <w:t>200mg</w:t>
            </w:r>
            <w:r>
              <w:rPr>
                <w:rFonts w:ascii="Arial" w:hAnsi="Arial" w:cs="Arial"/>
                <w:sz w:val="22"/>
                <w:szCs w:val="22"/>
                <w:highlight w:val="cyan"/>
              </w:rPr>
              <w:t xml:space="preserve"> </w:t>
            </w:r>
            <w:r w:rsidRPr="005D24C6">
              <w:rPr>
                <w:rFonts w:ascii="Arial" w:hAnsi="Arial" w:cs="Arial"/>
                <w:sz w:val="22"/>
                <w:szCs w:val="22"/>
                <w:highlight w:val="cyan"/>
              </w:rPr>
              <w:t>x</w:t>
            </w:r>
            <w:r>
              <w:rPr>
                <w:rFonts w:ascii="Arial" w:hAnsi="Arial" w:cs="Arial"/>
                <w:sz w:val="22"/>
                <w:szCs w:val="22"/>
                <w:highlight w:val="cyan"/>
              </w:rPr>
              <w:t xml:space="preserve"> </w:t>
            </w:r>
            <w:r w:rsidRPr="005D24C6">
              <w:rPr>
                <w:rFonts w:ascii="Arial" w:hAnsi="Arial" w:cs="Arial"/>
                <w:sz w:val="22"/>
                <w:szCs w:val="22"/>
                <w:highlight w:val="cyan"/>
              </w:rPr>
              <w:t>10 tablets</w:t>
            </w:r>
            <w:r>
              <w:rPr>
                <w:rFonts w:ascii="Arial" w:hAnsi="Arial" w:cs="Arial"/>
                <w:sz w:val="22"/>
                <w:szCs w:val="22"/>
                <w:highlight w:val="cyan"/>
              </w:rPr>
              <w:t xml:space="preserve"> OR </w:t>
            </w:r>
            <w:r w:rsidRPr="005D24C6">
              <w:rPr>
                <w:rFonts w:ascii="Arial" w:hAnsi="Arial" w:cs="Arial"/>
                <w:sz w:val="22"/>
                <w:szCs w:val="22"/>
                <w:highlight w:val="cyan"/>
              </w:rPr>
              <w:t>1</w:t>
            </w:r>
            <w:r w:rsidR="00073743">
              <w:rPr>
                <w:rFonts w:ascii="Arial" w:hAnsi="Arial" w:cs="Arial"/>
                <w:sz w:val="22"/>
                <w:szCs w:val="22"/>
                <w:highlight w:val="cyan"/>
              </w:rPr>
              <w:t xml:space="preserve"> </w:t>
            </w:r>
            <w:r w:rsidRPr="005D24C6">
              <w:rPr>
                <w:rFonts w:ascii="Arial" w:hAnsi="Arial" w:cs="Arial"/>
                <w:sz w:val="22"/>
                <w:szCs w:val="22"/>
                <w:highlight w:val="cyan"/>
              </w:rPr>
              <w:t>x</w:t>
            </w:r>
            <w:r w:rsidR="00073743">
              <w:rPr>
                <w:rFonts w:ascii="Arial" w:hAnsi="Arial" w:cs="Arial"/>
                <w:sz w:val="22"/>
                <w:szCs w:val="22"/>
                <w:highlight w:val="cyan"/>
              </w:rPr>
              <w:t xml:space="preserve"> </w:t>
            </w:r>
            <w:r w:rsidRPr="005D24C6">
              <w:rPr>
                <w:rFonts w:ascii="Arial" w:hAnsi="Arial" w:cs="Arial"/>
                <w:sz w:val="22"/>
                <w:szCs w:val="22"/>
                <w:highlight w:val="cyan"/>
              </w:rPr>
              <w:t>100m</w:t>
            </w:r>
            <w:r>
              <w:rPr>
                <w:rFonts w:ascii="Arial" w:hAnsi="Arial" w:cs="Arial"/>
                <w:sz w:val="22"/>
                <w:szCs w:val="22"/>
                <w:highlight w:val="cyan"/>
              </w:rPr>
              <w:t xml:space="preserve">L x </w:t>
            </w:r>
            <w:r w:rsidRPr="005D24C6">
              <w:rPr>
                <w:rFonts w:ascii="Arial" w:hAnsi="Arial" w:cs="Arial"/>
                <w:sz w:val="22"/>
                <w:szCs w:val="22"/>
                <w:highlight w:val="cyan"/>
              </w:rPr>
              <w:t>200mg/5m</w:t>
            </w:r>
            <w:r>
              <w:rPr>
                <w:rFonts w:ascii="Arial" w:hAnsi="Arial" w:cs="Arial"/>
                <w:sz w:val="22"/>
                <w:szCs w:val="22"/>
                <w:highlight w:val="cyan"/>
              </w:rPr>
              <w:t>L</w:t>
            </w:r>
            <w:r w:rsidRPr="005D24C6">
              <w:rPr>
                <w:rFonts w:ascii="Arial" w:hAnsi="Arial" w:cs="Arial"/>
                <w:sz w:val="22"/>
                <w:szCs w:val="22"/>
                <w:highlight w:val="cyan"/>
              </w:rPr>
              <w:t xml:space="preserve"> </w:t>
            </w:r>
            <w:r>
              <w:rPr>
                <w:rFonts w:ascii="Arial" w:hAnsi="Arial" w:cs="Arial"/>
                <w:sz w:val="22"/>
                <w:szCs w:val="22"/>
                <w:highlight w:val="cyan"/>
              </w:rPr>
              <w:t>oral suspension</w:t>
            </w:r>
            <w:r w:rsidR="00DB0451">
              <w:rPr>
                <w:rFonts w:ascii="Arial" w:hAnsi="Arial" w:cs="Arial"/>
                <w:sz w:val="22"/>
                <w:szCs w:val="22"/>
                <w:highlight w:val="cyan"/>
              </w:rPr>
              <w:t>]</w:t>
            </w:r>
          </w:p>
        </w:tc>
      </w:tr>
      <w:tr w:rsidR="00393D73" w14:paraId="28CB51BD" w14:textId="77777777" w:rsidTr="00B63F21">
        <w:tc>
          <w:tcPr>
            <w:tcW w:w="2689" w:type="dxa"/>
            <w:tcBorders>
              <w:top w:val="single" w:sz="4" w:space="0" w:color="auto"/>
              <w:left w:val="single" w:sz="4" w:space="0" w:color="auto"/>
              <w:bottom w:val="single" w:sz="4" w:space="0" w:color="auto"/>
              <w:right w:val="single" w:sz="4" w:space="0" w:color="auto"/>
            </w:tcBorders>
          </w:tcPr>
          <w:p w14:paraId="69119C98" w14:textId="4AFD6B1F" w:rsidR="00393D73" w:rsidRPr="001C0CA0" w:rsidRDefault="00393D73" w:rsidP="00393D73">
            <w:pPr>
              <w:rPr>
                <w:rStyle w:val="TableHeaderColumn"/>
                <w:sz w:val="22"/>
              </w:rPr>
            </w:pPr>
            <w:bookmarkStart w:id="8" w:name="Storage"/>
            <w:bookmarkEnd w:id="8"/>
            <w:r w:rsidRPr="001C0CA0">
              <w:rPr>
                <w:rStyle w:val="TableHeaderColumn"/>
                <w:sz w:val="22"/>
              </w:rPr>
              <w:t>Storage</w:t>
            </w:r>
          </w:p>
        </w:tc>
        <w:tc>
          <w:tcPr>
            <w:tcW w:w="6237" w:type="dxa"/>
            <w:tcBorders>
              <w:top w:val="single" w:sz="4" w:space="0" w:color="auto"/>
              <w:left w:val="single" w:sz="4" w:space="0" w:color="auto"/>
              <w:bottom w:val="single" w:sz="4" w:space="0" w:color="auto"/>
              <w:right w:val="single" w:sz="4" w:space="0" w:color="auto"/>
            </w:tcBorders>
          </w:tcPr>
          <w:p w14:paraId="63B16DBA" w14:textId="6DFDC76B"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edicines policy and in conditions in line with</w:t>
            </w:r>
            <w:r w:rsidR="00815AFA">
              <w:rPr>
                <w:rFonts w:eastAsia="Calibri"/>
              </w:rPr>
              <w:t xml:space="preserve"> the </w:t>
            </w:r>
            <w:hyperlink r:id="rId30" w:history="1">
              <w:r w:rsidR="00025EBC">
                <w:rPr>
                  <w:rStyle w:val="Hyperlink"/>
                  <w:lang w:eastAsia="en-GB"/>
                </w:rPr>
                <w:t xml:space="preserve"> </w:t>
              </w:r>
              <w:hyperlink r:id="rId31" w:history="1">
                <w:r w:rsidR="0076208D" w:rsidRPr="0076208D">
                  <w:rPr>
                    <w:rStyle w:val="Hyperlink"/>
                    <w:lang w:val="en-GB"/>
                  </w:rPr>
                  <w:t>Summary of Product Characteristics (SmPC) which can be accessed on the EMC website.</w:t>
                </w:r>
              </w:hyperlink>
            </w:hyperlink>
          </w:p>
        </w:tc>
      </w:tr>
      <w:tr w:rsidR="00393D73" w14:paraId="2CD9E9DF" w14:textId="77777777" w:rsidTr="00B63F21">
        <w:tc>
          <w:tcPr>
            <w:tcW w:w="2689" w:type="dxa"/>
            <w:tcBorders>
              <w:top w:val="single" w:sz="4" w:space="0" w:color="auto"/>
              <w:left w:val="single" w:sz="4" w:space="0" w:color="auto"/>
              <w:bottom w:val="single" w:sz="4" w:space="0" w:color="auto"/>
              <w:right w:val="single" w:sz="4" w:space="0" w:color="auto"/>
            </w:tcBorders>
          </w:tcPr>
          <w:p w14:paraId="580D0647" w14:textId="706B8F3C" w:rsidR="00393D73" w:rsidRPr="001C0CA0" w:rsidRDefault="00393D73" w:rsidP="00393D73">
            <w:pPr>
              <w:rPr>
                <w:rStyle w:val="TableHeaderColumn"/>
                <w:sz w:val="22"/>
              </w:rPr>
            </w:pPr>
            <w:bookmarkStart w:id="9" w:name="Interactions"/>
            <w:bookmarkEnd w:id="9"/>
            <w:r w:rsidRPr="001C0CA0">
              <w:rPr>
                <w:rStyle w:val="TableHeaderColumn"/>
                <w:sz w:val="22"/>
              </w:rPr>
              <w:t>Drug interactions</w:t>
            </w:r>
          </w:p>
        </w:tc>
        <w:tc>
          <w:tcPr>
            <w:tcW w:w="6237" w:type="dxa"/>
            <w:tcBorders>
              <w:top w:val="single" w:sz="4" w:space="0" w:color="auto"/>
              <w:left w:val="single" w:sz="4" w:space="0" w:color="auto"/>
              <w:bottom w:val="single" w:sz="4" w:space="0" w:color="auto"/>
              <w:right w:val="single" w:sz="4" w:space="0" w:color="auto"/>
            </w:tcBorders>
          </w:tcPr>
          <w:p w14:paraId="36D8F10D" w14:textId="77777777" w:rsidR="00815AFA" w:rsidRDefault="00815AFA" w:rsidP="00815AFA">
            <w:pPr>
              <w:pStyle w:val="Tabletext"/>
            </w:pPr>
            <w:r w:rsidRPr="00815AFA">
              <w:t>Where it is known an individual is concurrently taking one of the following medicines, metronidazole must not be supplied under this PGD and the individual referred to a prescriber:</w:t>
            </w:r>
          </w:p>
          <w:p w14:paraId="734CCFB3" w14:textId="2E2A29E3" w:rsidR="00815AFA" w:rsidRPr="00EF14EE" w:rsidRDefault="00815AFA" w:rsidP="00815AFA">
            <w:pPr>
              <w:pStyle w:val="Bulletindent1"/>
              <w:rPr>
                <w:rFonts w:eastAsia="Calibri"/>
              </w:rPr>
            </w:pPr>
            <w:r>
              <w:rPr>
                <w:rFonts w:eastAsia="Calibri"/>
              </w:rPr>
              <w:t>5-fl</w:t>
            </w:r>
            <w:r w:rsidR="005C19EF">
              <w:rPr>
                <w:rFonts w:eastAsia="Calibri"/>
              </w:rPr>
              <w:t>uo</w:t>
            </w:r>
            <w:r>
              <w:rPr>
                <w:rFonts w:eastAsia="Calibri"/>
              </w:rPr>
              <w:t>rouracil, b</w:t>
            </w:r>
            <w:r w:rsidRPr="00EF14EE">
              <w:rPr>
                <w:rFonts w:eastAsia="Calibri"/>
              </w:rPr>
              <w:t xml:space="preserve">usulfan, capecitabine </w:t>
            </w:r>
          </w:p>
          <w:p w14:paraId="64C907BA" w14:textId="77777777" w:rsidR="00815AFA" w:rsidRDefault="00815AFA" w:rsidP="00815AFA">
            <w:pPr>
              <w:pStyle w:val="Bulletindent1"/>
              <w:rPr>
                <w:rFonts w:eastAsia="Calibri"/>
              </w:rPr>
            </w:pPr>
            <w:r>
              <w:rPr>
                <w:rFonts w:eastAsia="Calibri"/>
              </w:rPr>
              <w:t>Ciclosporin</w:t>
            </w:r>
          </w:p>
          <w:p w14:paraId="0F3A5499" w14:textId="77777777" w:rsidR="00815AFA" w:rsidRDefault="00815AFA" w:rsidP="00815AFA">
            <w:pPr>
              <w:pStyle w:val="Bulletindent1"/>
              <w:rPr>
                <w:rFonts w:eastAsia="Calibri"/>
              </w:rPr>
            </w:pPr>
            <w:r>
              <w:rPr>
                <w:rFonts w:eastAsia="Calibri"/>
              </w:rPr>
              <w:t>Disulfiram</w:t>
            </w:r>
          </w:p>
          <w:p w14:paraId="4BCC25E2" w14:textId="77777777" w:rsidR="00815AFA" w:rsidRDefault="00815AFA" w:rsidP="00815AFA">
            <w:pPr>
              <w:pStyle w:val="Bulletindent1"/>
              <w:rPr>
                <w:rFonts w:eastAsia="Calibri"/>
              </w:rPr>
            </w:pPr>
            <w:r>
              <w:rPr>
                <w:rFonts w:eastAsia="Calibri"/>
              </w:rPr>
              <w:t>Lithium</w:t>
            </w:r>
          </w:p>
          <w:p w14:paraId="71D620B2" w14:textId="77777777" w:rsidR="00815AFA" w:rsidRDefault="00815AFA" w:rsidP="00815AFA">
            <w:pPr>
              <w:pStyle w:val="Bulletindent1"/>
              <w:rPr>
                <w:rFonts w:eastAsia="Calibri"/>
              </w:rPr>
            </w:pPr>
            <w:r>
              <w:rPr>
                <w:rFonts w:eastAsia="Calibri"/>
              </w:rPr>
              <w:t>Phenobarbital, phenytoin</w:t>
            </w:r>
          </w:p>
          <w:p w14:paraId="3EB14573" w14:textId="77777777" w:rsidR="00815AFA" w:rsidRPr="00EF14EE" w:rsidRDefault="00815AFA" w:rsidP="00815AFA">
            <w:pPr>
              <w:pStyle w:val="Bulletindent1"/>
              <w:rPr>
                <w:color w:val="000000"/>
              </w:rPr>
            </w:pPr>
            <w:r w:rsidRPr="00EF14EE">
              <w:t>Concomitant use of another medication known to cause QT prolongation (e.g. haloperidol, sotalol, terfenadine, pimozide) (</w:t>
            </w:r>
            <w:r w:rsidRPr="00EF14EE">
              <w:rPr>
                <w:lang w:val="en-US"/>
              </w:rPr>
              <w:t xml:space="preserve">For further information recommended resources include: </w:t>
            </w:r>
            <w:hyperlink r:id="rId32" w:history="1">
              <w:r w:rsidRPr="00EF14EE">
                <w:rPr>
                  <w:color w:val="0000FF"/>
                  <w:u w:val="single"/>
                  <w:lang w:val="en-US"/>
                </w:rPr>
                <w:t>CredibleMeds</w:t>
              </w:r>
            </w:hyperlink>
            <w:r w:rsidRPr="00EF14EE">
              <w:rPr>
                <w:lang w:val="en-US"/>
              </w:rPr>
              <w:t xml:space="preserve">; registration required, or </w:t>
            </w:r>
            <w:hyperlink r:id="rId33" w:history="1">
              <w:r w:rsidRPr="00EF14EE">
                <w:rPr>
                  <w:color w:val="0000FF"/>
                  <w:u w:val="single"/>
                  <w:lang w:val="en-US"/>
                </w:rPr>
                <w:t>Sudden arrhythmic death syndrome (SADS) - Drugs to avoid</w:t>
              </w:r>
            </w:hyperlink>
            <w:r w:rsidRPr="00EF14EE">
              <w:rPr>
                <w:lang w:val="en-US"/>
              </w:rPr>
              <w:t>)</w:t>
            </w:r>
          </w:p>
          <w:p w14:paraId="430EDBAE" w14:textId="5E55D62C" w:rsidR="00393D73" w:rsidRPr="00680DA5" w:rsidRDefault="00393D73" w:rsidP="00815AFA">
            <w:pPr>
              <w:pStyle w:val="Bulletindent1"/>
            </w:pPr>
            <w:r w:rsidRPr="00680DA5">
              <w:t xml:space="preserve">Typhoid vaccine (oral): see </w:t>
            </w:r>
            <w:hyperlink w:anchor="Excluded" w:history="1">
              <w:bookmarkStart w:id="10" w:name="Excluded"/>
              <w:r>
                <w:rPr>
                  <w:rStyle w:val="Hyperlink"/>
                  <w:rFonts w:cs="Arial"/>
                </w:rPr>
                <w:t>C</w:t>
              </w:r>
              <w:r w:rsidRPr="00680DA5">
                <w:rPr>
                  <w:rStyle w:val="Hyperlink"/>
                  <w:rFonts w:cs="Arial"/>
                </w:rPr>
                <w:t>riteria for exclusion</w:t>
              </w:r>
              <w:bookmarkEnd w:id="10"/>
            </w:hyperlink>
          </w:p>
          <w:p w14:paraId="06B6C616" w14:textId="7BC2437D" w:rsidR="00393D73" w:rsidRDefault="00393D73" w:rsidP="00581C9E">
            <w:pPr>
              <w:pStyle w:val="Tabletext"/>
            </w:pPr>
            <w:r w:rsidRPr="00677C74">
              <w:rPr>
                <w:color w:val="000000"/>
              </w:rPr>
              <w:lastRenderedPageBreak/>
              <w:t>A detailed list of drug interactions is available in</w:t>
            </w:r>
            <w:r w:rsidR="00757C02">
              <w:rPr>
                <w:color w:val="000000"/>
              </w:rPr>
              <w:t xml:space="preserve"> the</w:t>
            </w:r>
            <w:r w:rsidRPr="00677C74">
              <w:rPr>
                <w:color w:val="000000"/>
              </w:rPr>
              <w:t xml:space="preserve"> </w:t>
            </w:r>
            <w:hyperlink r:id="rId34" w:history="1">
              <w:hyperlink r:id="rId35" w:history="1">
                <w:r w:rsidR="0076208D" w:rsidRPr="0076208D">
                  <w:rPr>
                    <w:rStyle w:val="Hyperlink"/>
                    <w:lang w:val="en-GB"/>
                  </w:rPr>
                  <w:t>Summary of Product Characteristics (SmPC) which can be accessed on the EMC website.</w:t>
                </w:r>
              </w:hyperlink>
            </w:hyperlink>
          </w:p>
        </w:tc>
      </w:tr>
      <w:tr w:rsidR="00393D73" w14:paraId="39E46197" w14:textId="77777777" w:rsidTr="00B63F21">
        <w:tc>
          <w:tcPr>
            <w:tcW w:w="2689"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1C0CA0">
              <w:rPr>
                <w:rStyle w:val="TableHeaderColumn"/>
                <w:sz w:val="22"/>
              </w:rPr>
              <w:lastRenderedPageBreak/>
              <w:t>Identification and management of adverse reactions</w:t>
            </w:r>
          </w:p>
        </w:tc>
        <w:tc>
          <w:tcPr>
            <w:tcW w:w="6237" w:type="dxa"/>
            <w:tcBorders>
              <w:top w:val="single" w:sz="4" w:space="0" w:color="auto"/>
              <w:left w:val="single" w:sz="4" w:space="0" w:color="auto"/>
              <w:bottom w:val="single" w:sz="4" w:space="0" w:color="auto"/>
              <w:right w:val="single" w:sz="4" w:space="0" w:color="auto"/>
            </w:tcBorders>
          </w:tcPr>
          <w:p w14:paraId="03C60F2D" w14:textId="09740141" w:rsidR="00393D73" w:rsidRPr="00BD1D91" w:rsidRDefault="00393D73" w:rsidP="002F652F">
            <w:pPr>
              <w:pStyle w:val="Tabletext"/>
            </w:pPr>
            <w:r w:rsidRPr="00BD1D91">
              <w:t>A detailed list of adverse reactions is available in</w:t>
            </w:r>
            <w:r w:rsidR="00757C02">
              <w:t xml:space="preserve"> the </w:t>
            </w:r>
            <w:hyperlink r:id="rId36" w:history="1">
              <w:r w:rsidR="00FB22D9" w:rsidRPr="004D14FE">
                <w:rPr>
                  <w:rStyle w:val="Hyperlink"/>
                  <w:lang w:val="en-GB"/>
                </w:rPr>
                <w:t>Summary of Product Characteristics (SmPC) which can be accessed on the EMC website</w:t>
              </w:r>
            </w:hyperlink>
            <w:r w:rsidR="00BD1D91" w:rsidRPr="00BD1D91">
              <w:t xml:space="preserve"> a</w:t>
            </w:r>
            <w:r w:rsidRPr="00BD1D91">
              <w:t>nd</w:t>
            </w:r>
            <w:r w:rsidR="00BD1D91">
              <w:t xml:space="preserve"> </w:t>
            </w:r>
            <w:hyperlink r:id="rId37"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37778B81" w14:textId="77777777" w:rsidR="00815AFA" w:rsidRDefault="00815AFA" w:rsidP="00815AFA">
            <w:pPr>
              <w:pStyle w:val="Tabletext"/>
            </w:pPr>
          </w:p>
          <w:p w14:paraId="317064B0" w14:textId="002F9CD9" w:rsidR="00757C02" w:rsidRPr="00757C02" w:rsidRDefault="00815AFA" w:rsidP="00815AFA">
            <w:pPr>
              <w:pStyle w:val="Tabletext"/>
              <w:rPr>
                <w:rFonts w:eastAsia="Calibri"/>
              </w:rPr>
            </w:pPr>
            <w:r w:rsidRPr="00815AFA">
              <w:rPr>
                <w:rFonts w:eastAsia="Calibri"/>
              </w:rPr>
              <w:t>The following side effects are frequently reported with metronidazole but do not reflect all reported side effects:</w:t>
            </w:r>
          </w:p>
          <w:p w14:paraId="19F7ED56" w14:textId="77777777" w:rsidR="00815AFA" w:rsidRPr="00815AFA" w:rsidRDefault="00815AFA" w:rsidP="00815AFA">
            <w:pPr>
              <w:pStyle w:val="Bulletindent1"/>
              <w:rPr>
                <w:rFonts w:eastAsia="Calibri"/>
              </w:rPr>
            </w:pPr>
            <w:r w:rsidRPr="00815AFA">
              <w:rPr>
                <w:rFonts w:eastAsia="Calibri"/>
              </w:rPr>
              <w:t xml:space="preserve">Nausea </w:t>
            </w:r>
          </w:p>
          <w:p w14:paraId="5758B3EA" w14:textId="77777777" w:rsidR="00815AFA" w:rsidRPr="00815AFA" w:rsidRDefault="00815AFA" w:rsidP="00815AFA">
            <w:pPr>
              <w:pStyle w:val="Bulletindent1"/>
              <w:rPr>
                <w:rFonts w:eastAsia="Calibri"/>
              </w:rPr>
            </w:pPr>
            <w:r w:rsidRPr="00815AFA">
              <w:rPr>
                <w:rFonts w:eastAsia="Calibri"/>
              </w:rPr>
              <w:t xml:space="preserve">Vomiting </w:t>
            </w:r>
          </w:p>
          <w:p w14:paraId="00FAF047" w14:textId="77777777" w:rsidR="00815AFA" w:rsidRPr="00815AFA" w:rsidRDefault="00815AFA" w:rsidP="00815AFA">
            <w:pPr>
              <w:pStyle w:val="Bulletindent1"/>
              <w:rPr>
                <w:rFonts w:eastAsia="Calibri"/>
              </w:rPr>
            </w:pPr>
            <w:r w:rsidRPr="00815AFA">
              <w:rPr>
                <w:rFonts w:eastAsia="Calibri"/>
              </w:rPr>
              <w:t xml:space="preserve">Gastrointestinal disturbance </w:t>
            </w:r>
          </w:p>
          <w:p w14:paraId="35E08638" w14:textId="77777777" w:rsidR="00815AFA" w:rsidRPr="00815AFA" w:rsidRDefault="00815AFA" w:rsidP="00815AFA">
            <w:pPr>
              <w:pStyle w:val="Bulletindent1"/>
              <w:rPr>
                <w:rFonts w:eastAsia="Calibri"/>
              </w:rPr>
            </w:pPr>
            <w:r w:rsidRPr="00815AFA">
              <w:rPr>
                <w:rFonts w:eastAsia="Calibri"/>
              </w:rPr>
              <w:t xml:space="preserve">Diarrhoea </w:t>
            </w:r>
          </w:p>
          <w:p w14:paraId="0189F58E" w14:textId="77777777" w:rsidR="00815AFA" w:rsidRPr="00815AFA" w:rsidRDefault="00815AFA" w:rsidP="00815AFA">
            <w:pPr>
              <w:pStyle w:val="Bulletindent1"/>
              <w:rPr>
                <w:rFonts w:eastAsia="Calibri"/>
              </w:rPr>
            </w:pPr>
            <w:r w:rsidRPr="00815AFA">
              <w:rPr>
                <w:rFonts w:eastAsia="Calibri"/>
              </w:rPr>
              <w:t>Abdominal pain</w:t>
            </w:r>
          </w:p>
          <w:p w14:paraId="249DF40C" w14:textId="77777777" w:rsidR="00815AFA" w:rsidRPr="00815AFA" w:rsidRDefault="00815AFA" w:rsidP="00815AFA">
            <w:pPr>
              <w:pStyle w:val="Bulletindent1"/>
              <w:rPr>
                <w:rFonts w:eastAsia="Calibri"/>
              </w:rPr>
            </w:pPr>
            <w:r w:rsidRPr="00815AFA">
              <w:rPr>
                <w:rFonts w:eastAsia="Calibri"/>
              </w:rPr>
              <w:t>Unpleasant taste in the mouth may occur (which will continue throughout the duration of treatment but will resolve once treatment finishes)</w:t>
            </w:r>
          </w:p>
          <w:p w14:paraId="2D0816B6" w14:textId="77777777" w:rsidR="004003C6" w:rsidRPr="004003C6" w:rsidRDefault="004003C6" w:rsidP="004003C6">
            <w:pPr>
              <w:pStyle w:val="Tabletext"/>
              <w:rPr>
                <w:rFonts w:eastAsia="Calibri"/>
              </w:rPr>
            </w:pPr>
          </w:p>
          <w:p w14:paraId="59A213F4" w14:textId="2A5C1EEF" w:rsidR="00393D73" w:rsidRDefault="004003C6" w:rsidP="004003C6">
            <w:pPr>
              <w:pStyle w:val="Tabletext"/>
            </w:pPr>
            <w:r w:rsidRPr="004003C6">
              <w:rPr>
                <w:rFonts w:eastAsia="Calibri"/>
              </w:rPr>
              <w:t>In the event of a severe adverse reaction, the individual must be advised to stop treatment immediately and seek urgent medical advice.</w:t>
            </w:r>
          </w:p>
        </w:tc>
      </w:tr>
      <w:tr w:rsidR="00393D73" w14:paraId="08C3469A" w14:textId="77777777" w:rsidTr="00B63F21">
        <w:tc>
          <w:tcPr>
            <w:tcW w:w="2689" w:type="dxa"/>
          </w:tcPr>
          <w:p w14:paraId="0980B18E" w14:textId="77777777" w:rsidR="00393D73" w:rsidRPr="001C0CA0" w:rsidRDefault="00393D73" w:rsidP="00393D73">
            <w:pPr>
              <w:rPr>
                <w:rStyle w:val="TableHeaderColumn"/>
                <w:sz w:val="22"/>
              </w:rPr>
            </w:pPr>
            <w:r w:rsidRPr="001C0CA0">
              <w:rPr>
                <w:rStyle w:val="TableHeaderColumn"/>
                <w:sz w:val="22"/>
              </w:rPr>
              <w:t>Management of and reporting procedures for adverse reactions</w:t>
            </w:r>
          </w:p>
        </w:tc>
        <w:tc>
          <w:tcPr>
            <w:tcW w:w="6237"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38"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65CB1307" w14:textId="009F5A64" w:rsidR="00E107C5" w:rsidRPr="00E107C5" w:rsidRDefault="008D52EE" w:rsidP="00A77DF8">
            <w:pPr>
              <w:pStyle w:val="Bulletindent1"/>
              <w:rPr>
                <w:iCs/>
                <w:highlight w:val="cyan"/>
              </w:rPr>
            </w:pPr>
            <w:r>
              <w:rPr>
                <w:highlight w:val="cyan"/>
              </w:rPr>
              <w:t>[</w:t>
            </w:r>
            <w:r w:rsidR="00E107C5" w:rsidRPr="00E107C5">
              <w:rPr>
                <w:iCs/>
                <w:highlight w:val="cyan"/>
              </w:rPr>
              <w:t>Report and document in accordance with organisation incident policy.</w:t>
            </w:r>
            <w:r w:rsidR="00E107C5">
              <w:rPr>
                <w:iCs/>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B63F21">
        <w:tc>
          <w:tcPr>
            <w:tcW w:w="2689" w:type="dxa"/>
          </w:tcPr>
          <w:p w14:paraId="5A563D4B" w14:textId="6B0809B7" w:rsidR="00393D73" w:rsidRPr="001C0CA0" w:rsidRDefault="00393D73" w:rsidP="00393D73">
            <w:pPr>
              <w:rPr>
                <w:rStyle w:val="TableHeaderColumn"/>
                <w:sz w:val="24"/>
                <w:szCs w:val="28"/>
              </w:rPr>
            </w:pPr>
            <w:r w:rsidRPr="00BC348C">
              <w:rPr>
                <w:rStyle w:val="TableHeaderColumn"/>
                <w:sz w:val="22"/>
              </w:rPr>
              <w:t>Written or other information to be given to individual/carer</w:t>
            </w:r>
            <w:r w:rsidR="001C5B43">
              <w:rPr>
                <w:rStyle w:val="TableHeaderColumn"/>
                <w:sz w:val="22"/>
              </w:rPr>
              <w:t xml:space="preserve">/parent/guardian </w:t>
            </w:r>
          </w:p>
        </w:tc>
        <w:tc>
          <w:tcPr>
            <w:tcW w:w="6237" w:type="dxa"/>
          </w:tcPr>
          <w:p w14:paraId="76BE9A18" w14:textId="77777777" w:rsidR="00FB22D9" w:rsidRDefault="00393D73" w:rsidP="00EB0BF1">
            <w:pPr>
              <w:pStyle w:val="Bulletindent1"/>
            </w:pPr>
            <w:r>
              <w:t xml:space="preserve">Provide </w:t>
            </w:r>
            <w:r w:rsidRPr="00073FD5">
              <w:t xml:space="preserve">marketing authorisation holder's information leaflet (PIL) provided with the product.  </w:t>
            </w:r>
          </w:p>
          <w:p w14:paraId="04AADBB6" w14:textId="478800FA" w:rsidR="00FB22D9" w:rsidRPr="00FB22D9" w:rsidRDefault="00FB22D9" w:rsidP="00EB0BF1">
            <w:pPr>
              <w:pStyle w:val="Bulletindent1"/>
            </w:pPr>
            <w:r w:rsidRPr="00FB22D9">
              <w:t>Signpost the individual to:</w:t>
            </w:r>
          </w:p>
          <w:p w14:paraId="29BB9362" w14:textId="6DAD855F" w:rsidR="00FB22D9" w:rsidRDefault="00FB22D9" w:rsidP="00EB0BF1">
            <w:pPr>
              <w:pStyle w:val="Bulletindent1"/>
              <w:numPr>
                <w:ilvl w:val="1"/>
                <w:numId w:val="15"/>
              </w:numPr>
            </w:pPr>
            <w:hyperlink r:id="rId39" w:history="1">
              <w:r w:rsidRPr="00E40DEA">
                <w:rPr>
                  <w:rStyle w:val="Hyperlink"/>
                  <w:rFonts w:cs="Arial"/>
                  <w:szCs w:val="22"/>
                </w:rPr>
                <w:t>NHS resou</w:t>
              </w:r>
              <w:r w:rsidRPr="00EB0BF1">
                <w:rPr>
                  <w:rStyle w:val="Hyperlink"/>
                  <w:rFonts w:cs="Arial"/>
                  <w:szCs w:val="22"/>
                </w:rPr>
                <w:t>rce on bacterial vaginosis</w:t>
              </w:r>
            </w:hyperlink>
          </w:p>
          <w:p w14:paraId="75CDC2A8" w14:textId="16DE4D9E" w:rsidR="00FB22D9" w:rsidRDefault="00FB22D9" w:rsidP="00EB0BF1">
            <w:pPr>
              <w:pStyle w:val="Bulletindent1"/>
              <w:numPr>
                <w:ilvl w:val="1"/>
                <w:numId w:val="15"/>
              </w:numPr>
            </w:pPr>
            <w:hyperlink r:id="rId40" w:history="1">
              <w:r w:rsidRPr="00E40DEA">
                <w:rPr>
                  <w:rStyle w:val="Hyperlink"/>
                  <w:rFonts w:cs="Arial"/>
                  <w:szCs w:val="22"/>
                </w:rPr>
                <w:t>NHS resource on Trichomoniasis</w:t>
              </w:r>
            </w:hyperlink>
            <w:r>
              <w:t xml:space="preserve"> </w:t>
            </w:r>
          </w:p>
          <w:p w14:paraId="3482D382" w14:textId="77777777" w:rsidR="00EB0BF1" w:rsidRDefault="00EB0BF1" w:rsidP="00EB0BF1">
            <w:pPr>
              <w:pStyle w:val="Bulletindent1"/>
              <w:numPr>
                <w:ilvl w:val="1"/>
                <w:numId w:val="15"/>
              </w:numPr>
            </w:pPr>
            <w:hyperlink r:id="rId41" w:history="1">
              <w:r w:rsidRPr="00EB0BF1">
                <w:rPr>
                  <w:rStyle w:val="Hyperlink"/>
                  <w:rFonts w:cs="Arial"/>
                  <w:szCs w:val="22"/>
                </w:rPr>
                <w:t>BASHH patient information leaflet on bacterial vaginosis</w:t>
              </w:r>
            </w:hyperlink>
          </w:p>
          <w:p w14:paraId="6DF6EA2E" w14:textId="2E62B93A" w:rsidR="00EB0BF1" w:rsidRDefault="00EB0BF1" w:rsidP="00EB0BF1">
            <w:pPr>
              <w:pStyle w:val="Bulletindent1"/>
              <w:numPr>
                <w:ilvl w:val="1"/>
                <w:numId w:val="15"/>
              </w:numPr>
            </w:pPr>
            <w:hyperlink r:id="rId42" w:history="1">
              <w:r w:rsidRPr="00EB0BF1">
                <w:rPr>
                  <w:rStyle w:val="Hyperlink"/>
                  <w:rFonts w:cs="Arial"/>
                  <w:szCs w:val="22"/>
                </w:rPr>
                <w:t>BASHH patient information leaflet on Trichomoniasis</w:t>
              </w:r>
            </w:hyperlink>
          </w:p>
          <w:p w14:paraId="6AECEA78" w14:textId="15E405B2" w:rsidR="001C5B43" w:rsidRPr="00073743" w:rsidRDefault="001C5B43" w:rsidP="00EB0BF1">
            <w:pPr>
              <w:pStyle w:val="Bulletindent1"/>
              <w:numPr>
                <w:ilvl w:val="1"/>
                <w:numId w:val="15"/>
              </w:numPr>
              <w:rPr>
                <w:highlight w:val="cyan"/>
              </w:rPr>
            </w:pPr>
            <w:r w:rsidRPr="00073743">
              <w:rPr>
                <w:highlight w:val="cyan"/>
              </w:rPr>
              <w:lastRenderedPageBreak/>
              <w:t>[Locally developed patient information leaflet]</w:t>
            </w:r>
          </w:p>
          <w:p w14:paraId="397A4F12" w14:textId="0ECAB50D" w:rsidR="00393D73" w:rsidRPr="00677C74" w:rsidRDefault="008D52EE" w:rsidP="00EB0BF1">
            <w:pPr>
              <w:pStyle w:val="Bulletindent1"/>
            </w:pPr>
            <w:r w:rsidRPr="00073743">
              <w:rPr>
                <w:highlight w:val="cyan"/>
              </w:rPr>
              <w:t>[</w:t>
            </w:r>
            <w:r w:rsidR="00393D73" w:rsidRPr="00073743">
              <w:rPr>
                <w:highlight w:val="cyan"/>
              </w:rPr>
              <w:t>Give any additional information in accordance with the local service specification.</w:t>
            </w:r>
            <w:r w:rsidRPr="00073743">
              <w:rPr>
                <w:highlight w:val="cyan"/>
              </w:rPr>
              <w:t>]</w:t>
            </w:r>
          </w:p>
        </w:tc>
      </w:tr>
      <w:tr w:rsidR="00393D73" w14:paraId="09A371CA" w14:textId="77777777" w:rsidTr="00B63F21">
        <w:tc>
          <w:tcPr>
            <w:tcW w:w="2689" w:type="dxa"/>
          </w:tcPr>
          <w:p w14:paraId="0AB3BA26" w14:textId="6ED31042" w:rsidR="00393D73" w:rsidRPr="001C0CA0" w:rsidRDefault="00393D73" w:rsidP="00393D73">
            <w:pPr>
              <w:rPr>
                <w:rStyle w:val="TableHeaderColumn"/>
                <w:sz w:val="24"/>
                <w:szCs w:val="28"/>
              </w:rPr>
            </w:pPr>
            <w:r w:rsidRPr="00F75029">
              <w:rPr>
                <w:rStyle w:val="TableHeaderColumn"/>
                <w:kern w:val="0"/>
                <w:sz w:val="22"/>
              </w:rPr>
              <w:lastRenderedPageBreak/>
              <w:t>Individual</w:t>
            </w:r>
            <w:r w:rsidRPr="00F75029">
              <w:rPr>
                <w:rStyle w:val="TableHeaderColumn"/>
                <w:sz w:val="22"/>
              </w:rPr>
              <w:t xml:space="preserve"> advice / follow up treatment</w:t>
            </w:r>
          </w:p>
        </w:tc>
        <w:tc>
          <w:tcPr>
            <w:tcW w:w="6237" w:type="dxa"/>
          </w:tcPr>
          <w:p w14:paraId="04C433D9" w14:textId="0AD8ACE0" w:rsidR="00757C02" w:rsidRDefault="00393D73" w:rsidP="00904528">
            <w:pPr>
              <w:pStyle w:val="Bulletindent1"/>
            </w:pPr>
            <w:bookmarkStart w:id="11" w:name="_Hlk44941506"/>
            <w:r>
              <w:t>Explain the d</w:t>
            </w:r>
            <w:r w:rsidRPr="00073FD5">
              <w:t>ose</w:t>
            </w:r>
            <w:r>
              <w:t>, frequency</w:t>
            </w:r>
            <w:r w:rsidRPr="00073FD5">
              <w:t xml:space="preserve"> and method of administration</w:t>
            </w:r>
            <w:r>
              <w:t>.</w:t>
            </w:r>
            <w:r w:rsidR="00757C02">
              <w:t xml:space="preserve"> </w:t>
            </w:r>
          </w:p>
          <w:p w14:paraId="41D40643" w14:textId="3B407C0D" w:rsidR="005118E2" w:rsidRPr="005118E2" w:rsidRDefault="005118E2" w:rsidP="00904528">
            <w:pPr>
              <w:pStyle w:val="Bulletindent1"/>
              <w:rPr>
                <w:rFonts w:eastAsia="Arial"/>
              </w:rPr>
            </w:pPr>
            <w:r w:rsidRPr="001B7A49">
              <w:rPr>
                <w:rFonts w:eastAsia="Arial"/>
              </w:rPr>
              <w:t>Advise to swallow the tablets whole with plenty of water and to take with or after food</w:t>
            </w:r>
          </w:p>
          <w:p w14:paraId="54377650" w14:textId="34684743" w:rsidR="00393D73" w:rsidRPr="00B95CB1" w:rsidRDefault="00393D73" w:rsidP="00904528">
            <w:pPr>
              <w:pStyle w:val="Bulletindent1"/>
            </w:pPr>
            <w:r w:rsidRPr="00176D3E">
              <w:t>The individual/carer</w:t>
            </w:r>
            <w:r w:rsidR="00FB22D9">
              <w:t>/parent/guardian</w:t>
            </w:r>
            <w:r w:rsidRPr="00176D3E">
              <w:t xml:space="preserve"> should be advised to read PIL</w:t>
            </w:r>
          </w:p>
          <w:p w14:paraId="75CBE4F3" w14:textId="77777777" w:rsidR="005118E2" w:rsidRPr="001B7A49" w:rsidRDefault="005118E2" w:rsidP="00904528">
            <w:pPr>
              <w:pStyle w:val="Bulletindent1"/>
              <w:rPr>
                <w:rFonts w:eastAsia="Arial"/>
              </w:rPr>
            </w:pPr>
            <w:r w:rsidRPr="001B7A49">
              <w:rPr>
                <w:rFonts w:eastAsia="Arial"/>
              </w:rPr>
              <w:t>Advise that no alcohol should be taken for the duration of the treatment and for 48 hours after</w:t>
            </w:r>
            <w:r>
              <w:rPr>
                <w:rFonts w:eastAsia="Arial"/>
              </w:rPr>
              <w:t xml:space="preserve"> the course has been completed.</w:t>
            </w:r>
          </w:p>
          <w:p w14:paraId="52DE3F62" w14:textId="5835E9C0" w:rsidR="005118E2" w:rsidRPr="008B5047" w:rsidRDefault="005118E2" w:rsidP="00904528">
            <w:pPr>
              <w:pStyle w:val="Bulletindent1"/>
              <w:rPr>
                <w:rFonts w:eastAsia="Arial"/>
                <w:color w:val="000000"/>
              </w:rPr>
            </w:pPr>
            <w:r>
              <w:rPr>
                <w:rFonts w:eastAsia="Arial"/>
              </w:rPr>
              <w:t>I</w:t>
            </w:r>
            <w:r w:rsidRPr="001B7A49">
              <w:rPr>
                <w:rFonts w:eastAsia="Arial"/>
              </w:rPr>
              <w:t>n</w:t>
            </w:r>
            <w:r>
              <w:rPr>
                <w:rFonts w:eastAsia="Arial"/>
              </w:rPr>
              <w:t>dividuals</w:t>
            </w:r>
            <w:r w:rsidRPr="001B7A49">
              <w:rPr>
                <w:rFonts w:eastAsia="Arial"/>
              </w:rPr>
              <w:t xml:space="preserve"> who are breastfeeding should be advised that metronidazole can cause breast milk to have a bitter taste </w:t>
            </w:r>
            <w:r w:rsidRPr="008B5047">
              <w:rPr>
                <w:rFonts w:eastAsia="Arial"/>
                <w:color w:val="000000"/>
              </w:rPr>
              <w:t>which may cause some difficulties with feeding</w:t>
            </w:r>
            <w:r>
              <w:rPr>
                <w:rFonts w:eastAsia="Arial"/>
                <w:color w:val="000000"/>
              </w:rPr>
              <w:t>.</w:t>
            </w:r>
          </w:p>
          <w:p w14:paraId="4BA7C390" w14:textId="38A6F244" w:rsidR="00E107C5" w:rsidRPr="00E107C5" w:rsidRDefault="00E107C5" w:rsidP="00904528">
            <w:pPr>
              <w:pStyle w:val="Bulletindent1"/>
              <w:rPr>
                <w:rFonts w:eastAsia="Arial"/>
                <w:iCs/>
              </w:rPr>
            </w:pPr>
            <w:r w:rsidRPr="00E107C5">
              <w:rPr>
                <w:rFonts w:eastAsia="Arial"/>
                <w:lang w:val="en-US"/>
              </w:rPr>
              <w:t>Inform individual/carer</w:t>
            </w:r>
            <w:r w:rsidR="00FB22D9">
              <w:t>/parent/guardian</w:t>
            </w:r>
            <w:r w:rsidRPr="00E107C5">
              <w:rPr>
                <w:rFonts w:eastAsia="Arial"/>
                <w:lang w:val="en-US"/>
              </w:rPr>
              <w:t xml:space="preserve"> of possible side effects and their management</w:t>
            </w:r>
            <w:r w:rsidR="00815AFA">
              <w:rPr>
                <w:rFonts w:eastAsia="Arial"/>
                <w:lang w:val="en-US"/>
              </w:rPr>
              <w:t>.</w:t>
            </w:r>
          </w:p>
          <w:p w14:paraId="4B01918B" w14:textId="26083DB3" w:rsidR="00815AFA" w:rsidRPr="00607D12" w:rsidRDefault="00815AFA" w:rsidP="00904528">
            <w:pPr>
              <w:pStyle w:val="Bulletindent1"/>
            </w:pPr>
            <w:r w:rsidRPr="00085712">
              <w:t>The individual/carer</w:t>
            </w:r>
            <w:r w:rsidR="00FB22D9">
              <w:t>/parent/guardian</w:t>
            </w:r>
            <w:r w:rsidR="00FB22D9" w:rsidRPr="00176D3E">
              <w:t xml:space="preserve"> </w:t>
            </w:r>
            <w:r w:rsidRPr="00607D12">
              <w:t>should be advised to seek medical advice in the event of an adverse reaction or if any other new symptoms develop.</w:t>
            </w:r>
          </w:p>
          <w:p w14:paraId="16396DFF" w14:textId="77777777" w:rsidR="00815AFA" w:rsidRPr="00607D12" w:rsidRDefault="00815AFA" w:rsidP="00904528">
            <w:pPr>
              <w:pStyle w:val="Bulletindent1"/>
            </w:pPr>
            <w:r w:rsidRPr="00607D12">
              <w:t xml:space="preserve">If </w:t>
            </w:r>
            <w:r>
              <w:t xml:space="preserve">a </w:t>
            </w:r>
            <w:r w:rsidRPr="00607D12">
              <w:t>dose is missed</w:t>
            </w:r>
            <w:r>
              <w:t>,</w:t>
            </w:r>
            <w:r w:rsidRPr="00607D12">
              <w:t xml:space="preserve"> advise to refer to PIL supplied with the product</w:t>
            </w:r>
          </w:p>
          <w:p w14:paraId="343D83B7" w14:textId="2533B799" w:rsidR="00815AFA" w:rsidRDefault="00815AFA" w:rsidP="00904528">
            <w:pPr>
              <w:pStyle w:val="Bulletindent1"/>
            </w:pPr>
            <w:r w:rsidRPr="00607D12">
              <w:t xml:space="preserve">Advise </w:t>
            </w:r>
            <w:r w:rsidRPr="00481A38">
              <w:t>individual/carer</w:t>
            </w:r>
            <w:r w:rsidR="00FB22D9">
              <w:t>/parent/guardian</w:t>
            </w:r>
            <w:r w:rsidRPr="00607D12">
              <w:t xml:space="preserve"> to complete the full course even if symptoms improve.</w:t>
            </w:r>
          </w:p>
          <w:p w14:paraId="79E72D01" w14:textId="115EBF20" w:rsidR="005118E2" w:rsidRDefault="00815AFA" w:rsidP="001C5B43">
            <w:pPr>
              <w:pStyle w:val="Bulletindent1"/>
            </w:pPr>
            <w:r>
              <w:t xml:space="preserve">Advise </w:t>
            </w:r>
            <w:r w:rsidRPr="005241EA">
              <w:t>individual/carer</w:t>
            </w:r>
            <w:r w:rsidR="00FB22D9">
              <w:t>/parent/guardian</w:t>
            </w:r>
            <w:r w:rsidRPr="005241EA">
              <w:t xml:space="preserve"> to return any unused medicines to a pharmacy for disposal: do not dispose of medicines in the bin, down the sink or toilet.</w:t>
            </w:r>
            <w:r>
              <w:rPr>
                <w:rFonts w:eastAsia="Arial"/>
              </w:rPr>
              <w:t xml:space="preserve">  </w:t>
            </w:r>
            <w:bookmarkEnd w:id="11"/>
          </w:p>
          <w:p w14:paraId="7FB8732A" w14:textId="1D46E8C2" w:rsidR="005118E2" w:rsidRPr="005118E2" w:rsidRDefault="005118E2" w:rsidP="005118E2">
            <w:pPr>
              <w:pStyle w:val="Bulletindent1"/>
              <w:numPr>
                <w:ilvl w:val="0"/>
                <w:numId w:val="0"/>
              </w:numPr>
              <w:rPr>
                <w:b/>
                <w:bCs/>
                <w:u w:val="single"/>
              </w:rPr>
            </w:pPr>
            <w:r w:rsidRPr="005118E2">
              <w:rPr>
                <w:b/>
                <w:bCs/>
                <w:u w:val="single"/>
              </w:rPr>
              <w:t xml:space="preserve">Condition (general): </w:t>
            </w:r>
          </w:p>
          <w:p w14:paraId="0004FA23" w14:textId="77777777" w:rsidR="005118E2" w:rsidRPr="005118E2" w:rsidRDefault="005118E2" w:rsidP="00904528">
            <w:pPr>
              <w:pStyle w:val="Bulletindent1"/>
            </w:pPr>
            <w:r w:rsidRPr="005118E2">
              <w:rPr>
                <w:rFonts w:eastAsia="Arial"/>
              </w:rPr>
              <w:t>Individuals diagnosed with BV/TV should be offered information (verbal, written and/or digital) about their diagnosis and management</w:t>
            </w:r>
          </w:p>
          <w:p w14:paraId="4D38843D" w14:textId="77777777" w:rsidR="005118E2" w:rsidRPr="005118E2" w:rsidRDefault="005118E2" w:rsidP="00904528">
            <w:pPr>
              <w:pStyle w:val="Bulletindent1"/>
            </w:pPr>
            <w:r w:rsidRPr="005118E2">
              <w:rPr>
                <w:rFonts w:eastAsia="Arial"/>
              </w:rPr>
              <w:t>Offer condoms and advice on safer sex practices and offer the options for screening for sexually transmitted infections (STIs).</w:t>
            </w:r>
          </w:p>
          <w:p w14:paraId="60353DCD" w14:textId="13070852" w:rsidR="00904528" w:rsidRDefault="005118E2" w:rsidP="00904528">
            <w:pPr>
              <w:pStyle w:val="Bulletindent1"/>
            </w:pPr>
            <w:r w:rsidRPr="005118E2">
              <w:rPr>
                <w:rFonts w:eastAsia="Arial"/>
              </w:rPr>
              <w:t xml:space="preserve">Where treatment </w:t>
            </w:r>
            <w:r>
              <w:rPr>
                <w:rFonts w:eastAsia="Arial"/>
              </w:rPr>
              <w:t xml:space="preserve">is </w:t>
            </w:r>
            <w:r w:rsidRPr="005118E2">
              <w:rPr>
                <w:rFonts w:eastAsia="Arial"/>
              </w:rPr>
              <w:t>not supplied via a sexual health clinic ensure the individual has contact details of local sexual health services.</w:t>
            </w:r>
          </w:p>
          <w:p w14:paraId="43CCC05D" w14:textId="77777777" w:rsidR="00904528" w:rsidRPr="00904528" w:rsidRDefault="00904528" w:rsidP="00904528">
            <w:pPr>
              <w:pStyle w:val="Bulletindent1"/>
              <w:numPr>
                <w:ilvl w:val="0"/>
                <w:numId w:val="0"/>
              </w:numPr>
              <w:ind w:left="360"/>
            </w:pPr>
          </w:p>
          <w:p w14:paraId="162EADD9" w14:textId="77777777" w:rsidR="00904528" w:rsidRPr="005118E2" w:rsidRDefault="00904528" w:rsidP="00904528">
            <w:pPr>
              <w:widowControl w:val="0"/>
              <w:overflowPunct w:val="0"/>
              <w:autoSpaceDE w:val="0"/>
              <w:autoSpaceDN w:val="0"/>
              <w:adjustRightInd w:val="0"/>
              <w:spacing w:before="115" w:after="115"/>
              <w:textAlignment w:val="baseline"/>
              <w:rPr>
                <w:rFonts w:ascii="Arial" w:eastAsia="Arial" w:hAnsi="Arial" w:cs="Arial"/>
                <w:b/>
                <w:sz w:val="22"/>
                <w:szCs w:val="22"/>
                <w:u w:val="single"/>
              </w:rPr>
            </w:pPr>
            <w:r w:rsidRPr="005118E2">
              <w:rPr>
                <w:rFonts w:ascii="Arial" w:eastAsia="Arial" w:hAnsi="Arial" w:cs="Arial"/>
                <w:b/>
                <w:sz w:val="22"/>
                <w:szCs w:val="22"/>
                <w:u w:val="single"/>
              </w:rPr>
              <w:lastRenderedPageBreak/>
              <w:t>Condition (specific):</w:t>
            </w:r>
          </w:p>
          <w:p w14:paraId="5F563252" w14:textId="7590DB3A" w:rsidR="00904528" w:rsidRPr="00904528" w:rsidRDefault="00904528" w:rsidP="00904528">
            <w:pPr>
              <w:overflowPunct w:val="0"/>
              <w:autoSpaceDE w:val="0"/>
              <w:autoSpaceDN w:val="0"/>
              <w:adjustRightInd w:val="0"/>
              <w:spacing w:before="115" w:after="115"/>
              <w:textAlignment w:val="baseline"/>
              <w:rPr>
                <w:rFonts w:ascii="Arial" w:hAnsi="Arial" w:cs="Arial"/>
                <w:b/>
                <w:sz w:val="22"/>
                <w:szCs w:val="22"/>
              </w:rPr>
            </w:pPr>
            <w:r w:rsidRPr="005118E2">
              <w:rPr>
                <w:rFonts w:ascii="Arial" w:hAnsi="Arial" w:cs="Arial"/>
                <w:b/>
                <w:sz w:val="22"/>
                <w:szCs w:val="22"/>
              </w:rPr>
              <w:t>Bacterial vaginosis</w:t>
            </w:r>
            <w:r>
              <w:rPr>
                <w:rFonts w:ascii="Arial" w:hAnsi="Arial" w:cs="Arial"/>
                <w:b/>
                <w:sz w:val="22"/>
                <w:szCs w:val="22"/>
              </w:rPr>
              <w:t xml:space="preserve"> </w:t>
            </w:r>
          </w:p>
          <w:p w14:paraId="0C99BD53" w14:textId="77AD93DA" w:rsidR="00904528" w:rsidRPr="00904528" w:rsidRDefault="00AF354B" w:rsidP="00904528">
            <w:pPr>
              <w:pStyle w:val="Bulletindent1"/>
            </w:pPr>
            <w:r>
              <w:rPr>
                <w:rFonts w:eastAsia="Arial"/>
              </w:rPr>
              <w:t>Advise individual that if</w:t>
            </w:r>
            <w:r w:rsidR="005118E2" w:rsidRPr="00904528">
              <w:rPr>
                <w:rFonts w:eastAsia="Arial"/>
              </w:rPr>
              <w:t xml:space="preserve"> symptoms persist/worsen, to contact sexual health clinic</w:t>
            </w:r>
          </w:p>
          <w:p w14:paraId="7D0079A2" w14:textId="76741E15" w:rsidR="00904528" w:rsidRPr="00EB0BF1" w:rsidRDefault="00AF354B" w:rsidP="00904528">
            <w:pPr>
              <w:pStyle w:val="Bulletindent1"/>
            </w:pPr>
            <w:r>
              <w:rPr>
                <w:rFonts w:eastAsia="Arial"/>
              </w:rPr>
              <w:t>Advise individual to a</w:t>
            </w:r>
            <w:r w:rsidR="005118E2" w:rsidRPr="00904528">
              <w:rPr>
                <w:rFonts w:eastAsia="Arial"/>
              </w:rPr>
              <w:t>void local excessive washing, bubble baths, soaps, douching - advise use of emollient as a soap substitute</w:t>
            </w:r>
          </w:p>
          <w:p w14:paraId="637BDDE8" w14:textId="77777777" w:rsidR="00EB0BF1" w:rsidRDefault="00EB0BF1" w:rsidP="00904528">
            <w:pPr>
              <w:pStyle w:val="Bulletindent1"/>
            </w:pPr>
            <w:r>
              <w:t>Explain that h</w:t>
            </w:r>
            <w:r w:rsidRPr="00EB0BF1">
              <w:t xml:space="preserve">istorically, BV was not thought to be an STI but there are some studies suggesting a link to sexual transmission. </w:t>
            </w:r>
          </w:p>
          <w:p w14:paraId="3B78B63C" w14:textId="058BFE8C" w:rsidR="00EB0BF1" w:rsidRPr="00EB0BF1" w:rsidRDefault="00EB0BF1" w:rsidP="00904528">
            <w:pPr>
              <w:pStyle w:val="Bulletindent1"/>
              <w:rPr>
                <w:highlight w:val="cyan"/>
              </w:rPr>
            </w:pPr>
            <w:r w:rsidRPr="00EB0BF1">
              <w:rPr>
                <w:highlight w:val="cyan"/>
              </w:rPr>
              <w:t>[Provide advice on screening and treatment of sexual partner(s) in accordance with local policy]</w:t>
            </w:r>
          </w:p>
          <w:p w14:paraId="7A6803B0" w14:textId="7D7D2EF1" w:rsidR="00904528" w:rsidRPr="00904528" w:rsidRDefault="00AF354B" w:rsidP="00904528">
            <w:pPr>
              <w:pStyle w:val="Bulletindent1"/>
            </w:pPr>
            <w:r>
              <w:rPr>
                <w:rFonts w:eastAsia="Arial"/>
              </w:rPr>
              <w:t>Provide</w:t>
            </w:r>
            <w:r w:rsidRPr="00904528">
              <w:rPr>
                <w:rFonts w:eastAsia="Arial"/>
              </w:rPr>
              <w:t xml:space="preserve"> </w:t>
            </w:r>
            <w:r w:rsidR="005118E2" w:rsidRPr="00904528">
              <w:rPr>
                <w:rFonts w:eastAsia="Arial"/>
              </w:rPr>
              <w:t>general advice including information about possible triggers for BV.</w:t>
            </w:r>
          </w:p>
          <w:p w14:paraId="0CCA01CA" w14:textId="24054D02" w:rsidR="005118E2" w:rsidRPr="00904528" w:rsidRDefault="005118E2" w:rsidP="00904528">
            <w:pPr>
              <w:pStyle w:val="Bulletindent1"/>
            </w:pPr>
            <w:r w:rsidRPr="00904528">
              <w:rPr>
                <w:rFonts w:eastAsia="Arial"/>
              </w:rPr>
              <w:t>Advise that regular condom use may reduce the frequency of BV recurrence.</w:t>
            </w:r>
          </w:p>
          <w:p w14:paraId="74BA720F" w14:textId="77777777" w:rsidR="00904528" w:rsidRDefault="00904528" w:rsidP="00904528">
            <w:pPr>
              <w:pStyle w:val="Bulletindent1"/>
              <w:numPr>
                <w:ilvl w:val="0"/>
                <w:numId w:val="0"/>
              </w:numPr>
              <w:rPr>
                <w:rFonts w:eastAsia="Arial"/>
              </w:rPr>
            </w:pPr>
          </w:p>
          <w:p w14:paraId="7477FD88" w14:textId="20C4B740" w:rsidR="00904528" w:rsidRPr="00904528" w:rsidRDefault="00904528" w:rsidP="00904528">
            <w:pPr>
              <w:overflowPunct w:val="0"/>
              <w:autoSpaceDE w:val="0"/>
              <w:autoSpaceDN w:val="0"/>
              <w:adjustRightInd w:val="0"/>
              <w:spacing w:before="115" w:after="115"/>
              <w:textAlignment w:val="baseline"/>
              <w:rPr>
                <w:rFonts w:ascii="Arial" w:hAnsi="Arial" w:cs="Arial"/>
                <w:b/>
                <w:i/>
                <w:sz w:val="22"/>
                <w:szCs w:val="22"/>
              </w:rPr>
            </w:pPr>
            <w:r w:rsidRPr="005118E2">
              <w:rPr>
                <w:rFonts w:ascii="Arial" w:hAnsi="Arial" w:cs="Arial"/>
                <w:b/>
                <w:i/>
                <w:sz w:val="22"/>
                <w:szCs w:val="22"/>
              </w:rPr>
              <w:t>Trichomonas vaginalis</w:t>
            </w:r>
          </w:p>
          <w:p w14:paraId="52B5FA6F" w14:textId="44BD2017" w:rsidR="00904528" w:rsidRPr="005118E2" w:rsidRDefault="00AF354B" w:rsidP="00904528">
            <w:pPr>
              <w:pStyle w:val="Bulletindent1"/>
              <w:rPr>
                <w:rFonts w:eastAsia="Arial"/>
              </w:rPr>
            </w:pPr>
            <w:r>
              <w:rPr>
                <w:rFonts w:eastAsia="Arial"/>
              </w:rPr>
              <w:t xml:space="preserve">Explain that </w:t>
            </w:r>
            <w:r w:rsidR="00904528" w:rsidRPr="005118E2">
              <w:rPr>
                <w:rFonts w:eastAsia="Arial"/>
              </w:rPr>
              <w:t>TV is an STI</w:t>
            </w:r>
          </w:p>
          <w:p w14:paraId="2A555AFA" w14:textId="2657225C" w:rsidR="00904528" w:rsidRDefault="00AF354B" w:rsidP="00904528">
            <w:pPr>
              <w:pStyle w:val="Bulletindent1"/>
              <w:rPr>
                <w:rFonts w:eastAsia="Arial"/>
              </w:rPr>
            </w:pPr>
            <w:r>
              <w:rPr>
                <w:rFonts w:eastAsia="Arial"/>
              </w:rPr>
              <w:t>Advise that s</w:t>
            </w:r>
            <w:r w:rsidR="00904528" w:rsidRPr="005118E2">
              <w:rPr>
                <w:rFonts w:eastAsia="Arial"/>
              </w:rPr>
              <w:t xml:space="preserve">creening and treatment of partner(s) is required </w:t>
            </w:r>
          </w:p>
          <w:p w14:paraId="5922AAE6" w14:textId="57E04A83" w:rsidR="00E80D41" w:rsidRPr="00E80D41" w:rsidRDefault="00E80D41" w:rsidP="00E80D41">
            <w:pPr>
              <w:pStyle w:val="Bulletindent1"/>
              <w:rPr>
                <w:rFonts w:eastAsia="Arial"/>
              </w:rPr>
            </w:pPr>
            <w:r w:rsidRPr="006F2D9A">
              <w:rPr>
                <w:rFonts w:eastAsia="Arial"/>
              </w:rPr>
              <w:t xml:space="preserve">Discuss partner notification and issue contact </w:t>
            </w:r>
            <w:r>
              <w:rPr>
                <w:rFonts w:eastAsia="Arial"/>
              </w:rPr>
              <w:t>tracing advice</w:t>
            </w:r>
            <w:r w:rsidRPr="006F2D9A">
              <w:rPr>
                <w:rFonts w:eastAsia="Arial"/>
              </w:rPr>
              <w:t xml:space="preserve"> if appropriate</w:t>
            </w:r>
          </w:p>
          <w:p w14:paraId="278FFCD1" w14:textId="07DEA0D1" w:rsidR="00904528" w:rsidRPr="005118E2" w:rsidRDefault="00904528" w:rsidP="00904528">
            <w:pPr>
              <w:pStyle w:val="Bulletindent1"/>
              <w:rPr>
                <w:rFonts w:eastAsia="Arial"/>
              </w:rPr>
            </w:pPr>
            <w:r w:rsidRPr="005118E2">
              <w:rPr>
                <w:rFonts w:eastAsia="Arial"/>
              </w:rPr>
              <w:t>A</w:t>
            </w:r>
            <w:r w:rsidR="00E80D41">
              <w:rPr>
                <w:rFonts w:eastAsia="Arial"/>
              </w:rPr>
              <w:t>dvise the individual to a</w:t>
            </w:r>
            <w:r w:rsidRPr="005118E2">
              <w:rPr>
                <w:rFonts w:eastAsia="Arial"/>
              </w:rPr>
              <w:t xml:space="preserve">bstain completely from sexual intercourse (even with </w:t>
            </w:r>
            <w:r>
              <w:rPr>
                <w:rFonts w:eastAsia="Arial"/>
              </w:rPr>
              <w:t xml:space="preserve">a </w:t>
            </w:r>
            <w:r w:rsidRPr="005118E2">
              <w:rPr>
                <w:rFonts w:eastAsia="Arial"/>
              </w:rPr>
              <w:t>condom) including oral sex, for 7 days and for 7 days after partner(s) treated, and follow</w:t>
            </w:r>
            <w:r w:rsidR="00E80D41">
              <w:rPr>
                <w:rFonts w:eastAsia="Arial"/>
              </w:rPr>
              <w:t>-</w:t>
            </w:r>
            <w:r w:rsidRPr="005118E2">
              <w:rPr>
                <w:rFonts w:eastAsia="Arial"/>
              </w:rPr>
              <w:t>up is complete</w:t>
            </w:r>
          </w:p>
          <w:p w14:paraId="2F797B79" w14:textId="77777777" w:rsidR="005118E2" w:rsidRPr="005118E2" w:rsidRDefault="005118E2" w:rsidP="00904528">
            <w:pPr>
              <w:pStyle w:val="Bulletindent1"/>
              <w:rPr>
                <w:rFonts w:eastAsia="Arial"/>
              </w:rPr>
            </w:pPr>
            <w:r w:rsidRPr="005118E2">
              <w:rPr>
                <w:rFonts w:eastAsia="Arial"/>
              </w:rPr>
              <w:t>Warn of risk of re-infection and further transmission of infection, if sexual intercourse takes place within 7 days of treatment starting or with an untreated partner</w:t>
            </w:r>
          </w:p>
          <w:p w14:paraId="6EE10AAC" w14:textId="77777777" w:rsidR="005118E2" w:rsidRPr="005118E2" w:rsidRDefault="005118E2" w:rsidP="00904528">
            <w:pPr>
              <w:pStyle w:val="Bulletindent1"/>
              <w:rPr>
                <w:rFonts w:eastAsia="Arial"/>
              </w:rPr>
            </w:pPr>
            <w:r w:rsidRPr="005118E2">
              <w:rPr>
                <w:rFonts w:eastAsia="Arial"/>
              </w:rPr>
              <w:t xml:space="preserve">Discuss partner notification and issue contact slips if appropriate </w:t>
            </w:r>
          </w:p>
          <w:p w14:paraId="2BF8FA34" w14:textId="443CE319" w:rsidR="005118E2" w:rsidRPr="005118E2" w:rsidRDefault="005118E2" w:rsidP="00904528">
            <w:pPr>
              <w:pStyle w:val="Bulletindent1"/>
              <w:rPr>
                <w:rFonts w:eastAsia="Arial"/>
                <w:color w:val="000000"/>
              </w:rPr>
            </w:pPr>
            <w:r w:rsidRPr="005118E2">
              <w:rPr>
                <w:rFonts w:eastAsia="Arial"/>
              </w:rPr>
              <w:t>Discuss implications of incomplete treatment</w:t>
            </w:r>
          </w:p>
        </w:tc>
      </w:tr>
      <w:tr w:rsidR="00393D73" w14:paraId="589EF44D" w14:textId="77777777" w:rsidTr="00B63F21">
        <w:tc>
          <w:tcPr>
            <w:tcW w:w="2689" w:type="dxa"/>
          </w:tcPr>
          <w:p w14:paraId="0194F7E0" w14:textId="7E52FBD6" w:rsidR="00393D73" w:rsidRPr="005A6168" w:rsidRDefault="00393D73" w:rsidP="00393D73">
            <w:pPr>
              <w:rPr>
                <w:rStyle w:val="TableHeaderColumn"/>
              </w:rPr>
            </w:pPr>
            <w:r w:rsidRPr="001C0CA0">
              <w:rPr>
                <w:rStyle w:val="TableHeaderColumn"/>
                <w:sz w:val="22"/>
              </w:rPr>
              <w:lastRenderedPageBreak/>
              <w:t>Records to be kept</w:t>
            </w:r>
          </w:p>
        </w:tc>
        <w:tc>
          <w:tcPr>
            <w:tcW w:w="6237" w:type="dxa"/>
          </w:tcPr>
          <w:p w14:paraId="09C8E253" w14:textId="00DC1A93" w:rsidR="00393D73" w:rsidRPr="00CE73FB" w:rsidRDefault="00393D73" w:rsidP="00CE73FB">
            <w:pPr>
              <w:pStyle w:val="Tabletext"/>
              <w:rPr>
                <w:rFonts w:eastAsia="Arial"/>
              </w:rPr>
            </w:pPr>
            <w:r w:rsidRPr="00073FD5">
              <w:rPr>
                <w:rFonts w:eastAsia="Arial"/>
              </w:rPr>
              <w:t>Appropriate records must include the following:</w:t>
            </w:r>
          </w:p>
          <w:p w14:paraId="214EC12B" w14:textId="77777777" w:rsidR="005118E2" w:rsidRPr="005118E2" w:rsidRDefault="005118E2" w:rsidP="00EE197E">
            <w:pPr>
              <w:pStyle w:val="Bulletindent1"/>
            </w:pPr>
            <w:r w:rsidRPr="005118E2">
              <w:t>The consent of the individual and</w:t>
            </w:r>
          </w:p>
          <w:p w14:paraId="65556071" w14:textId="77777777" w:rsidR="005118E2" w:rsidRPr="005118E2" w:rsidRDefault="005118E2" w:rsidP="00EE197E">
            <w:pPr>
              <w:pStyle w:val="Bulletindent1"/>
              <w:numPr>
                <w:ilvl w:val="1"/>
                <w:numId w:val="15"/>
              </w:numPr>
            </w:pPr>
            <w:r w:rsidRPr="005118E2">
              <w:t>If individual is under 13 years of age record action taken</w:t>
            </w:r>
          </w:p>
          <w:p w14:paraId="1761B661" w14:textId="77777777" w:rsidR="005118E2" w:rsidRPr="005118E2" w:rsidRDefault="005118E2" w:rsidP="00EE197E">
            <w:pPr>
              <w:pStyle w:val="Bulletindent1"/>
              <w:numPr>
                <w:ilvl w:val="1"/>
                <w:numId w:val="15"/>
              </w:numPr>
            </w:pPr>
            <w:r w:rsidRPr="005118E2">
              <w:lastRenderedPageBreak/>
              <w:t xml:space="preserve">If individual is under 16 years of age document capacity using Fraser guidelines.  If not competent record action taken.  </w:t>
            </w:r>
          </w:p>
          <w:p w14:paraId="1A9E6D39" w14:textId="77777777" w:rsidR="005118E2" w:rsidRPr="005118E2" w:rsidRDefault="005118E2" w:rsidP="00EE197E">
            <w:pPr>
              <w:pStyle w:val="Bulletindent1"/>
              <w:numPr>
                <w:ilvl w:val="1"/>
                <w:numId w:val="15"/>
              </w:numPr>
            </w:pPr>
            <w:r w:rsidRPr="005118E2">
              <w:t>If individual over 16 years of age and not competent, record action taken</w:t>
            </w:r>
          </w:p>
          <w:p w14:paraId="211C5573" w14:textId="77777777" w:rsidR="00EE197E" w:rsidRPr="00953E4F" w:rsidRDefault="00EE197E" w:rsidP="00EE197E">
            <w:pPr>
              <w:pStyle w:val="Bulletindent1"/>
            </w:pPr>
            <w:r w:rsidRPr="00953E4F">
              <w:t>If individual not treated under PGD record action taken</w:t>
            </w:r>
          </w:p>
          <w:p w14:paraId="4B456D10" w14:textId="61BDDEB1" w:rsidR="00393D73" w:rsidRPr="00073FD5" w:rsidRDefault="00EE197E" w:rsidP="00EE197E">
            <w:pPr>
              <w:pStyle w:val="Bulletindent1"/>
            </w:pPr>
            <w:r>
              <w:t>Name of individual,</w:t>
            </w:r>
            <w:r w:rsidR="00393D73" w:rsidRPr="00073FD5">
              <w:t xml:space="preserve"> address and date of birth</w:t>
            </w:r>
          </w:p>
          <w:p w14:paraId="4175E371" w14:textId="47DA0974" w:rsidR="00393D73" w:rsidRDefault="00EE197E" w:rsidP="00EE197E">
            <w:pPr>
              <w:pStyle w:val="Bulletindent1"/>
            </w:pPr>
            <w:r>
              <w:t>GP contact details where appropriate</w:t>
            </w:r>
          </w:p>
          <w:p w14:paraId="45E07BA5" w14:textId="77777777" w:rsidR="00EE197E" w:rsidRPr="00D83FBB" w:rsidRDefault="00EE197E" w:rsidP="00EE197E">
            <w:pPr>
              <w:pStyle w:val="Bulletindent1"/>
            </w:pPr>
            <w:r w:rsidRPr="00D83FBB">
              <w:t xml:space="preserve">Relevant past and present medical and sexual history, including medication history. </w:t>
            </w:r>
          </w:p>
          <w:p w14:paraId="4FF44B79" w14:textId="77777777" w:rsidR="00EE197E" w:rsidRPr="00D83FBB" w:rsidRDefault="00EE197E" w:rsidP="00EE197E">
            <w:pPr>
              <w:pStyle w:val="Bulletindent1"/>
            </w:pPr>
            <w:r w:rsidRPr="00D83FBB">
              <w:t xml:space="preserve">Examination or microbiology finding/s where relevant.  </w:t>
            </w:r>
          </w:p>
          <w:p w14:paraId="6A003553" w14:textId="77777777" w:rsidR="00EE197E" w:rsidRPr="00D83FBB" w:rsidRDefault="00EE197E" w:rsidP="00EE197E">
            <w:pPr>
              <w:pStyle w:val="Bulletindent1"/>
            </w:pPr>
            <w:r w:rsidRPr="00D83FBB">
              <w:t xml:space="preserve">Any known allergies and nature of reaction </w:t>
            </w:r>
          </w:p>
          <w:p w14:paraId="250A9F39" w14:textId="77777777" w:rsidR="00EE197E" w:rsidRPr="00D83FBB" w:rsidRDefault="00EE197E" w:rsidP="00EE197E">
            <w:pPr>
              <w:pStyle w:val="Bulletindent1"/>
            </w:pPr>
            <w:r w:rsidRPr="00D83FBB">
              <w:t>Name of registered health professional</w:t>
            </w:r>
          </w:p>
          <w:p w14:paraId="238B2108" w14:textId="77777777" w:rsidR="00EE197E" w:rsidRPr="00D83FBB" w:rsidRDefault="00EE197E" w:rsidP="00EE197E">
            <w:pPr>
              <w:pStyle w:val="Bulletindent1"/>
            </w:pPr>
            <w:r w:rsidRPr="00D83FBB">
              <w:t xml:space="preserve">Name of medication supplied </w:t>
            </w:r>
          </w:p>
          <w:p w14:paraId="2B7EE2C9" w14:textId="77777777" w:rsidR="00EE197E" w:rsidRPr="00D83FBB" w:rsidRDefault="00EE197E" w:rsidP="00EE197E">
            <w:pPr>
              <w:pStyle w:val="Bulletindent1"/>
            </w:pPr>
            <w:r w:rsidRPr="00D83FBB">
              <w:t>Date of supply</w:t>
            </w:r>
          </w:p>
          <w:p w14:paraId="3DCEF94F" w14:textId="77777777" w:rsidR="00EE197E" w:rsidRPr="00D83FBB" w:rsidRDefault="00EE197E" w:rsidP="00EE197E">
            <w:pPr>
              <w:pStyle w:val="Bulletindent1"/>
              <w:rPr>
                <w:strike/>
              </w:rPr>
            </w:pPr>
            <w:r w:rsidRPr="00D83FBB">
              <w:t>Dose supplied</w:t>
            </w:r>
          </w:p>
          <w:p w14:paraId="483F1FB2" w14:textId="3F8C427F" w:rsidR="00EE197E" w:rsidRPr="005D649B" w:rsidRDefault="00DB0451" w:rsidP="00EE197E">
            <w:pPr>
              <w:pStyle w:val="Bulletindent1"/>
              <w:rPr>
                <w:highlight w:val="cyan"/>
              </w:rPr>
            </w:pPr>
            <w:r>
              <w:rPr>
                <w:highlight w:val="cyan"/>
              </w:rPr>
              <w:t>[</w:t>
            </w:r>
            <w:r w:rsidR="00EE197E" w:rsidRPr="005D649B">
              <w:rPr>
                <w:highlight w:val="cyan"/>
              </w:rPr>
              <w:t>Quantity supplied including batch number and expiry date in line with local procedures.</w:t>
            </w:r>
            <w:r>
              <w:rPr>
                <w:highlight w:val="cyan"/>
              </w:rPr>
              <w:t>]</w:t>
            </w:r>
            <w:r w:rsidR="00EE197E" w:rsidRPr="005D649B">
              <w:rPr>
                <w:highlight w:val="cyan"/>
              </w:rPr>
              <w:t xml:space="preserve">  </w:t>
            </w:r>
          </w:p>
          <w:p w14:paraId="38AFBAE5" w14:textId="77777777" w:rsidR="00EE197E" w:rsidRPr="004C546E" w:rsidRDefault="00EE197E" w:rsidP="00EE197E">
            <w:pPr>
              <w:pStyle w:val="Bulletindent1"/>
            </w:pPr>
            <w:r w:rsidRPr="004C546E">
              <w:t xml:space="preserve">Advice given about the medication including side effects, benefits, and when and what to do if any concerns  </w:t>
            </w:r>
          </w:p>
          <w:p w14:paraId="48A1A4C1" w14:textId="77777777" w:rsidR="00EE197E" w:rsidRPr="00D83FBB" w:rsidRDefault="00EE197E" w:rsidP="00EE197E">
            <w:pPr>
              <w:pStyle w:val="Bulletindent1"/>
            </w:pPr>
            <w:r w:rsidRPr="00D83FBB">
              <w:t>Advice given, including advice given if excluded or declines treatment</w:t>
            </w:r>
          </w:p>
          <w:p w14:paraId="7C3A577A" w14:textId="77777777" w:rsidR="00EE197E" w:rsidRPr="00D83FBB" w:rsidRDefault="00EE197E" w:rsidP="00EE197E">
            <w:pPr>
              <w:pStyle w:val="Bulletindent1"/>
            </w:pPr>
            <w:r w:rsidRPr="00D83FBB">
              <w:t>Details of any adverse drug reactions and actions taken</w:t>
            </w:r>
          </w:p>
          <w:p w14:paraId="653ADB94" w14:textId="77777777" w:rsidR="00EE197E" w:rsidRPr="00D83FBB" w:rsidRDefault="00EE197E" w:rsidP="00EE197E">
            <w:pPr>
              <w:pStyle w:val="Bulletindent1"/>
            </w:pPr>
            <w:r w:rsidRPr="00D83FBB">
              <w:t>Any referral arrangements made</w:t>
            </w:r>
          </w:p>
          <w:p w14:paraId="1E06AB23" w14:textId="77777777" w:rsidR="00EE197E" w:rsidRPr="00D83FBB" w:rsidRDefault="00EE197E" w:rsidP="00EE197E">
            <w:pPr>
              <w:pStyle w:val="Bulletindent1"/>
            </w:pPr>
            <w:r w:rsidRPr="00D83FBB">
              <w:t>Any supply outside the terms of the product marketing authorisation</w:t>
            </w:r>
          </w:p>
          <w:p w14:paraId="53A4E58A" w14:textId="45B74183" w:rsidR="00EE197E" w:rsidRPr="00073FD5" w:rsidRDefault="00EE197E" w:rsidP="00EE197E">
            <w:pPr>
              <w:pStyle w:val="Bulletindent1"/>
            </w:pPr>
            <w:r w:rsidRPr="00D83FBB">
              <w:t>Recorded that supplied via Patient Group Direction (PGD)</w:t>
            </w:r>
          </w:p>
          <w:p w14:paraId="079E720E" w14:textId="77777777" w:rsidR="005C1E3B" w:rsidRDefault="005C1E3B" w:rsidP="00EE197E">
            <w:pPr>
              <w:pStyle w:val="Bulletindent1"/>
            </w:pPr>
            <w:r>
              <w:t>All</w:t>
            </w:r>
            <w:r w:rsidRPr="00F01E1A">
              <w:t xml:space="preserve"> records should be kept </w:t>
            </w:r>
            <w:r>
              <w:t xml:space="preserve">in line with </w:t>
            </w:r>
            <w:hyperlink r:id="rId43" w:history="1">
              <w:r>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7FDF412C" w14:textId="77777777" w:rsidR="00393D73" w:rsidRPr="00F01E1A" w:rsidRDefault="00393D73" w:rsidP="00393D73">
            <w:pPr>
              <w:pStyle w:val="TableParagraph"/>
              <w:ind w:left="321"/>
              <w:rPr>
                <w:rFonts w:ascii="Arial" w:hAnsi="Arial" w:cs="Arial"/>
                <w:iCs/>
                <w:lang w:val="en-GB"/>
              </w:rPr>
            </w:pPr>
          </w:p>
          <w:p w14:paraId="32D438DC" w14:textId="191A876D" w:rsidR="00393D73" w:rsidRPr="005C1E3B" w:rsidRDefault="00393D73" w:rsidP="005C1E3B">
            <w:pPr>
              <w:pStyle w:val="Tabletext"/>
              <w:rPr>
                <w:b/>
                <w:bCs/>
              </w:rPr>
            </w:pPr>
            <w:r w:rsidRPr="005C1E3B">
              <w:rPr>
                <w:b/>
                <w:bCs/>
              </w:rPr>
              <w:lastRenderedPageBreak/>
              <w:t xml:space="preserve">Records must be signed and dated (or password controlled e-records). </w:t>
            </w:r>
          </w:p>
          <w:p w14:paraId="12961DC7" w14:textId="77777777" w:rsidR="00393D73" w:rsidRPr="005C1E3B" w:rsidRDefault="00393D73" w:rsidP="005C1E3B">
            <w:pPr>
              <w:pStyle w:val="Tabletext"/>
              <w:rPr>
                <w:b/>
                <w:bCs/>
              </w:rPr>
            </w:pPr>
          </w:p>
          <w:p w14:paraId="24010435" w14:textId="77777777" w:rsidR="00393D73" w:rsidRPr="005C1E3B" w:rsidRDefault="00393D73" w:rsidP="005C1E3B">
            <w:pPr>
              <w:pStyle w:val="Tabletext"/>
              <w:rPr>
                <w:b/>
                <w:bCs/>
              </w:rPr>
            </w:pPr>
            <w:r w:rsidRPr="005C1E3B">
              <w:rPr>
                <w:b/>
                <w:bCs/>
              </w:rPr>
              <w:t>All records must be clear, legible and contemporaneous.</w:t>
            </w:r>
          </w:p>
          <w:p w14:paraId="560B1F79" w14:textId="77777777" w:rsidR="00393D73" w:rsidRPr="005C1E3B" w:rsidRDefault="00393D73" w:rsidP="005C1E3B">
            <w:pPr>
              <w:pStyle w:val="Tabletext"/>
              <w:rPr>
                <w:b/>
                <w:bCs/>
              </w:rPr>
            </w:pPr>
          </w:p>
          <w:p w14:paraId="4AF5F403" w14:textId="3C28A201" w:rsidR="00393D73" w:rsidRPr="00EE197E" w:rsidRDefault="00393D73" w:rsidP="00EE197E">
            <w:pPr>
              <w:pStyle w:val="Tabletext"/>
              <w:rPr>
                <w:b/>
                <w:bCs/>
              </w:rPr>
            </w:pPr>
            <w:r w:rsidRPr="005C1E3B">
              <w:rPr>
                <w:b/>
                <w:bCs/>
              </w:rPr>
              <w:t xml:space="preserve">A record of all individuals receiving treatment under this PGD should also be kept for audit purposes in accordance with local policy. </w:t>
            </w:r>
          </w:p>
        </w:tc>
      </w:tr>
    </w:tbl>
    <w:p w14:paraId="53B0192F" w14:textId="77777777" w:rsidR="00BB2599" w:rsidRPr="00BB2599" w:rsidRDefault="00BB2599" w:rsidP="005A6168">
      <w:pPr>
        <w:pStyle w:val="PGDNormal"/>
      </w:pPr>
    </w:p>
    <w:bookmarkEnd w:id="3"/>
    <w:p w14:paraId="74DEDA30" w14:textId="571C23E9"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FC4ACC">
        <w:t xml:space="preserve">December </w:t>
      </w:r>
      <w:r w:rsidR="00393D73">
        <w:t>2025</w:t>
      </w:r>
      <w:r w:rsidR="00510425" w:rsidRPr="00DF77C7">
        <w:t>)</w:t>
      </w:r>
    </w:p>
    <w:p w14:paraId="6C602359" w14:textId="09BCE4F7" w:rsidR="00393D73" w:rsidRPr="00393D73" w:rsidRDefault="00A77DF8" w:rsidP="00393D73">
      <w:pPr>
        <w:pStyle w:val="Bulletindent1"/>
        <w:rPr>
          <w:szCs w:val="22"/>
          <w:lang w:eastAsia="en-GB"/>
        </w:rPr>
      </w:pPr>
      <w:hyperlink r:id="rId44" w:history="1">
        <w:hyperlink r:id="rId45" w:history="1">
          <w:r>
            <w:rPr>
              <w:rStyle w:val="Hyperlink"/>
              <w:lang w:eastAsia="en-GB"/>
            </w:rPr>
            <w:t>Summary of Product Characteristics (SmPC)  accessed on the EMC website</w:t>
          </w:r>
        </w:hyperlink>
        <w:r w:rsidR="00355BB4">
          <w:rPr>
            <w:rStyle w:val="Hyperlink"/>
            <w:szCs w:val="22"/>
            <w:lang w:eastAsia="en-GB"/>
          </w:rPr>
          <w:t xml:space="preserve"> </w:t>
        </w:r>
      </w:hyperlink>
    </w:p>
    <w:p w14:paraId="3F390465" w14:textId="4F2738A6" w:rsidR="00393D73" w:rsidRPr="00A77DF8" w:rsidRDefault="00393D73" w:rsidP="00393D73">
      <w:pPr>
        <w:pStyle w:val="Bulletindent1"/>
        <w:rPr>
          <w:szCs w:val="22"/>
          <w:lang w:eastAsia="en-GB"/>
        </w:rPr>
      </w:pPr>
      <w:hyperlink r:id="rId46" w:history="1">
        <w:r w:rsidRPr="00487448">
          <w:rPr>
            <w:rStyle w:val="Hyperlink"/>
            <w:szCs w:val="22"/>
            <w:lang w:eastAsia="en-GB"/>
          </w:rPr>
          <w:t>Electronic BNF</w:t>
        </w:r>
      </w:hyperlink>
    </w:p>
    <w:p w14:paraId="096A624C" w14:textId="5BD2DCCA" w:rsidR="00393D73" w:rsidRPr="00393D73" w:rsidRDefault="00393D73" w:rsidP="00393D73">
      <w:pPr>
        <w:pStyle w:val="Bulletindent1"/>
        <w:rPr>
          <w:rFonts w:cs="Arial"/>
          <w:szCs w:val="22"/>
          <w:lang w:eastAsia="en-GB"/>
        </w:rPr>
      </w:pPr>
      <w:hyperlink r:id="rId47"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157F2718" w14:textId="64459E34" w:rsidR="005118E2" w:rsidRPr="00FC4ACC" w:rsidRDefault="00454638" w:rsidP="00FC4ACC">
      <w:pPr>
        <w:pStyle w:val="Bulletindent1"/>
        <w:rPr>
          <w:szCs w:val="22"/>
          <w:lang w:eastAsia="en-GB"/>
        </w:rPr>
      </w:pPr>
      <w:hyperlink r:id="rId48" w:history="1">
        <w:r>
          <w:rPr>
            <w:rStyle w:val="Hyperlink"/>
            <w:szCs w:val="22"/>
            <w:lang w:eastAsia="en-GB"/>
          </w:rPr>
          <w:t>NICE Medicines practice guideline MPG2 - Patient Group Directions - Last Updated 27 March 2017</w:t>
        </w:r>
      </w:hyperlink>
    </w:p>
    <w:p w14:paraId="4A0B8F52" w14:textId="523C9CE0" w:rsidR="005118E2" w:rsidRPr="00830DC6" w:rsidRDefault="005118E2" w:rsidP="005118E2">
      <w:pPr>
        <w:pStyle w:val="Bulletindent1"/>
      </w:pPr>
      <w:hyperlink r:id="rId49" w:history="1">
        <w:r w:rsidRPr="00FC4ACC">
          <w:rPr>
            <w:rStyle w:val="Hyperlink"/>
          </w:rPr>
          <w:t>British Association for Sexual Health and HIV (BASHH) (2021) Guideline</w:t>
        </w:r>
        <w:r w:rsidR="00FC4ACC" w:rsidRPr="00FC4ACC">
          <w:rPr>
            <w:rStyle w:val="Hyperlink"/>
          </w:rPr>
          <w:t xml:space="preserve"> on </w:t>
        </w:r>
        <w:r w:rsidRPr="00FC4ACC">
          <w:rPr>
            <w:rStyle w:val="Hyperlink"/>
          </w:rPr>
          <w:t xml:space="preserve"> </w:t>
        </w:r>
        <w:r w:rsidRPr="00FC4ACC">
          <w:rPr>
            <w:rStyle w:val="Hyperlink"/>
            <w:i/>
            <w:iCs/>
          </w:rPr>
          <w:t xml:space="preserve">Trichomonas </w:t>
        </w:r>
        <w:r w:rsidR="00FC4ACC" w:rsidRPr="00FC4ACC">
          <w:rPr>
            <w:rStyle w:val="Hyperlink"/>
            <w:i/>
            <w:iCs/>
          </w:rPr>
          <w:t>v</w:t>
        </w:r>
        <w:r w:rsidRPr="00FC4ACC">
          <w:rPr>
            <w:rStyle w:val="Hyperlink"/>
            <w:i/>
            <w:iCs/>
          </w:rPr>
          <w:t>aginalis</w:t>
        </w:r>
        <w:r w:rsidRPr="00FC4ACC">
          <w:rPr>
            <w:rStyle w:val="Hyperlink"/>
          </w:rPr>
          <w:t xml:space="preserve">   </w:t>
        </w:r>
      </w:hyperlink>
      <w:r>
        <w:t xml:space="preserve"> </w:t>
      </w:r>
    </w:p>
    <w:p w14:paraId="38862132" w14:textId="2F152CC8" w:rsidR="005118E2" w:rsidRPr="00413674" w:rsidRDefault="005118E2" w:rsidP="005118E2">
      <w:pPr>
        <w:pStyle w:val="Bulletindent1"/>
      </w:pPr>
      <w:hyperlink r:id="rId50" w:history="1">
        <w:r w:rsidRPr="00FC4ACC">
          <w:rPr>
            <w:rStyle w:val="Hyperlink"/>
          </w:rPr>
          <w:t>British Association for Sexual Health and HIV (BASHH) (201</w:t>
        </w:r>
        <w:r w:rsidR="00FC4ACC" w:rsidRPr="00FC4ACC">
          <w:rPr>
            <w:rStyle w:val="Hyperlink"/>
          </w:rPr>
          <w:t>2</w:t>
        </w:r>
        <w:r w:rsidRPr="00FC4ACC">
          <w:rPr>
            <w:rStyle w:val="Hyperlink"/>
          </w:rPr>
          <w:t>) Guideline</w:t>
        </w:r>
        <w:r w:rsidR="00FC4ACC" w:rsidRPr="00FC4ACC">
          <w:rPr>
            <w:rStyle w:val="Hyperlink"/>
          </w:rPr>
          <w:t xml:space="preserve"> on </w:t>
        </w:r>
        <w:r w:rsidRPr="00FC4ACC">
          <w:rPr>
            <w:rStyle w:val="Hyperlink"/>
          </w:rPr>
          <w:t xml:space="preserve">Bacterial </w:t>
        </w:r>
        <w:r w:rsidR="00FC4ACC" w:rsidRPr="00FC4ACC">
          <w:rPr>
            <w:rStyle w:val="Hyperlink"/>
          </w:rPr>
          <w:t>v</w:t>
        </w:r>
        <w:r w:rsidRPr="00FC4ACC">
          <w:rPr>
            <w:rStyle w:val="Hyperlink"/>
          </w:rPr>
          <w:t>aginosis</w:t>
        </w:r>
      </w:hyperlink>
      <w:r>
        <w:t xml:space="preserve"> </w:t>
      </w:r>
    </w:p>
    <w:p w14:paraId="0CB43DEE" w14:textId="7FAB68A3" w:rsidR="005118E2" w:rsidRPr="00413674" w:rsidRDefault="005118E2" w:rsidP="005118E2">
      <w:pPr>
        <w:pStyle w:val="Bulletindent1"/>
      </w:pPr>
      <w:hyperlink r:id="rId51" w:history="1">
        <w:r w:rsidRPr="00792BF3">
          <w:rPr>
            <w:rStyle w:val="Hyperlink"/>
          </w:rPr>
          <w:t>NICE Clinical Knowledge Summaries</w:t>
        </w:r>
      </w:hyperlink>
      <w:r w:rsidRPr="00413674">
        <w:t xml:space="preserve"> </w:t>
      </w:r>
      <w:r w:rsidR="00392781" w:rsidRPr="00413674" w:rsidDel="00392781">
        <w:t xml:space="preserve"> </w:t>
      </w:r>
    </w:p>
    <w:p w14:paraId="79B880DD" w14:textId="1246850F" w:rsidR="005118E2" w:rsidRDefault="005118E2" w:rsidP="005118E2">
      <w:pPr>
        <w:pStyle w:val="Bulletindent1"/>
        <w:rPr>
          <w:lang w:val="en-US"/>
        </w:rPr>
      </w:pPr>
      <w:hyperlink r:id="rId52" w:history="1">
        <w:r w:rsidRPr="00FC4ACC">
          <w:rPr>
            <w:rStyle w:val="Hyperlink"/>
            <w:lang w:val="en-US"/>
          </w:rPr>
          <w:t xml:space="preserve">Royal Pharmaceutical Society </w:t>
        </w:r>
        <w:r w:rsidR="00FC4ACC" w:rsidRPr="00FC4ACC">
          <w:rPr>
            <w:rStyle w:val="Hyperlink"/>
            <w:lang w:val="en-US"/>
          </w:rPr>
          <w:t xml:space="preserve">(RPS) (2018) guidance on </w:t>
        </w:r>
        <w:r w:rsidRPr="00FC4ACC">
          <w:rPr>
            <w:rStyle w:val="Hyperlink"/>
            <w:lang w:val="en-US"/>
          </w:rPr>
          <w:t>Safe and Secure Handling of Medicines</w:t>
        </w:r>
      </w:hyperlink>
      <w:r w:rsidRPr="00D83FBB">
        <w:rPr>
          <w:lang w:val="en-US"/>
        </w:rPr>
        <w:t xml:space="preserve"> </w:t>
      </w:r>
    </w:p>
    <w:p w14:paraId="694A802C" w14:textId="320EEE68" w:rsidR="00606847" w:rsidRPr="00F353AF" w:rsidRDefault="00606847" w:rsidP="005118E2">
      <w:pPr>
        <w:pStyle w:val="Bulletindent1"/>
        <w:rPr>
          <w:lang w:val="en-US"/>
        </w:rPr>
      </w:pPr>
      <w:hyperlink r:id="rId53" w:history="1">
        <w:r w:rsidRPr="00606847">
          <w:rPr>
            <w:rStyle w:val="Hyperlink"/>
            <w:lang w:val="en-US"/>
          </w:rPr>
          <w:t>SPS article on using metronidazole during breastfeeding</w:t>
        </w:r>
      </w:hyperlink>
      <w:r>
        <w:rPr>
          <w:lang w:val="en-US"/>
        </w:rPr>
        <w:t xml:space="preserve"> </w:t>
      </w:r>
    </w:p>
    <w:p w14:paraId="068AB94A" w14:textId="6A0BC174" w:rsidR="00533F89" w:rsidRPr="00533F89" w:rsidRDefault="005118E2" w:rsidP="005118E2">
      <w:pPr>
        <w:pStyle w:val="Bulletindent1"/>
        <w:rPr>
          <w:lang w:eastAsia="en-GB"/>
        </w:rPr>
      </w:pPr>
      <w:hyperlink r:id="rId54" w:anchor=":~:text=QT" w:history="1">
        <w:r w:rsidRPr="00FC4ACC">
          <w:rPr>
            <w:rStyle w:val="Hyperlink"/>
            <w:lang w:val="en-US"/>
          </w:rPr>
          <w:t>S</w:t>
        </w:r>
        <w:r w:rsidR="00FC4ACC" w:rsidRPr="00FC4ACC">
          <w:rPr>
            <w:rStyle w:val="Hyperlink"/>
            <w:lang w:val="en-US"/>
          </w:rPr>
          <w:t>PS article on i</w:t>
        </w:r>
        <w:r w:rsidRPr="00FC4ACC">
          <w:rPr>
            <w:rStyle w:val="Hyperlink"/>
            <w:lang w:val="en-US"/>
          </w:rPr>
          <w:t>dentifying risk factors for developing a long QT interval</w:t>
        </w:r>
      </w:hyperlink>
      <w:r>
        <w:rPr>
          <w:lang w:val="en-US"/>
        </w:rPr>
        <w:t xml:space="preserve"> </w:t>
      </w:r>
      <w:r w:rsidR="007A1448"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49C6FE57" w14:textId="16F42563" w:rsidR="00510425" w:rsidRPr="00DF77C7" w:rsidRDefault="00510425" w:rsidP="00510425">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5"/>
      <w:headerReference w:type="default" r:id="rId56"/>
      <w:footerReference w:type="default" r:id="rId57"/>
      <w:headerReference w:type="first" r:id="rId5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1141" w14:textId="77777777" w:rsidR="00F16683" w:rsidRPr="00DF77C7" w:rsidRDefault="00F16683">
      <w:r w:rsidRPr="00DF77C7">
        <w:separator/>
      </w:r>
    </w:p>
  </w:endnote>
  <w:endnote w:type="continuationSeparator" w:id="0">
    <w:p w14:paraId="10C35005" w14:textId="77777777" w:rsidR="00F16683" w:rsidRPr="00DF77C7" w:rsidRDefault="00F16683">
      <w:r w:rsidRPr="00DF77C7">
        <w:continuationSeparator/>
      </w:r>
    </w:p>
  </w:endnote>
  <w:endnote w:type="continuationNotice" w:id="1">
    <w:p w14:paraId="7ABE572C" w14:textId="77777777" w:rsidR="00F16683" w:rsidRDefault="00F1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1D21" w14:textId="77777777" w:rsidR="00F16683" w:rsidRPr="00DF77C7" w:rsidRDefault="00F16683">
      <w:r w:rsidRPr="00DF77C7">
        <w:separator/>
      </w:r>
    </w:p>
  </w:footnote>
  <w:footnote w:type="continuationSeparator" w:id="0">
    <w:p w14:paraId="2BE70F32" w14:textId="77777777" w:rsidR="00F16683" w:rsidRPr="00DF77C7" w:rsidRDefault="00F16683">
      <w:r w:rsidRPr="00DF77C7">
        <w:continuationSeparator/>
      </w:r>
    </w:p>
  </w:footnote>
  <w:footnote w:type="continuationNotice" w:id="1">
    <w:p w14:paraId="33B4516B" w14:textId="77777777" w:rsidR="00F16683" w:rsidRDefault="00F16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00000">
    <w:pPr>
      <w:pStyle w:val="Header"/>
    </w:pPr>
    <w:r>
      <w:rPr>
        <w:noProof/>
      </w:rPr>
      <w:pict w14:anchorId="03880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114" type="#_x0000_t136" alt="" style="position:absolute;margin-left:0;margin-top:0;width:490.5pt;height:1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00000" w:rsidP="00E27D26">
    <w:pPr>
      <w:pStyle w:val="Header"/>
      <w:rPr>
        <w:sz w:val="16"/>
        <w:szCs w:val="16"/>
      </w:rPr>
    </w:pPr>
    <w:r>
      <w:rPr>
        <w:noProof/>
        <w:sz w:val="22"/>
        <w:szCs w:val="22"/>
      </w:rPr>
      <w:pict w14:anchorId="5FC33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113" type="#_x0000_t136" alt="" style="position:absolute;margin-left:0;margin-top:0;width:490.5pt;height:1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00000">
    <w:pPr>
      <w:pStyle w:val="Header"/>
    </w:pPr>
    <w:r>
      <w:rPr>
        <w:noProof/>
      </w:rPr>
      <w:pict w14:anchorId="6E0E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112" type="#_x0000_t136" alt="" style="position:absolute;margin-left:0;margin-top:0;width:490.5pt;height:1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54EEE"/>
    <w:multiLevelType w:val="hybridMultilevel"/>
    <w:tmpl w:val="797AA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35727"/>
    <w:multiLevelType w:val="hybridMultilevel"/>
    <w:tmpl w:val="8076D0CE"/>
    <w:lvl w:ilvl="0" w:tplc="08090001">
      <w:start w:val="1"/>
      <w:numFmt w:val="bullet"/>
      <w:lvlText w:val=""/>
      <w:lvlJc w:val="left"/>
      <w:pPr>
        <w:ind w:left="1797" w:hanging="360"/>
      </w:pPr>
      <w:rPr>
        <w:rFonts w:ascii="Symbol" w:hAnsi="Symbol" w:hint="default"/>
      </w:rPr>
    </w:lvl>
    <w:lvl w:ilvl="1" w:tplc="08090003">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0EB13C71"/>
    <w:multiLevelType w:val="hybridMultilevel"/>
    <w:tmpl w:val="E1F0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C8739D"/>
    <w:multiLevelType w:val="hybridMultilevel"/>
    <w:tmpl w:val="2AC062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07AC7"/>
    <w:multiLevelType w:val="hybridMultilevel"/>
    <w:tmpl w:val="94449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1B41"/>
    <w:multiLevelType w:val="hybridMultilevel"/>
    <w:tmpl w:val="47B43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F306F"/>
    <w:multiLevelType w:val="hybridMultilevel"/>
    <w:tmpl w:val="3F002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8F45F7"/>
    <w:multiLevelType w:val="hybridMultilevel"/>
    <w:tmpl w:val="C7C8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4D81"/>
    <w:multiLevelType w:val="hybridMultilevel"/>
    <w:tmpl w:val="3F307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826D5"/>
    <w:multiLevelType w:val="hybridMultilevel"/>
    <w:tmpl w:val="FE2CA476"/>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A0DE8"/>
    <w:multiLevelType w:val="hybridMultilevel"/>
    <w:tmpl w:val="60B8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671F5"/>
    <w:multiLevelType w:val="hybridMultilevel"/>
    <w:tmpl w:val="2512A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0A1EC7"/>
    <w:multiLevelType w:val="hybridMultilevel"/>
    <w:tmpl w:val="C136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996A98"/>
    <w:multiLevelType w:val="hybridMultilevel"/>
    <w:tmpl w:val="20D8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4F62722"/>
    <w:multiLevelType w:val="multilevel"/>
    <w:tmpl w:val="61F6A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9DA4E56"/>
    <w:multiLevelType w:val="hybridMultilevel"/>
    <w:tmpl w:val="A202CD6E"/>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2" w15:restartNumberingAfterBreak="0">
    <w:nsid w:val="5A1B0E55"/>
    <w:multiLevelType w:val="hybridMultilevel"/>
    <w:tmpl w:val="170A4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577D66"/>
    <w:multiLevelType w:val="hybridMultilevel"/>
    <w:tmpl w:val="EBB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3B6463"/>
    <w:multiLevelType w:val="hybridMultilevel"/>
    <w:tmpl w:val="041C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C4F0F"/>
    <w:multiLevelType w:val="hybridMultilevel"/>
    <w:tmpl w:val="5B4ABBE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9" w15:restartNumberingAfterBreak="0">
    <w:nsid w:val="72A6234E"/>
    <w:multiLevelType w:val="hybridMultilevel"/>
    <w:tmpl w:val="03EE1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8B86BE8"/>
    <w:multiLevelType w:val="hybridMultilevel"/>
    <w:tmpl w:val="FB1C2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BE70D9"/>
    <w:multiLevelType w:val="hybridMultilevel"/>
    <w:tmpl w:val="5C325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D440A5"/>
    <w:multiLevelType w:val="hybridMultilevel"/>
    <w:tmpl w:val="5206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9433B"/>
    <w:multiLevelType w:val="hybridMultilevel"/>
    <w:tmpl w:val="C70C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5"/>
  </w:num>
  <w:num w:numId="2" w16cid:durableId="460340545">
    <w:abstractNumId w:val="17"/>
  </w:num>
  <w:num w:numId="3" w16cid:durableId="862549155">
    <w:abstractNumId w:val="40"/>
  </w:num>
  <w:num w:numId="4" w16cid:durableId="1902785077">
    <w:abstractNumId w:val="41"/>
  </w:num>
  <w:num w:numId="5" w16cid:durableId="1400252542">
    <w:abstractNumId w:val="28"/>
  </w:num>
  <w:num w:numId="6" w16cid:durableId="585113440">
    <w:abstractNumId w:val="15"/>
  </w:num>
  <w:num w:numId="7" w16cid:durableId="1512915418">
    <w:abstractNumId w:val="38"/>
  </w:num>
  <w:num w:numId="8" w16cid:durableId="759831936">
    <w:abstractNumId w:val="47"/>
  </w:num>
  <w:num w:numId="9" w16cid:durableId="1747412429">
    <w:abstractNumId w:val="5"/>
  </w:num>
  <w:num w:numId="10" w16cid:durableId="1297833641">
    <w:abstractNumId w:val="1"/>
  </w:num>
  <w:num w:numId="11" w16cid:durableId="1684160055">
    <w:abstractNumId w:val="46"/>
  </w:num>
  <w:num w:numId="12" w16cid:durableId="1610894224">
    <w:abstractNumId w:val="48"/>
  </w:num>
  <w:num w:numId="13" w16cid:durableId="1880973297">
    <w:abstractNumId w:val="26"/>
  </w:num>
  <w:num w:numId="14" w16cid:durableId="77676389">
    <w:abstractNumId w:val="8"/>
  </w:num>
  <w:num w:numId="15" w16cid:durableId="1496384920">
    <w:abstractNumId w:val="24"/>
  </w:num>
  <w:num w:numId="16" w16cid:durableId="441388192">
    <w:abstractNumId w:val="36"/>
    <w:lvlOverride w:ilvl="0">
      <w:startOverride w:val="1"/>
    </w:lvlOverride>
  </w:num>
  <w:num w:numId="17" w16cid:durableId="73867840">
    <w:abstractNumId w:val="9"/>
    <w:lvlOverride w:ilvl="0">
      <w:startOverride w:val="1"/>
    </w:lvlOverride>
  </w:num>
  <w:num w:numId="18" w16cid:durableId="373623662">
    <w:abstractNumId w:val="0"/>
  </w:num>
  <w:num w:numId="19" w16cid:durableId="1537817930">
    <w:abstractNumId w:val="37"/>
  </w:num>
  <w:num w:numId="20" w16cid:durableId="1760635555">
    <w:abstractNumId w:val="31"/>
  </w:num>
  <w:num w:numId="21" w16cid:durableId="2041003479">
    <w:abstractNumId w:val="30"/>
  </w:num>
  <w:num w:numId="22" w16cid:durableId="1256211317">
    <w:abstractNumId w:val="19"/>
  </w:num>
  <w:num w:numId="23" w16cid:durableId="1063525400">
    <w:abstractNumId w:val="6"/>
  </w:num>
  <w:num w:numId="24" w16cid:durableId="1923709908">
    <w:abstractNumId w:val="21"/>
  </w:num>
  <w:num w:numId="25" w16cid:durableId="168561803">
    <w:abstractNumId w:val="43"/>
  </w:num>
  <w:num w:numId="26" w16cid:durableId="502207742">
    <w:abstractNumId w:val="27"/>
  </w:num>
  <w:num w:numId="27" w16cid:durableId="1909223377">
    <w:abstractNumId w:val="24"/>
  </w:num>
  <w:num w:numId="28" w16cid:durableId="1832520349">
    <w:abstractNumId w:val="32"/>
  </w:num>
  <w:num w:numId="29" w16cid:durableId="169679044">
    <w:abstractNumId w:val="23"/>
  </w:num>
  <w:num w:numId="30" w16cid:durableId="1910188767">
    <w:abstractNumId w:val="44"/>
  </w:num>
  <w:num w:numId="31" w16cid:durableId="1273318012">
    <w:abstractNumId w:val="20"/>
  </w:num>
  <w:num w:numId="32" w16cid:durableId="316110850">
    <w:abstractNumId w:val="11"/>
  </w:num>
  <w:num w:numId="33" w16cid:durableId="1174294933">
    <w:abstractNumId w:val="2"/>
  </w:num>
  <w:num w:numId="34" w16cid:durableId="2056344230">
    <w:abstractNumId w:val="45"/>
  </w:num>
  <w:num w:numId="35" w16cid:durableId="170337321">
    <w:abstractNumId w:val="42"/>
  </w:num>
  <w:num w:numId="36" w16cid:durableId="1440831257">
    <w:abstractNumId w:val="10"/>
  </w:num>
  <w:num w:numId="37" w16cid:durableId="658925183">
    <w:abstractNumId w:val="34"/>
  </w:num>
  <w:num w:numId="38" w16cid:durableId="764377288">
    <w:abstractNumId w:val="33"/>
  </w:num>
  <w:num w:numId="39" w16cid:durableId="1285887271">
    <w:abstractNumId w:val="14"/>
  </w:num>
  <w:num w:numId="40" w16cid:durableId="1302078406">
    <w:abstractNumId w:val="12"/>
  </w:num>
  <w:num w:numId="41" w16cid:durableId="1683969293">
    <w:abstractNumId w:val="3"/>
  </w:num>
  <w:num w:numId="42" w16cid:durableId="700933995">
    <w:abstractNumId w:val="16"/>
  </w:num>
  <w:num w:numId="43" w16cid:durableId="719404991">
    <w:abstractNumId w:val="25"/>
  </w:num>
  <w:num w:numId="44" w16cid:durableId="760301579">
    <w:abstractNumId w:val="7"/>
  </w:num>
  <w:num w:numId="45" w16cid:durableId="2099977327">
    <w:abstractNumId w:val="4"/>
  </w:num>
  <w:num w:numId="46" w16cid:durableId="936132325">
    <w:abstractNumId w:val="18"/>
  </w:num>
  <w:num w:numId="47" w16cid:durableId="1479684388">
    <w:abstractNumId w:val="39"/>
  </w:num>
  <w:num w:numId="48" w16cid:durableId="122102136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CF7"/>
    <w:rsid w:val="00017F41"/>
    <w:rsid w:val="00020F4D"/>
    <w:rsid w:val="00022601"/>
    <w:rsid w:val="0002298F"/>
    <w:rsid w:val="00024FDE"/>
    <w:rsid w:val="00025EBC"/>
    <w:rsid w:val="00026393"/>
    <w:rsid w:val="000267D5"/>
    <w:rsid w:val="00031D6D"/>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367A"/>
    <w:rsid w:val="000661B3"/>
    <w:rsid w:val="00071312"/>
    <w:rsid w:val="00072490"/>
    <w:rsid w:val="0007357B"/>
    <w:rsid w:val="00073743"/>
    <w:rsid w:val="00073A2D"/>
    <w:rsid w:val="00073B6D"/>
    <w:rsid w:val="0007473C"/>
    <w:rsid w:val="00076494"/>
    <w:rsid w:val="00081B91"/>
    <w:rsid w:val="000856ED"/>
    <w:rsid w:val="000912CD"/>
    <w:rsid w:val="00091E6A"/>
    <w:rsid w:val="00094700"/>
    <w:rsid w:val="00094814"/>
    <w:rsid w:val="00095CC0"/>
    <w:rsid w:val="00096257"/>
    <w:rsid w:val="00097675"/>
    <w:rsid w:val="000A016E"/>
    <w:rsid w:val="000A0A12"/>
    <w:rsid w:val="000A0B03"/>
    <w:rsid w:val="000A4616"/>
    <w:rsid w:val="000A7224"/>
    <w:rsid w:val="000A7F4E"/>
    <w:rsid w:val="000B11F9"/>
    <w:rsid w:val="000B2929"/>
    <w:rsid w:val="000B2B38"/>
    <w:rsid w:val="000B2D26"/>
    <w:rsid w:val="000B3C9A"/>
    <w:rsid w:val="000B451C"/>
    <w:rsid w:val="000B4722"/>
    <w:rsid w:val="000B6CB9"/>
    <w:rsid w:val="000C2D31"/>
    <w:rsid w:val="000C596E"/>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024C3"/>
    <w:rsid w:val="00102DFD"/>
    <w:rsid w:val="00110308"/>
    <w:rsid w:val="00110E70"/>
    <w:rsid w:val="001114C3"/>
    <w:rsid w:val="00112BE0"/>
    <w:rsid w:val="00114F02"/>
    <w:rsid w:val="0011562D"/>
    <w:rsid w:val="00115995"/>
    <w:rsid w:val="00120033"/>
    <w:rsid w:val="00120C76"/>
    <w:rsid w:val="001260CA"/>
    <w:rsid w:val="00126751"/>
    <w:rsid w:val="001309D6"/>
    <w:rsid w:val="00130C0D"/>
    <w:rsid w:val="001344E7"/>
    <w:rsid w:val="00135D99"/>
    <w:rsid w:val="00136BE0"/>
    <w:rsid w:val="001377F0"/>
    <w:rsid w:val="00137A0B"/>
    <w:rsid w:val="00142D2D"/>
    <w:rsid w:val="00143108"/>
    <w:rsid w:val="00143215"/>
    <w:rsid w:val="001438F2"/>
    <w:rsid w:val="00143F12"/>
    <w:rsid w:val="001450CF"/>
    <w:rsid w:val="001452AF"/>
    <w:rsid w:val="001500A6"/>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50D1"/>
    <w:rsid w:val="001751C5"/>
    <w:rsid w:val="0017669F"/>
    <w:rsid w:val="001767BB"/>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0CA0"/>
    <w:rsid w:val="001C241E"/>
    <w:rsid w:val="001C24ED"/>
    <w:rsid w:val="001C5B43"/>
    <w:rsid w:val="001D4AB6"/>
    <w:rsid w:val="001D6967"/>
    <w:rsid w:val="001D6E37"/>
    <w:rsid w:val="001D7020"/>
    <w:rsid w:val="001D7D3D"/>
    <w:rsid w:val="001E006A"/>
    <w:rsid w:val="001E13E0"/>
    <w:rsid w:val="001E3238"/>
    <w:rsid w:val="001E42CD"/>
    <w:rsid w:val="001E7E43"/>
    <w:rsid w:val="001F0DB2"/>
    <w:rsid w:val="001F1FD3"/>
    <w:rsid w:val="001F3071"/>
    <w:rsid w:val="001F3214"/>
    <w:rsid w:val="001F32F9"/>
    <w:rsid w:val="001F6143"/>
    <w:rsid w:val="001F6668"/>
    <w:rsid w:val="001F7697"/>
    <w:rsid w:val="0020051D"/>
    <w:rsid w:val="002017BB"/>
    <w:rsid w:val="00202047"/>
    <w:rsid w:val="002206F3"/>
    <w:rsid w:val="00221439"/>
    <w:rsid w:val="00225F9D"/>
    <w:rsid w:val="00226222"/>
    <w:rsid w:val="00226447"/>
    <w:rsid w:val="00234E43"/>
    <w:rsid w:val="00235023"/>
    <w:rsid w:val="00237A35"/>
    <w:rsid w:val="002406C4"/>
    <w:rsid w:val="00243191"/>
    <w:rsid w:val="00244593"/>
    <w:rsid w:val="00244F1F"/>
    <w:rsid w:val="00245E72"/>
    <w:rsid w:val="0025085E"/>
    <w:rsid w:val="00251D91"/>
    <w:rsid w:val="002529F3"/>
    <w:rsid w:val="002606E1"/>
    <w:rsid w:val="00264121"/>
    <w:rsid w:val="002651BA"/>
    <w:rsid w:val="00265C0F"/>
    <w:rsid w:val="0026660B"/>
    <w:rsid w:val="002679F3"/>
    <w:rsid w:val="0027153F"/>
    <w:rsid w:val="00272136"/>
    <w:rsid w:val="002740D9"/>
    <w:rsid w:val="00274956"/>
    <w:rsid w:val="002759EC"/>
    <w:rsid w:val="00276789"/>
    <w:rsid w:val="00277103"/>
    <w:rsid w:val="002808A9"/>
    <w:rsid w:val="0028294A"/>
    <w:rsid w:val="00285B42"/>
    <w:rsid w:val="00290FAB"/>
    <w:rsid w:val="00293756"/>
    <w:rsid w:val="00294355"/>
    <w:rsid w:val="00295278"/>
    <w:rsid w:val="00296701"/>
    <w:rsid w:val="002A15CA"/>
    <w:rsid w:val="002A26DA"/>
    <w:rsid w:val="002A6CB8"/>
    <w:rsid w:val="002A7D61"/>
    <w:rsid w:val="002B1479"/>
    <w:rsid w:val="002B1B6E"/>
    <w:rsid w:val="002B1FF5"/>
    <w:rsid w:val="002B3CAB"/>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1650"/>
    <w:rsid w:val="00302939"/>
    <w:rsid w:val="00303D47"/>
    <w:rsid w:val="003111B2"/>
    <w:rsid w:val="00315465"/>
    <w:rsid w:val="003156DC"/>
    <w:rsid w:val="00317A97"/>
    <w:rsid w:val="00317C16"/>
    <w:rsid w:val="003203A2"/>
    <w:rsid w:val="003225C3"/>
    <w:rsid w:val="00323120"/>
    <w:rsid w:val="00323184"/>
    <w:rsid w:val="0032348B"/>
    <w:rsid w:val="0032462A"/>
    <w:rsid w:val="0032598F"/>
    <w:rsid w:val="00330081"/>
    <w:rsid w:val="003312D5"/>
    <w:rsid w:val="00334B40"/>
    <w:rsid w:val="0033580B"/>
    <w:rsid w:val="00335913"/>
    <w:rsid w:val="00337E0A"/>
    <w:rsid w:val="00341D83"/>
    <w:rsid w:val="00345F55"/>
    <w:rsid w:val="00351BBC"/>
    <w:rsid w:val="00355735"/>
    <w:rsid w:val="00355BB4"/>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2781"/>
    <w:rsid w:val="00393D73"/>
    <w:rsid w:val="00395DA3"/>
    <w:rsid w:val="003969FE"/>
    <w:rsid w:val="003A0E76"/>
    <w:rsid w:val="003A2CBA"/>
    <w:rsid w:val="003A30B2"/>
    <w:rsid w:val="003A42D5"/>
    <w:rsid w:val="003B167D"/>
    <w:rsid w:val="003B3492"/>
    <w:rsid w:val="003B3958"/>
    <w:rsid w:val="003B420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3FD2"/>
    <w:rsid w:val="003E42E3"/>
    <w:rsid w:val="003E5C83"/>
    <w:rsid w:val="003E69CD"/>
    <w:rsid w:val="003E6A88"/>
    <w:rsid w:val="003E6FFF"/>
    <w:rsid w:val="003E78F5"/>
    <w:rsid w:val="003F2572"/>
    <w:rsid w:val="003F2B2E"/>
    <w:rsid w:val="003F3884"/>
    <w:rsid w:val="003F3DC3"/>
    <w:rsid w:val="003F4BC7"/>
    <w:rsid w:val="003F5626"/>
    <w:rsid w:val="003F5CAB"/>
    <w:rsid w:val="003F6784"/>
    <w:rsid w:val="003F69C5"/>
    <w:rsid w:val="003F7836"/>
    <w:rsid w:val="004003C6"/>
    <w:rsid w:val="00400DB0"/>
    <w:rsid w:val="00402028"/>
    <w:rsid w:val="00402800"/>
    <w:rsid w:val="00403105"/>
    <w:rsid w:val="00404955"/>
    <w:rsid w:val="004058C1"/>
    <w:rsid w:val="004075B1"/>
    <w:rsid w:val="00412C70"/>
    <w:rsid w:val="00417611"/>
    <w:rsid w:val="00421452"/>
    <w:rsid w:val="00421D74"/>
    <w:rsid w:val="00424C2D"/>
    <w:rsid w:val="00432289"/>
    <w:rsid w:val="00433897"/>
    <w:rsid w:val="004340EF"/>
    <w:rsid w:val="00434610"/>
    <w:rsid w:val="00437F47"/>
    <w:rsid w:val="00440E43"/>
    <w:rsid w:val="0044281C"/>
    <w:rsid w:val="00447D9C"/>
    <w:rsid w:val="0045127E"/>
    <w:rsid w:val="00453867"/>
    <w:rsid w:val="00453B8C"/>
    <w:rsid w:val="00454638"/>
    <w:rsid w:val="004554AB"/>
    <w:rsid w:val="00455D85"/>
    <w:rsid w:val="004564FB"/>
    <w:rsid w:val="0045723E"/>
    <w:rsid w:val="00463FF5"/>
    <w:rsid w:val="00467940"/>
    <w:rsid w:val="00473E4D"/>
    <w:rsid w:val="004748CA"/>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DA7"/>
    <w:rsid w:val="004B0F38"/>
    <w:rsid w:val="004B17CE"/>
    <w:rsid w:val="004B1E73"/>
    <w:rsid w:val="004B2C19"/>
    <w:rsid w:val="004B55C6"/>
    <w:rsid w:val="004B5926"/>
    <w:rsid w:val="004B610E"/>
    <w:rsid w:val="004B7A57"/>
    <w:rsid w:val="004C0BD9"/>
    <w:rsid w:val="004C18D1"/>
    <w:rsid w:val="004C1FDF"/>
    <w:rsid w:val="004C243F"/>
    <w:rsid w:val="004C39C3"/>
    <w:rsid w:val="004C51BE"/>
    <w:rsid w:val="004C67A9"/>
    <w:rsid w:val="004C74E5"/>
    <w:rsid w:val="004C78B4"/>
    <w:rsid w:val="004D11DE"/>
    <w:rsid w:val="004D14FE"/>
    <w:rsid w:val="004D1C74"/>
    <w:rsid w:val="004D30C0"/>
    <w:rsid w:val="004D3649"/>
    <w:rsid w:val="004D4FB3"/>
    <w:rsid w:val="004D6E41"/>
    <w:rsid w:val="004E044C"/>
    <w:rsid w:val="004E48B7"/>
    <w:rsid w:val="004E59D9"/>
    <w:rsid w:val="004E7E16"/>
    <w:rsid w:val="004F4373"/>
    <w:rsid w:val="004F55B1"/>
    <w:rsid w:val="005001FC"/>
    <w:rsid w:val="00501566"/>
    <w:rsid w:val="00501FBD"/>
    <w:rsid w:val="00502626"/>
    <w:rsid w:val="00504FB7"/>
    <w:rsid w:val="00510425"/>
    <w:rsid w:val="00510803"/>
    <w:rsid w:val="005118E2"/>
    <w:rsid w:val="00514EDC"/>
    <w:rsid w:val="00520D02"/>
    <w:rsid w:val="00524B1C"/>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76FA9"/>
    <w:rsid w:val="005806DB"/>
    <w:rsid w:val="00580EBB"/>
    <w:rsid w:val="00581C9E"/>
    <w:rsid w:val="00583011"/>
    <w:rsid w:val="005849B1"/>
    <w:rsid w:val="00585599"/>
    <w:rsid w:val="005903AC"/>
    <w:rsid w:val="00592D87"/>
    <w:rsid w:val="00593089"/>
    <w:rsid w:val="005949EA"/>
    <w:rsid w:val="00597011"/>
    <w:rsid w:val="0059738E"/>
    <w:rsid w:val="005A008C"/>
    <w:rsid w:val="005A0BCC"/>
    <w:rsid w:val="005A11C4"/>
    <w:rsid w:val="005A16B8"/>
    <w:rsid w:val="005A2C55"/>
    <w:rsid w:val="005A3C13"/>
    <w:rsid w:val="005A3E3F"/>
    <w:rsid w:val="005A5897"/>
    <w:rsid w:val="005A6168"/>
    <w:rsid w:val="005A61E9"/>
    <w:rsid w:val="005A6885"/>
    <w:rsid w:val="005A7D8A"/>
    <w:rsid w:val="005B36CD"/>
    <w:rsid w:val="005B5BD8"/>
    <w:rsid w:val="005B768E"/>
    <w:rsid w:val="005C020A"/>
    <w:rsid w:val="005C0AD0"/>
    <w:rsid w:val="005C19EF"/>
    <w:rsid w:val="005C1E3B"/>
    <w:rsid w:val="005C2326"/>
    <w:rsid w:val="005C62A1"/>
    <w:rsid w:val="005C6771"/>
    <w:rsid w:val="005D199C"/>
    <w:rsid w:val="005D205A"/>
    <w:rsid w:val="005D24C6"/>
    <w:rsid w:val="005D28FA"/>
    <w:rsid w:val="005D3148"/>
    <w:rsid w:val="005D4154"/>
    <w:rsid w:val="005D5304"/>
    <w:rsid w:val="005D65E1"/>
    <w:rsid w:val="005D7A63"/>
    <w:rsid w:val="005E6491"/>
    <w:rsid w:val="005E6963"/>
    <w:rsid w:val="005F1323"/>
    <w:rsid w:val="005F1603"/>
    <w:rsid w:val="005F17C5"/>
    <w:rsid w:val="005F3623"/>
    <w:rsid w:val="005F4173"/>
    <w:rsid w:val="005F4864"/>
    <w:rsid w:val="005F4940"/>
    <w:rsid w:val="00600F2A"/>
    <w:rsid w:val="00602CB0"/>
    <w:rsid w:val="00604707"/>
    <w:rsid w:val="0060527A"/>
    <w:rsid w:val="00606847"/>
    <w:rsid w:val="00607C5D"/>
    <w:rsid w:val="006125EC"/>
    <w:rsid w:val="006154DD"/>
    <w:rsid w:val="006165DF"/>
    <w:rsid w:val="00617E4B"/>
    <w:rsid w:val="006208D3"/>
    <w:rsid w:val="0062242D"/>
    <w:rsid w:val="00623945"/>
    <w:rsid w:val="006245F7"/>
    <w:rsid w:val="00624F56"/>
    <w:rsid w:val="00625E4A"/>
    <w:rsid w:val="0062633A"/>
    <w:rsid w:val="00630168"/>
    <w:rsid w:val="006315FC"/>
    <w:rsid w:val="006317A9"/>
    <w:rsid w:val="00631BE9"/>
    <w:rsid w:val="00633A98"/>
    <w:rsid w:val="006417CE"/>
    <w:rsid w:val="006419B7"/>
    <w:rsid w:val="006436F2"/>
    <w:rsid w:val="0064522D"/>
    <w:rsid w:val="0065050E"/>
    <w:rsid w:val="0065215A"/>
    <w:rsid w:val="006529F3"/>
    <w:rsid w:val="00654491"/>
    <w:rsid w:val="006565AD"/>
    <w:rsid w:val="00660106"/>
    <w:rsid w:val="006604BA"/>
    <w:rsid w:val="006610ED"/>
    <w:rsid w:val="00665687"/>
    <w:rsid w:val="00665D0E"/>
    <w:rsid w:val="0067000A"/>
    <w:rsid w:val="00671697"/>
    <w:rsid w:val="00677DD2"/>
    <w:rsid w:val="00677FE6"/>
    <w:rsid w:val="0068233F"/>
    <w:rsid w:val="006829D5"/>
    <w:rsid w:val="006833EE"/>
    <w:rsid w:val="006843FA"/>
    <w:rsid w:val="00685DE2"/>
    <w:rsid w:val="006911EE"/>
    <w:rsid w:val="00692326"/>
    <w:rsid w:val="00692CFD"/>
    <w:rsid w:val="00695EE0"/>
    <w:rsid w:val="006A1225"/>
    <w:rsid w:val="006A4706"/>
    <w:rsid w:val="006A788A"/>
    <w:rsid w:val="006A7AF1"/>
    <w:rsid w:val="006B2ACF"/>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246D"/>
    <w:rsid w:val="00713AB2"/>
    <w:rsid w:val="0071562D"/>
    <w:rsid w:val="00716DE0"/>
    <w:rsid w:val="00724859"/>
    <w:rsid w:val="00725927"/>
    <w:rsid w:val="007307B1"/>
    <w:rsid w:val="00731A6A"/>
    <w:rsid w:val="007335A9"/>
    <w:rsid w:val="007338E6"/>
    <w:rsid w:val="00735292"/>
    <w:rsid w:val="00737FD6"/>
    <w:rsid w:val="00740F19"/>
    <w:rsid w:val="00742444"/>
    <w:rsid w:val="00743222"/>
    <w:rsid w:val="0074695F"/>
    <w:rsid w:val="00746C50"/>
    <w:rsid w:val="00754053"/>
    <w:rsid w:val="0075421A"/>
    <w:rsid w:val="0075472D"/>
    <w:rsid w:val="00757946"/>
    <w:rsid w:val="00757C02"/>
    <w:rsid w:val="0076208D"/>
    <w:rsid w:val="00762BFE"/>
    <w:rsid w:val="007635D1"/>
    <w:rsid w:val="00763E7A"/>
    <w:rsid w:val="007644BC"/>
    <w:rsid w:val="0077187C"/>
    <w:rsid w:val="00773971"/>
    <w:rsid w:val="0078141A"/>
    <w:rsid w:val="0078597F"/>
    <w:rsid w:val="00787175"/>
    <w:rsid w:val="00792BF3"/>
    <w:rsid w:val="00792BF7"/>
    <w:rsid w:val="00792F90"/>
    <w:rsid w:val="00794026"/>
    <w:rsid w:val="00794857"/>
    <w:rsid w:val="00797A44"/>
    <w:rsid w:val="00797CA6"/>
    <w:rsid w:val="007A04E2"/>
    <w:rsid w:val="007A06E9"/>
    <w:rsid w:val="007A1448"/>
    <w:rsid w:val="007A1BBB"/>
    <w:rsid w:val="007A276C"/>
    <w:rsid w:val="007B0DD7"/>
    <w:rsid w:val="007B315D"/>
    <w:rsid w:val="007B4232"/>
    <w:rsid w:val="007B4395"/>
    <w:rsid w:val="007B5A13"/>
    <w:rsid w:val="007C1FDB"/>
    <w:rsid w:val="007C287F"/>
    <w:rsid w:val="007C41EE"/>
    <w:rsid w:val="007D3AE2"/>
    <w:rsid w:val="007D47D1"/>
    <w:rsid w:val="007D6643"/>
    <w:rsid w:val="007D6C6B"/>
    <w:rsid w:val="007E1262"/>
    <w:rsid w:val="007E2A93"/>
    <w:rsid w:val="007E763A"/>
    <w:rsid w:val="007E7CC9"/>
    <w:rsid w:val="007E7F3C"/>
    <w:rsid w:val="007F0048"/>
    <w:rsid w:val="007F3C0C"/>
    <w:rsid w:val="007F4C22"/>
    <w:rsid w:val="007F687D"/>
    <w:rsid w:val="007F6A64"/>
    <w:rsid w:val="00800595"/>
    <w:rsid w:val="00802041"/>
    <w:rsid w:val="0080206D"/>
    <w:rsid w:val="00804CA2"/>
    <w:rsid w:val="00804FEC"/>
    <w:rsid w:val="008052B6"/>
    <w:rsid w:val="00805F95"/>
    <w:rsid w:val="008062D6"/>
    <w:rsid w:val="00810480"/>
    <w:rsid w:val="008115AE"/>
    <w:rsid w:val="00811BDE"/>
    <w:rsid w:val="008132C0"/>
    <w:rsid w:val="00813399"/>
    <w:rsid w:val="0081527F"/>
    <w:rsid w:val="00815AFA"/>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B65E6"/>
    <w:rsid w:val="008B7763"/>
    <w:rsid w:val="008C121C"/>
    <w:rsid w:val="008C2F75"/>
    <w:rsid w:val="008C3DAE"/>
    <w:rsid w:val="008C6AC3"/>
    <w:rsid w:val="008D186B"/>
    <w:rsid w:val="008D3327"/>
    <w:rsid w:val="008D4441"/>
    <w:rsid w:val="008D4727"/>
    <w:rsid w:val="008D4866"/>
    <w:rsid w:val="008D52EE"/>
    <w:rsid w:val="008D5E28"/>
    <w:rsid w:val="008D6D14"/>
    <w:rsid w:val="008D75CF"/>
    <w:rsid w:val="008D7606"/>
    <w:rsid w:val="008E42BC"/>
    <w:rsid w:val="008E511A"/>
    <w:rsid w:val="008E64FB"/>
    <w:rsid w:val="008F09E1"/>
    <w:rsid w:val="008F30A1"/>
    <w:rsid w:val="008F6FF7"/>
    <w:rsid w:val="0090096D"/>
    <w:rsid w:val="0090103B"/>
    <w:rsid w:val="00903548"/>
    <w:rsid w:val="00904151"/>
    <w:rsid w:val="00904528"/>
    <w:rsid w:val="0090602C"/>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3B83"/>
    <w:rsid w:val="00935ADD"/>
    <w:rsid w:val="00937616"/>
    <w:rsid w:val="00940F9B"/>
    <w:rsid w:val="00941978"/>
    <w:rsid w:val="00942C20"/>
    <w:rsid w:val="0094341B"/>
    <w:rsid w:val="0094393D"/>
    <w:rsid w:val="0094394E"/>
    <w:rsid w:val="00945C75"/>
    <w:rsid w:val="00946CCE"/>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2E29"/>
    <w:rsid w:val="00984482"/>
    <w:rsid w:val="00985C7C"/>
    <w:rsid w:val="009876F3"/>
    <w:rsid w:val="0099097B"/>
    <w:rsid w:val="00991A23"/>
    <w:rsid w:val="009950F3"/>
    <w:rsid w:val="00996AFB"/>
    <w:rsid w:val="009A1BE0"/>
    <w:rsid w:val="009A2D6C"/>
    <w:rsid w:val="009A3A3E"/>
    <w:rsid w:val="009B0179"/>
    <w:rsid w:val="009B05E9"/>
    <w:rsid w:val="009B195D"/>
    <w:rsid w:val="009B444E"/>
    <w:rsid w:val="009B4905"/>
    <w:rsid w:val="009B4E98"/>
    <w:rsid w:val="009B596C"/>
    <w:rsid w:val="009B6239"/>
    <w:rsid w:val="009B62D2"/>
    <w:rsid w:val="009B6FA5"/>
    <w:rsid w:val="009B7A66"/>
    <w:rsid w:val="009C1C62"/>
    <w:rsid w:val="009C2AEE"/>
    <w:rsid w:val="009C3393"/>
    <w:rsid w:val="009D0484"/>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37FD8"/>
    <w:rsid w:val="00A420AE"/>
    <w:rsid w:val="00A43090"/>
    <w:rsid w:val="00A430E9"/>
    <w:rsid w:val="00A4438D"/>
    <w:rsid w:val="00A45230"/>
    <w:rsid w:val="00A45923"/>
    <w:rsid w:val="00A45A11"/>
    <w:rsid w:val="00A45CE9"/>
    <w:rsid w:val="00A5060A"/>
    <w:rsid w:val="00A50DD9"/>
    <w:rsid w:val="00A51727"/>
    <w:rsid w:val="00A53349"/>
    <w:rsid w:val="00A548D5"/>
    <w:rsid w:val="00A6013E"/>
    <w:rsid w:val="00A64257"/>
    <w:rsid w:val="00A64DF1"/>
    <w:rsid w:val="00A651C2"/>
    <w:rsid w:val="00A749D3"/>
    <w:rsid w:val="00A752FD"/>
    <w:rsid w:val="00A77574"/>
    <w:rsid w:val="00A77DF8"/>
    <w:rsid w:val="00A80532"/>
    <w:rsid w:val="00A813B9"/>
    <w:rsid w:val="00A87C5E"/>
    <w:rsid w:val="00A9433C"/>
    <w:rsid w:val="00A95DEB"/>
    <w:rsid w:val="00AA0666"/>
    <w:rsid w:val="00AA0EFC"/>
    <w:rsid w:val="00AA150C"/>
    <w:rsid w:val="00AA16A5"/>
    <w:rsid w:val="00AA18EC"/>
    <w:rsid w:val="00AA200A"/>
    <w:rsid w:val="00AA2DC6"/>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354B"/>
    <w:rsid w:val="00AF5DF1"/>
    <w:rsid w:val="00AF60EB"/>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4FCE"/>
    <w:rsid w:val="00B51CC6"/>
    <w:rsid w:val="00B52679"/>
    <w:rsid w:val="00B538F2"/>
    <w:rsid w:val="00B552E6"/>
    <w:rsid w:val="00B553BE"/>
    <w:rsid w:val="00B63F21"/>
    <w:rsid w:val="00B65003"/>
    <w:rsid w:val="00B6670A"/>
    <w:rsid w:val="00B71542"/>
    <w:rsid w:val="00B73336"/>
    <w:rsid w:val="00B73659"/>
    <w:rsid w:val="00B74946"/>
    <w:rsid w:val="00B75FB4"/>
    <w:rsid w:val="00B76F86"/>
    <w:rsid w:val="00B80DF7"/>
    <w:rsid w:val="00B810C3"/>
    <w:rsid w:val="00B81529"/>
    <w:rsid w:val="00B87905"/>
    <w:rsid w:val="00B906A0"/>
    <w:rsid w:val="00B912CD"/>
    <w:rsid w:val="00B922C4"/>
    <w:rsid w:val="00B92435"/>
    <w:rsid w:val="00BA19CD"/>
    <w:rsid w:val="00BA4095"/>
    <w:rsid w:val="00BA57B1"/>
    <w:rsid w:val="00BA6AF1"/>
    <w:rsid w:val="00BB2599"/>
    <w:rsid w:val="00BB2671"/>
    <w:rsid w:val="00BB2C75"/>
    <w:rsid w:val="00BB3155"/>
    <w:rsid w:val="00BC2FFD"/>
    <w:rsid w:val="00BC348C"/>
    <w:rsid w:val="00BC445E"/>
    <w:rsid w:val="00BD1D91"/>
    <w:rsid w:val="00BD4A9E"/>
    <w:rsid w:val="00BE0E22"/>
    <w:rsid w:val="00BE6C68"/>
    <w:rsid w:val="00BE7661"/>
    <w:rsid w:val="00BE7810"/>
    <w:rsid w:val="00BF09D0"/>
    <w:rsid w:val="00BF1BB5"/>
    <w:rsid w:val="00BF212A"/>
    <w:rsid w:val="00BF711A"/>
    <w:rsid w:val="00C005D8"/>
    <w:rsid w:val="00C010CE"/>
    <w:rsid w:val="00C02400"/>
    <w:rsid w:val="00C06E05"/>
    <w:rsid w:val="00C10DAE"/>
    <w:rsid w:val="00C1295F"/>
    <w:rsid w:val="00C17411"/>
    <w:rsid w:val="00C2051B"/>
    <w:rsid w:val="00C22683"/>
    <w:rsid w:val="00C22834"/>
    <w:rsid w:val="00C25DE0"/>
    <w:rsid w:val="00C25F31"/>
    <w:rsid w:val="00C26548"/>
    <w:rsid w:val="00C2654A"/>
    <w:rsid w:val="00C34902"/>
    <w:rsid w:val="00C373F2"/>
    <w:rsid w:val="00C37CA7"/>
    <w:rsid w:val="00C37FC1"/>
    <w:rsid w:val="00C403CE"/>
    <w:rsid w:val="00C44CE3"/>
    <w:rsid w:val="00C46A10"/>
    <w:rsid w:val="00C5216A"/>
    <w:rsid w:val="00C52205"/>
    <w:rsid w:val="00C548B4"/>
    <w:rsid w:val="00C64E9F"/>
    <w:rsid w:val="00C65187"/>
    <w:rsid w:val="00C6768D"/>
    <w:rsid w:val="00C70B21"/>
    <w:rsid w:val="00C7371A"/>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07A7"/>
    <w:rsid w:val="00CA2E81"/>
    <w:rsid w:val="00CA35DE"/>
    <w:rsid w:val="00CA3998"/>
    <w:rsid w:val="00CA5EA5"/>
    <w:rsid w:val="00CA77CF"/>
    <w:rsid w:val="00CA7C4E"/>
    <w:rsid w:val="00CB13D1"/>
    <w:rsid w:val="00CB28F1"/>
    <w:rsid w:val="00CB3552"/>
    <w:rsid w:val="00CB44C0"/>
    <w:rsid w:val="00CB4D8A"/>
    <w:rsid w:val="00CC4F69"/>
    <w:rsid w:val="00CC5763"/>
    <w:rsid w:val="00CC6054"/>
    <w:rsid w:val="00CC658D"/>
    <w:rsid w:val="00CC6F35"/>
    <w:rsid w:val="00CD1FE9"/>
    <w:rsid w:val="00CD207C"/>
    <w:rsid w:val="00CD7B61"/>
    <w:rsid w:val="00CE176B"/>
    <w:rsid w:val="00CE2360"/>
    <w:rsid w:val="00CE50C2"/>
    <w:rsid w:val="00CE527F"/>
    <w:rsid w:val="00CE56FD"/>
    <w:rsid w:val="00CE73FB"/>
    <w:rsid w:val="00CF283C"/>
    <w:rsid w:val="00CF4FD7"/>
    <w:rsid w:val="00D0044C"/>
    <w:rsid w:val="00D01CA9"/>
    <w:rsid w:val="00D0321A"/>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21F4"/>
    <w:rsid w:val="00D57D1C"/>
    <w:rsid w:val="00D6274A"/>
    <w:rsid w:val="00D62CAD"/>
    <w:rsid w:val="00D63D44"/>
    <w:rsid w:val="00D726AB"/>
    <w:rsid w:val="00D7409D"/>
    <w:rsid w:val="00D745FE"/>
    <w:rsid w:val="00D76682"/>
    <w:rsid w:val="00D77616"/>
    <w:rsid w:val="00D843E4"/>
    <w:rsid w:val="00D87AC1"/>
    <w:rsid w:val="00D975BB"/>
    <w:rsid w:val="00DA12F7"/>
    <w:rsid w:val="00DA2E53"/>
    <w:rsid w:val="00DA38F2"/>
    <w:rsid w:val="00DA746D"/>
    <w:rsid w:val="00DB0451"/>
    <w:rsid w:val="00DB1926"/>
    <w:rsid w:val="00DB1CD1"/>
    <w:rsid w:val="00DB294F"/>
    <w:rsid w:val="00DB2A98"/>
    <w:rsid w:val="00DB3A43"/>
    <w:rsid w:val="00DB4005"/>
    <w:rsid w:val="00DB4B21"/>
    <w:rsid w:val="00DC0684"/>
    <w:rsid w:val="00DC31D6"/>
    <w:rsid w:val="00DC70A9"/>
    <w:rsid w:val="00DC71C0"/>
    <w:rsid w:val="00DC7588"/>
    <w:rsid w:val="00DC785A"/>
    <w:rsid w:val="00DD046E"/>
    <w:rsid w:val="00DD0926"/>
    <w:rsid w:val="00DD1CF4"/>
    <w:rsid w:val="00DD1D18"/>
    <w:rsid w:val="00DD3AFB"/>
    <w:rsid w:val="00DD6E31"/>
    <w:rsid w:val="00DD72E4"/>
    <w:rsid w:val="00DE01E7"/>
    <w:rsid w:val="00DE2E06"/>
    <w:rsid w:val="00DE4D52"/>
    <w:rsid w:val="00DE4DF2"/>
    <w:rsid w:val="00DE4EE5"/>
    <w:rsid w:val="00DE5424"/>
    <w:rsid w:val="00DE6107"/>
    <w:rsid w:val="00DF1EE1"/>
    <w:rsid w:val="00DF1F20"/>
    <w:rsid w:val="00DF3EB6"/>
    <w:rsid w:val="00DF4003"/>
    <w:rsid w:val="00DF416E"/>
    <w:rsid w:val="00DF77C7"/>
    <w:rsid w:val="00E0109F"/>
    <w:rsid w:val="00E04B4E"/>
    <w:rsid w:val="00E05DAB"/>
    <w:rsid w:val="00E1069A"/>
    <w:rsid w:val="00E107C5"/>
    <w:rsid w:val="00E11FE0"/>
    <w:rsid w:val="00E122DE"/>
    <w:rsid w:val="00E139D7"/>
    <w:rsid w:val="00E155DA"/>
    <w:rsid w:val="00E16CB2"/>
    <w:rsid w:val="00E24D2F"/>
    <w:rsid w:val="00E27083"/>
    <w:rsid w:val="00E27D26"/>
    <w:rsid w:val="00E30A2D"/>
    <w:rsid w:val="00E334E6"/>
    <w:rsid w:val="00E40DEA"/>
    <w:rsid w:val="00E437E5"/>
    <w:rsid w:val="00E4405A"/>
    <w:rsid w:val="00E4552C"/>
    <w:rsid w:val="00E45889"/>
    <w:rsid w:val="00E45954"/>
    <w:rsid w:val="00E46E97"/>
    <w:rsid w:val="00E511F5"/>
    <w:rsid w:val="00E513E3"/>
    <w:rsid w:val="00E57A07"/>
    <w:rsid w:val="00E60C36"/>
    <w:rsid w:val="00E6166A"/>
    <w:rsid w:val="00E64981"/>
    <w:rsid w:val="00E66383"/>
    <w:rsid w:val="00E66580"/>
    <w:rsid w:val="00E71C5C"/>
    <w:rsid w:val="00E72C41"/>
    <w:rsid w:val="00E73E24"/>
    <w:rsid w:val="00E764AB"/>
    <w:rsid w:val="00E80341"/>
    <w:rsid w:val="00E8089E"/>
    <w:rsid w:val="00E80C4A"/>
    <w:rsid w:val="00E80D41"/>
    <w:rsid w:val="00E8169E"/>
    <w:rsid w:val="00E8187D"/>
    <w:rsid w:val="00E837AA"/>
    <w:rsid w:val="00E905A4"/>
    <w:rsid w:val="00E952BB"/>
    <w:rsid w:val="00EA36BD"/>
    <w:rsid w:val="00EA389C"/>
    <w:rsid w:val="00EA3DB6"/>
    <w:rsid w:val="00EB0BF1"/>
    <w:rsid w:val="00EB0F75"/>
    <w:rsid w:val="00EB1C3F"/>
    <w:rsid w:val="00EB6BDA"/>
    <w:rsid w:val="00EC5BB8"/>
    <w:rsid w:val="00ED232C"/>
    <w:rsid w:val="00ED4BF7"/>
    <w:rsid w:val="00ED7B07"/>
    <w:rsid w:val="00EE197E"/>
    <w:rsid w:val="00EE2FE2"/>
    <w:rsid w:val="00EE5261"/>
    <w:rsid w:val="00EE659F"/>
    <w:rsid w:val="00EF09E0"/>
    <w:rsid w:val="00EF146C"/>
    <w:rsid w:val="00EF380B"/>
    <w:rsid w:val="00EF3BB2"/>
    <w:rsid w:val="00EF69F8"/>
    <w:rsid w:val="00EF6A7F"/>
    <w:rsid w:val="00F008FD"/>
    <w:rsid w:val="00F02A57"/>
    <w:rsid w:val="00F05D5F"/>
    <w:rsid w:val="00F074B1"/>
    <w:rsid w:val="00F07A11"/>
    <w:rsid w:val="00F136BE"/>
    <w:rsid w:val="00F141C0"/>
    <w:rsid w:val="00F14FA7"/>
    <w:rsid w:val="00F1554F"/>
    <w:rsid w:val="00F16683"/>
    <w:rsid w:val="00F20264"/>
    <w:rsid w:val="00F224C7"/>
    <w:rsid w:val="00F2404C"/>
    <w:rsid w:val="00F265BA"/>
    <w:rsid w:val="00F278B8"/>
    <w:rsid w:val="00F31B89"/>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3016"/>
    <w:rsid w:val="00F75029"/>
    <w:rsid w:val="00F75EB2"/>
    <w:rsid w:val="00F81B32"/>
    <w:rsid w:val="00F823BB"/>
    <w:rsid w:val="00F8302E"/>
    <w:rsid w:val="00F83E3E"/>
    <w:rsid w:val="00F85669"/>
    <w:rsid w:val="00F85CC0"/>
    <w:rsid w:val="00F930DE"/>
    <w:rsid w:val="00F93D8D"/>
    <w:rsid w:val="00F978F4"/>
    <w:rsid w:val="00FA08E6"/>
    <w:rsid w:val="00FA306E"/>
    <w:rsid w:val="00FA32E4"/>
    <w:rsid w:val="00FA6AA0"/>
    <w:rsid w:val="00FB22D9"/>
    <w:rsid w:val="00FB3F72"/>
    <w:rsid w:val="00FB59B8"/>
    <w:rsid w:val="00FC0A36"/>
    <w:rsid w:val="00FC30A2"/>
    <w:rsid w:val="00FC4AA5"/>
    <w:rsid w:val="00FC4ACC"/>
    <w:rsid w:val="00FC723D"/>
    <w:rsid w:val="00FD3A8D"/>
    <w:rsid w:val="00FD6A5F"/>
    <w:rsid w:val="00FD794D"/>
    <w:rsid w:val="00FE07B4"/>
    <w:rsid w:val="00FE7EA2"/>
    <w:rsid w:val="00FF0313"/>
    <w:rsid w:val="00FF0842"/>
    <w:rsid w:val="00FF2E93"/>
    <w:rsid w:val="0897019A"/>
    <w:rsid w:val="3A387076"/>
    <w:rsid w:val="3DDC072F"/>
    <w:rsid w:val="488F06B8"/>
    <w:rsid w:val="4FE8043A"/>
    <w:rsid w:val="595A671C"/>
    <w:rsid w:val="60E3F258"/>
    <w:rsid w:val="65CFDFB2"/>
    <w:rsid w:val="77A616EE"/>
    <w:rsid w:val="7D0F3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A7"/>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024C3"/>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02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024C3"/>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024C3"/>
    <w:pPr>
      <w:spacing w:before="200"/>
      <w:outlineLvl w:val="3"/>
    </w:pPr>
    <w:rPr>
      <w:rFonts w:ascii="Cambria" w:hAnsi="Cambria"/>
      <w:b/>
      <w:bCs/>
      <w:i/>
      <w:iCs/>
    </w:rPr>
  </w:style>
  <w:style w:type="paragraph" w:styleId="Heading5">
    <w:name w:val="heading 5"/>
    <w:basedOn w:val="Normal"/>
    <w:next w:val="Normal"/>
    <w:link w:val="Heading5Char"/>
    <w:uiPriority w:val="9"/>
    <w:qFormat/>
    <w:rsid w:val="001024C3"/>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024C3"/>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024C3"/>
    <w:pPr>
      <w:outlineLvl w:val="6"/>
    </w:pPr>
    <w:rPr>
      <w:rFonts w:ascii="Cambria" w:hAnsi="Cambria"/>
      <w:i/>
      <w:iCs/>
    </w:rPr>
  </w:style>
  <w:style w:type="paragraph" w:styleId="Heading8">
    <w:name w:val="heading 8"/>
    <w:basedOn w:val="Normal"/>
    <w:next w:val="Normal"/>
    <w:link w:val="Heading8Char"/>
    <w:uiPriority w:val="9"/>
    <w:qFormat/>
    <w:rsid w:val="001024C3"/>
    <w:pPr>
      <w:outlineLvl w:val="7"/>
    </w:pPr>
    <w:rPr>
      <w:rFonts w:ascii="Cambria" w:hAnsi="Cambria"/>
    </w:rPr>
  </w:style>
  <w:style w:type="paragraph" w:styleId="Heading9">
    <w:name w:val="heading 9"/>
    <w:basedOn w:val="Normal"/>
    <w:next w:val="Normal"/>
    <w:link w:val="Heading9Char"/>
    <w:uiPriority w:val="9"/>
    <w:qFormat/>
    <w:rsid w:val="001024C3"/>
    <w:pPr>
      <w:outlineLvl w:val="8"/>
    </w:pPr>
    <w:rPr>
      <w:rFonts w:ascii="Cambria" w:hAnsi="Cambria"/>
      <w:i/>
      <w:iCs/>
      <w:spacing w:val="5"/>
    </w:rPr>
  </w:style>
  <w:style w:type="character" w:default="1" w:styleId="DefaultParagraphFont">
    <w:name w:val="Default Paragraph Font"/>
    <w:uiPriority w:val="1"/>
    <w:semiHidden/>
    <w:unhideWhenUsed/>
    <w:rsid w:val="00CA07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07A7"/>
  </w:style>
  <w:style w:type="paragraph" w:customStyle="1" w:styleId="NICEnormal">
    <w:name w:val="NICE normal"/>
    <w:rsid w:val="001024C3"/>
    <w:pPr>
      <w:spacing w:after="240" w:line="360" w:lineRule="auto"/>
    </w:pPr>
    <w:rPr>
      <w:rFonts w:ascii="Arial" w:eastAsia="Times New Roman" w:hAnsi="Arial"/>
      <w:lang w:val="en-US" w:eastAsia="en-US"/>
    </w:rPr>
  </w:style>
  <w:style w:type="character" w:customStyle="1" w:styleId="NICEnormalChar">
    <w:name w:val="NICE normal Char"/>
    <w:rsid w:val="001024C3"/>
    <w:rPr>
      <w:rFonts w:ascii="Arial" w:eastAsia="Times New Roman" w:hAnsi="Arial"/>
      <w:sz w:val="24"/>
      <w:szCs w:val="24"/>
      <w:lang w:val="en-GB" w:eastAsia="en-US" w:bidi="ar-SA"/>
    </w:rPr>
  </w:style>
  <w:style w:type="character" w:customStyle="1" w:styleId="Heading1Char">
    <w:name w:val="Heading 1 Char"/>
    <w:link w:val="Heading1"/>
    <w:uiPriority w:val="1"/>
    <w:rsid w:val="001024C3"/>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024C3"/>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024C3"/>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024C3"/>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24C3"/>
    <w:pPr>
      <w:ind w:left="720"/>
      <w:contextualSpacing/>
    </w:pPr>
    <w:rPr>
      <w:rFonts w:eastAsia="Calibri"/>
    </w:rPr>
  </w:style>
  <w:style w:type="character" w:styleId="Hyperlink">
    <w:name w:val="Hyperlink"/>
    <w:uiPriority w:val="99"/>
    <w:rsid w:val="001024C3"/>
    <w:rPr>
      <w:color w:val="0000FF"/>
      <w:u w:val="single"/>
    </w:rPr>
  </w:style>
  <w:style w:type="paragraph" w:styleId="Header">
    <w:name w:val="header"/>
    <w:basedOn w:val="Normal"/>
    <w:link w:val="HeaderChar"/>
    <w:uiPriority w:val="99"/>
    <w:rsid w:val="001024C3"/>
    <w:pPr>
      <w:tabs>
        <w:tab w:val="center" w:pos="4513"/>
        <w:tab w:val="right" w:pos="9026"/>
      </w:tabs>
    </w:pPr>
    <w:rPr>
      <w:rFonts w:ascii="Arial" w:hAnsi="Arial"/>
    </w:rPr>
  </w:style>
  <w:style w:type="paragraph" w:customStyle="1" w:styleId="NICEnormaldoublespacing">
    <w:name w:val="NICE normal double spacing"/>
    <w:basedOn w:val="NICEnormal"/>
    <w:rsid w:val="001024C3"/>
  </w:style>
  <w:style w:type="character" w:customStyle="1" w:styleId="HeaderChar">
    <w:name w:val="Header Char"/>
    <w:link w:val="Header"/>
    <w:uiPriority w:val="99"/>
    <w:rsid w:val="001024C3"/>
    <w:rPr>
      <w:rFonts w:ascii="Arial" w:eastAsiaTheme="minorHAnsi" w:hAnsi="Arial"/>
      <w:kern w:val="2"/>
      <w:lang w:eastAsia="en-US"/>
      <w14:ligatures w14:val="standardContextual"/>
    </w:rPr>
  </w:style>
  <w:style w:type="paragraph" w:styleId="Footer">
    <w:name w:val="footer"/>
    <w:basedOn w:val="Normal"/>
    <w:link w:val="FooterChar"/>
    <w:uiPriority w:val="99"/>
    <w:rsid w:val="001024C3"/>
    <w:pPr>
      <w:tabs>
        <w:tab w:val="center" w:pos="4513"/>
        <w:tab w:val="right" w:pos="9026"/>
      </w:tabs>
    </w:pPr>
    <w:rPr>
      <w:rFonts w:ascii="Arial" w:hAnsi="Arial"/>
    </w:rPr>
  </w:style>
  <w:style w:type="character" w:customStyle="1" w:styleId="FooterChar">
    <w:name w:val="Footer Char"/>
    <w:link w:val="Footer"/>
    <w:uiPriority w:val="99"/>
    <w:rsid w:val="001024C3"/>
    <w:rPr>
      <w:rFonts w:ascii="Arial" w:eastAsiaTheme="minorHAnsi" w:hAnsi="Arial"/>
      <w:kern w:val="2"/>
      <w:lang w:eastAsia="en-US"/>
      <w14:ligatures w14:val="standardContextual"/>
    </w:rPr>
  </w:style>
  <w:style w:type="paragraph" w:customStyle="1" w:styleId="Style1">
    <w:name w:val="Style1"/>
    <w:basedOn w:val="Normal"/>
    <w:autoRedefine/>
    <w:rsid w:val="001024C3"/>
    <w:pPr>
      <w:keepNext/>
      <w:spacing w:line="360" w:lineRule="auto"/>
      <w:ind w:left="567"/>
    </w:pPr>
    <w:rPr>
      <w:rFonts w:ascii="Arial" w:hAnsi="Arial" w:cs="Arial"/>
      <w:szCs w:val="16"/>
    </w:rPr>
  </w:style>
  <w:style w:type="paragraph" w:customStyle="1" w:styleId="Unnumberedboldheading">
    <w:name w:val="Unnumbered bold heading"/>
    <w:next w:val="NICEnormal"/>
    <w:rsid w:val="001024C3"/>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024C3"/>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024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4C3"/>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024C3"/>
  </w:style>
  <w:style w:type="paragraph" w:customStyle="1" w:styleId="Introtext">
    <w:name w:val="Intro text"/>
    <w:basedOn w:val="PGDNormal"/>
    <w:rsid w:val="001024C3"/>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024C3"/>
    <w:pPr>
      <w:tabs>
        <w:tab w:val="num" w:pos="360"/>
      </w:tabs>
    </w:pPr>
    <w:rPr>
      <w:szCs w:val="24"/>
    </w:rPr>
  </w:style>
  <w:style w:type="character" w:customStyle="1" w:styleId="Numberedheading1CharChar">
    <w:name w:val="Numbered heading 1 Char Char"/>
    <w:link w:val="Numberedheading1"/>
    <w:rsid w:val="001024C3"/>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024C3"/>
    <w:pPr>
      <w:tabs>
        <w:tab w:val="num" w:pos="360"/>
      </w:tabs>
    </w:pPr>
  </w:style>
  <w:style w:type="character" w:customStyle="1" w:styleId="Numberedheading2Char">
    <w:name w:val="Numbered heading 2 Char"/>
    <w:basedOn w:val="Heading2Char"/>
    <w:link w:val="Numberedheading2"/>
    <w:rsid w:val="001024C3"/>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024C3"/>
    <w:pPr>
      <w:tabs>
        <w:tab w:val="num" w:pos="360"/>
      </w:tabs>
    </w:pPr>
    <w:rPr>
      <w:sz w:val="26"/>
    </w:rPr>
  </w:style>
  <w:style w:type="paragraph" w:customStyle="1" w:styleId="Numberedlevel4text">
    <w:name w:val="Numbered level 4 text"/>
    <w:basedOn w:val="NICEnormal"/>
    <w:next w:val="NICEnormal"/>
    <w:rsid w:val="001024C3"/>
    <w:pPr>
      <w:tabs>
        <w:tab w:val="num" w:pos="360"/>
      </w:tabs>
    </w:pPr>
  </w:style>
  <w:style w:type="paragraph" w:customStyle="1" w:styleId="Numberedlevel3text">
    <w:name w:val="Numbered level 3 text"/>
    <w:basedOn w:val="Numberedheading3"/>
    <w:rsid w:val="001024C3"/>
    <w:pPr>
      <w:spacing w:after="240"/>
    </w:pPr>
    <w:rPr>
      <w:b w:val="0"/>
      <w:sz w:val="24"/>
    </w:rPr>
  </w:style>
  <w:style w:type="paragraph" w:customStyle="1" w:styleId="Bulletindent2">
    <w:name w:val="Bullet indent 2"/>
    <w:basedOn w:val="NICEnormal"/>
    <w:rsid w:val="001024C3"/>
    <w:pPr>
      <w:tabs>
        <w:tab w:val="num" w:pos="360"/>
      </w:tabs>
      <w:spacing w:after="0"/>
      <w:ind w:left="1702" w:hanging="284"/>
    </w:pPr>
  </w:style>
  <w:style w:type="paragraph" w:customStyle="1" w:styleId="Title16ptleft">
    <w:name w:val="Title 16 pt left"/>
    <w:basedOn w:val="Title16pt"/>
    <w:rsid w:val="001024C3"/>
  </w:style>
  <w:style w:type="paragraph" w:customStyle="1" w:styleId="Bulletleft1">
    <w:name w:val="Bullet left 1"/>
    <w:basedOn w:val="NICEnormal"/>
    <w:rsid w:val="001024C3"/>
    <w:pPr>
      <w:tabs>
        <w:tab w:val="num" w:pos="360"/>
      </w:tabs>
      <w:spacing w:after="0"/>
    </w:pPr>
  </w:style>
  <w:style w:type="character" w:customStyle="1" w:styleId="Bulletleft1Char">
    <w:name w:val="Bullet left 1 Char"/>
    <w:basedOn w:val="NICEnormalChar"/>
    <w:rsid w:val="001024C3"/>
    <w:rPr>
      <w:rFonts w:ascii="Arial" w:eastAsia="Times New Roman" w:hAnsi="Arial"/>
      <w:sz w:val="24"/>
      <w:szCs w:val="24"/>
      <w:lang w:val="en-GB" w:eastAsia="en-US" w:bidi="ar-SA"/>
    </w:rPr>
  </w:style>
  <w:style w:type="paragraph" w:customStyle="1" w:styleId="Bulletleft2">
    <w:name w:val="Bullet left 2"/>
    <w:basedOn w:val="NICEnormal"/>
    <w:rsid w:val="001024C3"/>
    <w:pPr>
      <w:tabs>
        <w:tab w:val="num" w:pos="360"/>
      </w:tabs>
      <w:spacing w:after="0"/>
      <w:ind w:left="568" w:hanging="284"/>
    </w:pPr>
  </w:style>
  <w:style w:type="paragraph" w:customStyle="1" w:styleId="Bulletleft3">
    <w:name w:val="Bullet left 3"/>
    <w:basedOn w:val="NICEnormal"/>
    <w:rsid w:val="001024C3"/>
    <w:pPr>
      <w:tabs>
        <w:tab w:val="num" w:pos="360"/>
      </w:tabs>
      <w:spacing w:after="0"/>
    </w:pPr>
  </w:style>
  <w:style w:type="paragraph" w:customStyle="1" w:styleId="Bulletindent1">
    <w:name w:val="Bullet indent 1"/>
    <w:basedOn w:val="NICEnormal"/>
    <w:rsid w:val="001024C3"/>
    <w:pPr>
      <w:numPr>
        <w:numId w:val="15"/>
      </w:numPr>
      <w:spacing w:before="120" w:after="120" w:line="240" w:lineRule="auto"/>
    </w:pPr>
    <w:rPr>
      <w:sz w:val="22"/>
      <w:lang w:val="en-GB"/>
    </w:rPr>
  </w:style>
  <w:style w:type="paragraph" w:customStyle="1" w:styleId="Bulletindent3">
    <w:name w:val="Bullet indent 3"/>
    <w:basedOn w:val="NICEnormal"/>
    <w:rsid w:val="001024C3"/>
    <w:pPr>
      <w:tabs>
        <w:tab w:val="num" w:pos="360"/>
      </w:tabs>
      <w:spacing w:after="0"/>
    </w:pPr>
  </w:style>
  <w:style w:type="paragraph" w:customStyle="1" w:styleId="Numberedlevel2text">
    <w:name w:val="Numbered level 2 text"/>
    <w:basedOn w:val="Numberedheading2"/>
    <w:rsid w:val="001024C3"/>
    <w:pPr>
      <w:spacing w:after="240"/>
    </w:pPr>
    <w:rPr>
      <w:b/>
      <w:i/>
    </w:rPr>
  </w:style>
  <w:style w:type="paragraph" w:customStyle="1" w:styleId="Bulletleft1last">
    <w:name w:val="Bullet left 1 last"/>
    <w:basedOn w:val="NICEnormal"/>
    <w:rsid w:val="001024C3"/>
    <w:pPr>
      <w:tabs>
        <w:tab w:val="num" w:pos="360"/>
      </w:tabs>
    </w:pPr>
    <w:rPr>
      <w:rFonts w:cs="Arial"/>
    </w:rPr>
  </w:style>
  <w:style w:type="character" w:customStyle="1" w:styleId="Bulletleft1lastChar">
    <w:name w:val="Bullet left 1 last Char"/>
    <w:rsid w:val="001024C3"/>
    <w:rPr>
      <w:rFonts w:ascii="Arial" w:eastAsia="Times New Roman" w:hAnsi="Arial" w:cs="Arial"/>
      <w:sz w:val="24"/>
      <w:szCs w:val="24"/>
      <w:lang w:eastAsia="en-US"/>
    </w:rPr>
  </w:style>
  <w:style w:type="paragraph" w:customStyle="1" w:styleId="boxedtext">
    <w:name w:val="boxed text"/>
    <w:basedOn w:val="NICEnormal"/>
    <w:rsid w:val="001024C3"/>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024C3"/>
    <w:rPr>
      <w:rFonts w:ascii="Arial" w:hAnsi="Arial"/>
      <w:sz w:val="24"/>
    </w:rPr>
  </w:style>
  <w:style w:type="paragraph" w:customStyle="1" w:styleId="Bulletindent1last">
    <w:name w:val="Bullet indent 1 last"/>
    <w:basedOn w:val="NICEnormal"/>
    <w:next w:val="NICEnormal"/>
    <w:rsid w:val="001024C3"/>
    <w:pPr>
      <w:numPr>
        <w:numId w:val="11"/>
      </w:numPr>
    </w:pPr>
    <w:rPr>
      <w:sz w:val="22"/>
      <w:lang w:val="en-GB"/>
    </w:rPr>
  </w:style>
  <w:style w:type="paragraph" w:customStyle="1" w:styleId="NICEnormalindented">
    <w:name w:val="NICE normal indented"/>
    <w:basedOn w:val="NICEnormal"/>
    <w:rsid w:val="001024C3"/>
    <w:pPr>
      <w:tabs>
        <w:tab w:val="left" w:pos="1134"/>
      </w:tabs>
      <w:ind w:left="1134"/>
    </w:pPr>
  </w:style>
  <w:style w:type="paragraph" w:customStyle="1" w:styleId="Tabletitle">
    <w:name w:val="Table title"/>
    <w:basedOn w:val="NICEnormal"/>
    <w:next w:val="NICEnormal"/>
    <w:rsid w:val="001024C3"/>
    <w:pPr>
      <w:keepNext/>
      <w:spacing w:after="60" w:line="240" w:lineRule="auto"/>
    </w:pPr>
    <w:rPr>
      <w:b/>
    </w:rPr>
  </w:style>
  <w:style w:type="paragraph" w:customStyle="1" w:styleId="Tabletext">
    <w:name w:val="Table text"/>
    <w:basedOn w:val="PGDNormal"/>
    <w:rsid w:val="001024C3"/>
    <w:pPr>
      <w:keepNext/>
      <w:spacing w:after="60"/>
    </w:pPr>
  </w:style>
  <w:style w:type="paragraph" w:customStyle="1" w:styleId="Section2paragraphs">
    <w:name w:val="Section 2 paragraphs"/>
    <w:basedOn w:val="NICEnormal"/>
    <w:rsid w:val="001024C3"/>
    <w:pPr>
      <w:tabs>
        <w:tab w:val="num" w:pos="360"/>
      </w:tabs>
    </w:pPr>
  </w:style>
  <w:style w:type="paragraph" w:customStyle="1" w:styleId="Section3paragraphs">
    <w:name w:val="Section 3 paragraphs"/>
    <w:basedOn w:val="NICEnormal"/>
    <w:rsid w:val="001024C3"/>
    <w:pPr>
      <w:tabs>
        <w:tab w:val="num" w:pos="360"/>
      </w:tabs>
    </w:pPr>
  </w:style>
  <w:style w:type="paragraph" w:customStyle="1" w:styleId="Section411paragraphs">
    <w:name w:val="Section 4.1.1 paragraphs"/>
    <w:basedOn w:val="NICEnormal"/>
    <w:rsid w:val="001024C3"/>
    <w:pPr>
      <w:tabs>
        <w:tab w:val="num" w:pos="360"/>
      </w:tabs>
    </w:pPr>
  </w:style>
  <w:style w:type="paragraph" w:customStyle="1" w:styleId="Section412paragraphs">
    <w:name w:val="Section 4.1.2 paragraphs"/>
    <w:basedOn w:val="NICEnormal"/>
    <w:rsid w:val="001024C3"/>
    <w:pPr>
      <w:tabs>
        <w:tab w:val="num" w:pos="360"/>
      </w:tabs>
    </w:pPr>
  </w:style>
  <w:style w:type="paragraph" w:customStyle="1" w:styleId="Section42paragraphs">
    <w:name w:val="Section 4.2 paragraphs"/>
    <w:basedOn w:val="NICEnormal"/>
    <w:rsid w:val="001024C3"/>
    <w:pPr>
      <w:tabs>
        <w:tab w:val="num" w:pos="360"/>
      </w:tabs>
    </w:pPr>
  </w:style>
  <w:style w:type="paragraph" w:customStyle="1" w:styleId="Section43paragraphs">
    <w:name w:val="Section 4.3 paragraphs"/>
    <w:basedOn w:val="NICEnormal"/>
    <w:rsid w:val="001024C3"/>
    <w:pPr>
      <w:tabs>
        <w:tab w:val="num" w:pos="360"/>
      </w:tabs>
    </w:pPr>
  </w:style>
  <w:style w:type="paragraph" w:customStyle="1" w:styleId="Appendixlevel1">
    <w:name w:val="Appendix level 1"/>
    <w:basedOn w:val="NICEnormal"/>
    <w:autoRedefine/>
    <w:rsid w:val="001024C3"/>
    <w:pPr>
      <w:tabs>
        <w:tab w:val="num" w:pos="360"/>
      </w:tabs>
      <w:spacing w:before="240"/>
    </w:pPr>
  </w:style>
  <w:style w:type="paragraph" w:customStyle="1" w:styleId="Appendixlevel2">
    <w:name w:val="Appendix level 2"/>
    <w:basedOn w:val="NICEnormal"/>
    <w:rsid w:val="001024C3"/>
    <w:pPr>
      <w:tabs>
        <w:tab w:val="num" w:pos="360"/>
      </w:tabs>
      <w:spacing w:before="240"/>
    </w:pPr>
  </w:style>
  <w:style w:type="paragraph" w:customStyle="1" w:styleId="Appendixbullet">
    <w:name w:val="Appendix bullet"/>
    <w:basedOn w:val="NICEnormal"/>
    <w:rsid w:val="001024C3"/>
    <w:pPr>
      <w:tabs>
        <w:tab w:val="num" w:pos="360"/>
      </w:tabs>
      <w:spacing w:after="0" w:line="240" w:lineRule="auto"/>
    </w:pPr>
  </w:style>
  <w:style w:type="paragraph" w:customStyle="1" w:styleId="Appendixreferences">
    <w:name w:val="Appendix references"/>
    <w:basedOn w:val="NICEnormal"/>
    <w:rsid w:val="001024C3"/>
    <w:pPr>
      <w:tabs>
        <w:tab w:val="left" w:pos="567"/>
      </w:tabs>
      <w:spacing w:after="120" w:line="240" w:lineRule="auto"/>
      <w:ind w:left="567"/>
    </w:pPr>
  </w:style>
  <w:style w:type="paragraph" w:customStyle="1" w:styleId="References">
    <w:name w:val="References"/>
    <w:basedOn w:val="PGDNormal"/>
    <w:rsid w:val="001024C3"/>
    <w:pPr>
      <w:tabs>
        <w:tab w:val="num" w:pos="360"/>
      </w:tabs>
      <w:spacing w:after="120"/>
    </w:pPr>
  </w:style>
  <w:style w:type="paragraph" w:styleId="BalloonText">
    <w:name w:val="Balloon Text"/>
    <w:basedOn w:val="Normal"/>
    <w:link w:val="BalloonTextChar"/>
    <w:semiHidden/>
    <w:rsid w:val="001024C3"/>
    <w:rPr>
      <w:rFonts w:ascii="Tahoma" w:hAnsi="Tahoma" w:cs="Tahoma"/>
      <w:sz w:val="16"/>
      <w:szCs w:val="16"/>
    </w:rPr>
  </w:style>
  <w:style w:type="character" w:customStyle="1" w:styleId="BalloonTextChar">
    <w:name w:val="Balloon Text Char"/>
    <w:link w:val="BalloonText"/>
    <w:semiHidden/>
    <w:rsid w:val="001024C3"/>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024C3"/>
    <w:rPr>
      <w:sz w:val="16"/>
      <w:szCs w:val="16"/>
    </w:rPr>
  </w:style>
  <w:style w:type="paragraph" w:styleId="CommentText">
    <w:name w:val="annotation text"/>
    <w:basedOn w:val="Normal"/>
    <w:link w:val="CommentTextChar1"/>
    <w:uiPriority w:val="99"/>
    <w:unhideWhenUsed/>
    <w:rsid w:val="001024C3"/>
  </w:style>
  <w:style w:type="character" w:customStyle="1" w:styleId="CommentTextChar">
    <w:name w:val="Comment Text Char"/>
    <w:uiPriority w:val="99"/>
    <w:rsid w:val="001024C3"/>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024C3"/>
    <w:rPr>
      <w:b/>
      <w:bCs/>
    </w:rPr>
  </w:style>
  <w:style w:type="character" w:customStyle="1" w:styleId="CommentSubjectChar">
    <w:name w:val="Comment Subject Char"/>
    <w:semiHidden/>
    <w:rsid w:val="001024C3"/>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024C3"/>
    <w:pPr>
      <w:spacing w:before="100" w:beforeAutospacing="1" w:after="100" w:afterAutospacing="1"/>
    </w:pPr>
  </w:style>
  <w:style w:type="paragraph" w:styleId="TOC1">
    <w:name w:val="toc 1"/>
    <w:basedOn w:val="Normal"/>
    <w:next w:val="Normal"/>
    <w:autoRedefine/>
    <w:rsid w:val="001024C3"/>
    <w:rPr>
      <w:rFonts w:ascii="Arial" w:hAnsi="Arial"/>
    </w:rPr>
  </w:style>
  <w:style w:type="paragraph" w:styleId="TOC2">
    <w:name w:val="toc 2"/>
    <w:basedOn w:val="Normal"/>
    <w:next w:val="Normal"/>
    <w:autoRedefine/>
    <w:rsid w:val="001024C3"/>
    <w:pPr>
      <w:ind w:left="240"/>
    </w:pPr>
    <w:rPr>
      <w:rFonts w:ascii="Arial" w:hAnsi="Arial"/>
    </w:rPr>
  </w:style>
  <w:style w:type="paragraph" w:customStyle="1" w:styleId="Frontpagetitle">
    <w:name w:val="Front page title"/>
    <w:basedOn w:val="Normal"/>
    <w:rsid w:val="001024C3"/>
    <w:pPr>
      <w:spacing w:after="240"/>
      <w:jc w:val="center"/>
    </w:pPr>
    <w:rPr>
      <w:rFonts w:ascii="Arial" w:hAnsi="Arial" w:cs="Arial"/>
      <w:sz w:val="48"/>
      <w:szCs w:val="48"/>
      <w:lang w:val="en-US"/>
    </w:rPr>
  </w:style>
  <w:style w:type="paragraph" w:customStyle="1" w:styleId="Frontpagedate">
    <w:name w:val="Front page date"/>
    <w:basedOn w:val="Normal"/>
    <w:rsid w:val="001024C3"/>
    <w:pPr>
      <w:spacing w:after="240"/>
    </w:pPr>
    <w:rPr>
      <w:rFonts w:ascii="Arial" w:hAnsi="Arial" w:cs="Arial"/>
      <w:sz w:val="32"/>
      <w:szCs w:val="32"/>
      <w:lang w:val="en-US"/>
    </w:rPr>
  </w:style>
  <w:style w:type="paragraph" w:customStyle="1" w:styleId="Frontpageguidelinenumber">
    <w:name w:val="Front page guideline number"/>
    <w:basedOn w:val="Normal"/>
    <w:rsid w:val="001024C3"/>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024C3"/>
    <w:pPr>
      <w:outlineLvl w:val="9"/>
    </w:pPr>
    <w:rPr>
      <w:lang w:bidi="en-US"/>
    </w:rPr>
  </w:style>
  <w:style w:type="paragraph" w:styleId="TOC3">
    <w:name w:val="toc 3"/>
    <w:basedOn w:val="Normal"/>
    <w:next w:val="Normal"/>
    <w:autoRedefine/>
    <w:semiHidden/>
    <w:rsid w:val="001024C3"/>
    <w:pPr>
      <w:ind w:left="480"/>
    </w:pPr>
    <w:rPr>
      <w:rFonts w:ascii="Arial" w:hAnsi="Arial"/>
    </w:rPr>
  </w:style>
  <w:style w:type="character" w:styleId="FollowedHyperlink">
    <w:name w:val="FollowedHyperlink"/>
    <w:unhideWhenUsed/>
    <w:rsid w:val="001024C3"/>
    <w:rPr>
      <w:color w:val="800080"/>
      <w:u w:val="single"/>
    </w:rPr>
  </w:style>
  <w:style w:type="paragraph" w:customStyle="1" w:styleId="Level2text">
    <w:name w:val="Level 2 text"/>
    <w:basedOn w:val="Numberedheading2"/>
    <w:locked/>
    <w:rsid w:val="001024C3"/>
    <w:pPr>
      <w:numPr>
        <w:ilvl w:val="1"/>
        <w:numId w:val="1"/>
      </w:numPr>
    </w:pPr>
    <w:rPr>
      <w:b/>
      <w:i/>
    </w:rPr>
  </w:style>
  <w:style w:type="paragraph" w:styleId="FootnoteText">
    <w:name w:val="footnote text"/>
    <w:basedOn w:val="Normal"/>
    <w:link w:val="FootnoteTextChar1"/>
    <w:semiHidden/>
    <w:rsid w:val="001024C3"/>
    <w:rPr>
      <w:rFonts w:ascii="Arial" w:eastAsia="Calibri" w:hAnsi="Arial"/>
    </w:rPr>
  </w:style>
  <w:style w:type="character" w:customStyle="1" w:styleId="FootnoteTextChar">
    <w:name w:val="Footnote Text Char"/>
    <w:rsid w:val="001024C3"/>
    <w:rPr>
      <w:rFonts w:ascii="Arial" w:eastAsia="Times New Roman" w:hAnsi="Arial"/>
    </w:rPr>
  </w:style>
  <w:style w:type="character" w:styleId="FootnoteReference">
    <w:name w:val="footnote reference"/>
    <w:rsid w:val="001024C3"/>
    <w:rPr>
      <w:vertAlign w:val="superscript"/>
    </w:rPr>
  </w:style>
  <w:style w:type="paragraph" w:customStyle="1" w:styleId="Paragraph">
    <w:name w:val="Paragraph"/>
    <w:basedOn w:val="Paragraphnonumbers"/>
    <w:uiPriority w:val="4"/>
    <w:qFormat/>
    <w:rsid w:val="001024C3"/>
    <w:pPr>
      <w:numPr>
        <w:numId w:val="9"/>
      </w:numPr>
      <w:tabs>
        <w:tab w:val="left" w:pos="567"/>
      </w:tabs>
    </w:pPr>
  </w:style>
  <w:style w:type="paragraph" w:customStyle="1" w:styleId="Bullets">
    <w:name w:val="Bullets"/>
    <w:basedOn w:val="Normal"/>
    <w:uiPriority w:val="5"/>
    <w:qFormat/>
    <w:rsid w:val="001024C3"/>
    <w:pPr>
      <w:numPr>
        <w:numId w:val="16"/>
      </w:numPr>
      <w:spacing w:after="120" w:line="276" w:lineRule="auto"/>
    </w:pPr>
    <w:rPr>
      <w:rFonts w:ascii="Arial" w:hAnsi="Arial"/>
    </w:rPr>
  </w:style>
  <w:style w:type="paragraph" w:customStyle="1" w:styleId="Subbullets">
    <w:name w:val="Sub bullets"/>
    <w:basedOn w:val="Normal"/>
    <w:uiPriority w:val="6"/>
    <w:qFormat/>
    <w:rsid w:val="001024C3"/>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024C3"/>
    <w:pPr>
      <w:spacing w:after="240" w:line="276" w:lineRule="auto"/>
    </w:pPr>
    <w:rPr>
      <w:rFonts w:ascii="Arial" w:hAnsi="Arial"/>
    </w:rPr>
  </w:style>
  <w:style w:type="paragraph" w:styleId="TOAHeading">
    <w:name w:val="toa heading"/>
    <w:basedOn w:val="Normal"/>
    <w:next w:val="Normal"/>
    <w:semiHidden/>
    <w:rsid w:val="001024C3"/>
    <w:pPr>
      <w:spacing w:before="120"/>
    </w:pPr>
    <w:rPr>
      <w:rFonts w:ascii="Arial" w:hAnsi="Arial"/>
      <w:b/>
      <w:bCs/>
    </w:rPr>
  </w:style>
  <w:style w:type="paragraph" w:styleId="TOC4">
    <w:name w:val="toc 4"/>
    <w:basedOn w:val="Normal"/>
    <w:next w:val="Normal"/>
    <w:autoRedefine/>
    <w:semiHidden/>
    <w:rsid w:val="001024C3"/>
    <w:pPr>
      <w:ind w:left="720"/>
    </w:pPr>
    <w:rPr>
      <w:rFonts w:ascii="Arial" w:hAnsi="Arial"/>
    </w:rPr>
  </w:style>
  <w:style w:type="paragraph" w:customStyle="1" w:styleId="Bulletindent1alast">
    <w:name w:val="Bullet indent 1a last"/>
    <w:basedOn w:val="Bulletindent1last"/>
    <w:qFormat/>
    <w:rsid w:val="001024C3"/>
    <w:pPr>
      <w:ind w:left="2552"/>
    </w:pPr>
  </w:style>
  <w:style w:type="paragraph" w:customStyle="1" w:styleId="Bulletindent2a">
    <w:name w:val="Bullet indent 2a"/>
    <w:basedOn w:val="Normal"/>
    <w:qFormat/>
    <w:rsid w:val="001024C3"/>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024C3"/>
    <w:pPr>
      <w:tabs>
        <w:tab w:val="num" w:pos="2552"/>
      </w:tabs>
      <w:ind w:left="2552"/>
    </w:pPr>
  </w:style>
  <w:style w:type="paragraph" w:customStyle="1" w:styleId="Frontpagegreentitle">
    <w:name w:val="Front page green title"/>
    <w:basedOn w:val="Normal"/>
    <w:rsid w:val="001024C3"/>
    <w:pPr>
      <w:jc w:val="center"/>
    </w:pPr>
    <w:rPr>
      <w:rFonts w:ascii="Arial" w:hAnsi="Arial" w:cs="Arial"/>
      <w:b/>
      <w:color w:val="009999"/>
      <w:sz w:val="64"/>
      <w:szCs w:val="64"/>
    </w:rPr>
  </w:style>
  <w:style w:type="paragraph" w:styleId="TOC5">
    <w:name w:val="toc 5"/>
    <w:basedOn w:val="Normal"/>
    <w:next w:val="Normal"/>
    <w:autoRedefine/>
    <w:semiHidden/>
    <w:unhideWhenUsed/>
    <w:rsid w:val="001024C3"/>
    <w:pPr>
      <w:spacing w:after="100" w:line="276" w:lineRule="auto"/>
      <w:ind w:left="880"/>
    </w:pPr>
  </w:style>
  <w:style w:type="paragraph" w:styleId="TOC6">
    <w:name w:val="toc 6"/>
    <w:basedOn w:val="Normal"/>
    <w:next w:val="Normal"/>
    <w:autoRedefine/>
    <w:semiHidden/>
    <w:unhideWhenUsed/>
    <w:rsid w:val="001024C3"/>
    <w:pPr>
      <w:spacing w:after="100" w:line="276" w:lineRule="auto"/>
      <w:ind w:left="1100"/>
    </w:pPr>
  </w:style>
  <w:style w:type="paragraph" w:styleId="TOC7">
    <w:name w:val="toc 7"/>
    <w:basedOn w:val="Normal"/>
    <w:next w:val="Normal"/>
    <w:autoRedefine/>
    <w:semiHidden/>
    <w:unhideWhenUsed/>
    <w:rsid w:val="001024C3"/>
    <w:pPr>
      <w:spacing w:after="100" w:line="276" w:lineRule="auto"/>
      <w:ind w:left="1320"/>
    </w:pPr>
  </w:style>
  <w:style w:type="paragraph" w:styleId="TOC8">
    <w:name w:val="toc 8"/>
    <w:basedOn w:val="Normal"/>
    <w:next w:val="Normal"/>
    <w:autoRedefine/>
    <w:semiHidden/>
    <w:unhideWhenUsed/>
    <w:rsid w:val="001024C3"/>
    <w:pPr>
      <w:spacing w:after="100" w:line="276" w:lineRule="auto"/>
      <w:ind w:left="1540"/>
    </w:pPr>
  </w:style>
  <w:style w:type="paragraph" w:styleId="TOC9">
    <w:name w:val="toc 9"/>
    <w:basedOn w:val="Normal"/>
    <w:next w:val="Normal"/>
    <w:autoRedefine/>
    <w:semiHidden/>
    <w:unhideWhenUsed/>
    <w:rsid w:val="001024C3"/>
    <w:pPr>
      <w:spacing w:after="100" w:line="276" w:lineRule="auto"/>
      <w:ind w:left="1760"/>
    </w:pPr>
  </w:style>
  <w:style w:type="paragraph" w:customStyle="1" w:styleId="Question">
    <w:name w:val="Question"/>
    <w:basedOn w:val="References"/>
    <w:qFormat/>
    <w:rsid w:val="001024C3"/>
    <w:pPr>
      <w:keepNext/>
      <w:numPr>
        <w:numId w:val="2"/>
      </w:numPr>
    </w:pPr>
    <w:rPr>
      <w:b/>
    </w:rPr>
  </w:style>
  <w:style w:type="paragraph" w:styleId="EndnoteText">
    <w:name w:val="endnote text"/>
    <w:basedOn w:val="Normal"/>
    <w:link w:val="EndnoteTextChar1"/>
    <w:semiHidden/>
    <w:unhideWhenUsed/>
    <w:rsid w:val="001024C3"/>
  </w:style>
  <w:style w:type="character" w:customStyle="1" w:styleId="EndnoteTextChar">
    <w:name w:val="Endnote Text Char"/>
    <w:semiHidden/>
    <w:rsid w:val="001024C3"/>
    <w:rPr>
      <w:rFonts w:ascii="Times New Roman" w:eastAsia="Times New Roman" w:hAnsi="Times New Roman"/>
    </w:rPr>
  </w:style>
  <w:style w:type="character" w:styleId="EndnoteReference">
    <w:name w:val="endnote reference"/>
    <w:semiHidden/>
    <w:unhideWhenUsed/>
    <w:rsid w:val="001024C3"/>
    <w:rPr>
      <w:vertAlign w:val="superscript"/>
    </w:rPr>
  </w:style>
  <w:style w:type="paragraph" w:customStyle="1" w:styleId="Style4">
    <w:name w:val="Style4"/>
    <w:basedOn w:val="Normal"/>
    <w:autoRedefine/>
    <w:rsid w:val="001024C3"/>
    <w:pPr>
      <w:keepNext/>
      <w:spacing w:line="360" w:lineRule="auto"/>
      <w:ind w:left="567"/>
    </w:pPr>
    <w:rPr>
      <w:rFonts w:ascii="Arial" w:hAnsi="Arial" w:cs="Arial"/>
    </w:rPr>
  </w:style>
  <w:style w:type="paragraph" w:customStyle="1" w:styleId="Bodytextosteo">
    <w:name w:val="Body text osteo"/>
    <w:basedOn w:val="BodyText"/>
    <w:autoRedefine/>
    <w:rsid w:val="001024C3"/>
    <w:pPr>
      <w:spacing w:after="0" w:line="360" w:lineRule="auto"/>
      <w:ind w:left="567"/>
    </w:pPr>
    <w:rPr>
      <w:rFonts w:ascii="Arial" w:hAnsi="Arial" w:cs="Arial"/>
    </w:rPr>
  </w:style>
  <w:style w:type="paragraph" w:styleId="BodyText">
    <w:name w:val="Body Text"/>
    <w:basedOn w:val="Normal"/>
    <w:link w:val="BodyTextChar"/>
    <w:rsid w:val="001024C3"/>
    <w:pPr>
      <w:spacing w:after="120"/>
    </w:pPr>
  </w:style>
  <w:style w:type="paragraph" w:customStyle="1" w:styleId="bulletdoubleindent">
    <w:name w:val="bullet double indent"/>
    <w:basedOn w:val="Normal"/>
    <w:autoRedefine/>
    <w:rsid w:val="001024C3"/>
    <w:pPr>
      <w:numPr>
        <w:numId w:val="3"/>
      </w:numPr>
      <w:spacing w:line="360" w:lineRule="auto"/>
    </w:pPr>
    <w:rPr>
      <w:rFonts w:ascii="Arial" w:eastAsia="Calibri" w:hAnsi="Arial"/>
    </w:rPr>
  </w:style>
  <w:style w:type="paragraph" w:customStyle="1" w:styleId="bulletindentosteo">
    <w:name w:val="bullet indent osteo"/>
    <w:basedOn w:val="Normal"/>
    <w:autoRedefine/>
    <w:rsid w:val="001024C3"/>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024C3"/>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024C3"/>
    <w:pPr>
      <w:spacing w:after="0" w:line="360" w:lineRule="auto"/>
      <w:ind w:left="567"/>
    </w:pPr>
  </w:style>
  <w:style w:type="paragraph" w:customStyle="1" w:styleId="subheadingosteo">
    <w:name w:val="subheading osteo"/>
    <w:basedOn w:val="Heading6"/>
    <w:autoRedefine/>
    <w:rsid w:val="001024C3"/>
    <w:pPr>
      <w:keepNext/>
      <w:spacing w:line="360" w:lineRule="auto"/>
      <w:ind w:left="539"/>
    </w:pPr>
    <w:rPr>
      <w:rFonts w:ascii="Arial" w:hAnsi="Arial"/>
    </w:rPr>
  </w:style>
  <w:style w:type="paragraph" w:customStyle="1" w:styleId="bulletdoubleindentosteo">
    <w:name w:val="bullet double indent osteo"/>
    <w:basedOn w:val="bulletindentosteo"/>
    <w:autoRedefine/>
    <w:rsid w:val="001024C3"/>
    <w:pPr>
      <w:numPr>
        <w:numId w:val="5"/>
      </w:numPr>
    </w:pPr>
    <w:rPr>
      <w:rFonts w:eastAsia="Times New Roman"/>
      <w:lang w:eastAsia="en-GB"/>
    </w:rPr>
  </w:style>
  <w:style w:type="paragraph" w:styleId="ListBullet3">
    <w:name w:val="List Bullet 3"/>
    <w:basedOn w:val="Normal"/>
    <w:autoRedefine/>
    <w:rsid w:val="001024C3"/>
  </w:style>
  <w:style w:type="paragraph" w:customStyle="1" w:styleId="Bulletosteotable">
    <w:name w:val="Bullet osteo table"/>
    <w:basedOn w:val="bulletosteoporosis"/>
    <w:autoRedefine/>
    <w:rsid w:val="001024C3"/>
    <w:pPr>
      <w:numPr>
        <w:numId w:val="6"/>
      </w:numPr>
    </w:pPr>
  </w:style>
  <w:style w:type="paragraph" w:customStyle="1" w:styleId="StyleHeading2Before0ptAfter0ptLinespacing15l">
    <w:name w:val="Style Heading 2 + Before:  0 pt After:  0 pt Line spacing:  1.5 l..."/>
    <w:basedOn w:val="Heading2"/>
    <w:autoRedefine/>
    <w:rsid w:val="001024C3"/>
    <w:pPr>
      <w:spacing w:after="0" w:line="360" w:lineRule="auto"/>
    </w:pPr>
    <w:rPr>
      <w:szCs w:val="20"/>
      <w:lang w:val="en-US"/>
    </w:rPr>
  </w:style>
  <w:style w:type="paragraph" w:customStyle="1" w:styleId="NCC-ACChaptertitle">
    <w:name w:val="NCC-AC Chapter title"/>
    <w:basedOn w:val="Numberedheading1"/>
    <w:next w:val="Normal"/>
    <w:autoRedefine/>
    <w:rsid w:val="001024C3"/>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024C3"/>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024C3"/>
    <w:pPr>
      <w:numPr>
        <w:ilvl w:val="3"/>
        <w:numId w:val="8"/>
      </w:numPr>
    </w:pPr>
    <w:rPr>
      <w:b w:val="0"/>
    </w:rPr>
  </w:style>
  <w:style w:type="numbering" w:customStyle="1" w:styleId="NiceNumbering">
    <w:name w:val="Nice Numbering"/>
    <w:rsid w:val="001024C3"/>
    <w:pPr>
      <w:numPr>
        <w:numId w:val="8"/>
      </w:numPr>
    </w:pPr>
  </w:style>
  <w:style w:type="character" w:customStyle="1" w:styleId="FootnoteTextChar1">
    <w:name w:val="Footnote Text Char1"/>
    <w:link w:val="FootnoteText"/>
    <w:semiHidden/>
    <w:rsid w:val="001024C3"/>
    <w:rPr>
      <w:rFonts w:ascii="Arial" w:hAnsi="Arial"/>
      <w:kern w:val="2"/>
      <w:lang w:eastAsia="en-US"/>
      <w14:ligatures w14:val="standardContextual"/>
    </w:rPr>
  </w:style>
  <w:style w:type="table" w:styleId="TableGrid">
    <w:name w:val="Table Grid"/>
    <w:basedOn w:val="TableNormal"/>
    <w:rsid w:val="0010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024C3"/>
    <w:rPr>
      <w:rFonts w:ascii="Arial" w:hAnsi="Arial" w:cs="Arial"/>
      <w:color w:val="FFFFFF"/>
      <w:sz w:val="32"/>
      <w:szCs w:val="32"/>
    </w:rPr>
  </w:style>
  <w:style w:type="paragraph" w:customStyle="1" w:styleId="Default">
    <w:name w:val="Default"/>
    <w:rsid w:val="001024C3"/>
    <w:pPr>
      <w:autoSpaceDE w:val="0"/>
      <w:autoSpaceDN w:val="0"/>
      <w:adjustRightInd w:val="0"/>
    </w:pPr>
    <w:rPr>
      <w:rFonts w:eastAsia="Times New Roman" w:cs="Calibri"/>
      <w:color w:val="000000"/>
    </w:rPr>
  </w:style>
  <w:style w:type="paragraph" w:customStyle="1" w:styleId="PGDNormal">
    <w:name w:val="PGD Normal"/>
    <w:basedOn w:val="NICEnormal"/>
    <w:rsid w:val="001024C3"/>
    <w:pPr>
      <w:spacing w:line="240" w:lineRule="auto"/>
    </w:pPr>
    <w:rPr>
      <w:sz w:val="22"/>
    </w:rPr>
  </w:style>
  <w:style w:type="paragraph" w:customStyle="1" w:styleId="TabletextIPoverviewevidence">
    <w:name w:val="Table text IP overview evidence"/>
    <w:basedOn w:val="Tabletext"/>
    <w:rsid w:val="001024C3"/>
    <w:rPr>
      <w:sz w:val="18"/>
    </w:rPr>
  </w:style>
  <w:style w:type="character" w:customStyle="1" w:styleId="Heading5Char">
    <w:name w:val="Heading 5 Char"/>
    <w:link w:val="Heading5"/>
    <w:uiPriority w:val="9"/>
    <w:rsid w:val="001024C3"/>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024C3"/>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024C3"/>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024C3"/>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024C3"/>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024C3"/>
    <w:pPr>
      <w:spacing w:after="600"/>
    </w:pPr>
    <w:rPr>
      <w:rFonts w:ascii="Cambria" w:hAnsi="Cambria"/>
      <w:i/>
      <w:iCs/>
      <w:spacing w:val="13"/>
    </w:rPr>
  </w:style>
  <w:style w:type="character" w:customStyle="1" w:styleId="SubtitleChar">
    <w:name w:val="Subtitle Char"/>
    <w:link w:val="Subtitle"/>
    <w:uiPriority w:val="11"/>
    <w:rsid w:val="001024C3"/>
    <w:rPr>
      <w:rFonts w:ascii="Cambria" w:eastAsiaTheme="minorHAnsi" w:hAnsi="Cambria"/>
      <w:i/>
      <w:iCs/>
      <w:spacing w:val="13"/>
      <w:kern w:val="2"/>
      <w:lang w:eastAsia="en-US"/>
      <w14:ligatures w14:val="standardContextual"/>
    </w:rPr>
  </w:style>
  <w:style w:type="character" w:styleId="Strong">
    <w:name w:val="Strong"/>
    <w:uiPriority w:val="22"/>
    <w:qFormat/>
    <w:rsid w:val="001024C3"/>
    <w:rPr>
      <w:b/>
      <w:bCs/>
    </w:rPr>
  </w:style>
  <w:style w:type="character" w:styleId="Emphasis">
    <w:name w:val="Emphasis"/>
    <w:uiPriority w:val="20"/>
    <w:qFormat/>
    <w:rsid w:val="001024C3"/>
    <w:rPr>
      <w:b/>
      <w:bCs/>
      <w:i/>
      <w:iCs/>
      <w:spacing w:val="10"/>
      <w:bdr w:val="none" w:sz="0" w:space="0" w:color="auto"/>
      <w:shd w:val="clear" w:color="auto" w:fill="auto"/>
    </w:rPr>
  </w:style>
  <w:style w:type="paragraph" w:styleId="NoSpacing">
    <w:name w:val="No Spacing"/>
    <w:basedOn w:val="Normal"/>
    <w:uiPriority w:val="1"/>
    <w:qFormat/>
    <w:rsid w:val="001024C3"/>
    <w:rPr>
      <w:rFonts w:eastAsia="Calibri"/>
    </w:rPr>
  </w:style>
  <w:style w:type="paragraph" w:styleId="Quote">
    <w:name w:val="Quote"/>
    <w:basedOn w:val="Normal"/>
    <w:next w:val="Normal"/>
    <w:link w:val="QuoteChar"/>
    <w:uiPriority w:val="29"/>
    <w:qFormat/>
    <w:rsid w:val="001024C3"/>
    <w:pPr>
      <w:spacing w:before="200"/>
      <w:ind w:left="360" w:right="360"/>
    </w:pPr>
    <w:rPr>
      <w:i/>
      <w:iCs/>
    </w:rPr>
  </w:style>
  <w:style w:type="character" w:customStyle="1" w:styleId="QuoteChar">
    <w:name w:val="Quote Char"/>
    <w:link w:val="Quote"/>
    <w:uiPriority w:val="29"/>
    <w:rsid w:val="001024C3"/>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024C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024C3"/>
    <w:rPr>
      <w:rFonts w:eastAsiaTheme="minorHAnsi"/>
      <w:b/>
      <w:bCs/>
      <w:i/>
      <w:iCs/>
      <w:kern w:val="2"/>
      <w:lang w:eastAsia="en-US"/>
      <w14:ligatures w14:val="standardContextual"/>
    </w:rPr>
  </w:style>
  <w:style w:type="character" w:styleId="SubtleEmphasis">
    <w:name w:val="Subtle Emphasis"/>
    <w:uiPriority w:val="19"/>
    <w:qFormat/>
    <w:rsid w:val="001024C3"/>
    <w:rPr>
      <w:i/>
      <w:iCs/>
    </w:rPr>
  </w:style>
  <w:style w:type="character" w:styleId="IntenseEmphasis">
    <w:name w:val="Intense Emphasis"/>
    <w:uiPriority w:val="21"/>
    <w:qFormat/>
    <w:rsid w:val="001024C3"/>
    <w:rPr>
      <w:b/>
      <w:bCs/>
    </w:rPr>
  </w:style>
  <w:style w:type="character" w:styleId="SubtleReference">
    <w:name w:val="Subtle Reference"/>
    <w:uiPriority w:val="31"/>
    <w:qFormat/>
    <w:rsid w:val="001024C3"/>
    <w:rPr>
      <w:smallCaps/>
    </w:rPr>
  </w:style>
  <w:style w:type="character" w:styleId="IntenseReference">
    <w:name w:val="Intense Reference"/>
    <w:uiPriority w:val="32"/>
    <w:qFormat/>
    <w:rsid w:val="001024C3"/>
    <w:rPr>
      <w:smallCaps/>
      <w:spacing w:val="5"/>
      <w:u w:val="single"/>
    </w:rPr>
  </w:style>
  <w:style w:type="character" w:styleId="BookTitle">
    <w:name w:val="Book Title"/>
    <w:uiPriority w:val="33"/>
    <w:qFormat/>
    <w:rsid w:val="001024C3"/>
    <w:rPr>
      <w:i/>
      <w:iCs/>
      <w:smallCaps/>
      <w:spacing w:val="5"/>
    </w:rPr>
  </w:style>
  <w:style w:type="paragraph" w:customStyle="1" w:styleId="NICETitle2">
    <w:name w:val="NICE Title 2"/>
    <w:basedOn w:val="Normal"/>
    <w:qFormat/>
    <w:rsid w:val="001024C3"/>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024C3"/>
    <w:pPr>
      <w:spacing w:after="120" w:line="480" w:lineRule="auto"/>
    </w:pPr>
  </w:style>
  <w:style w:type="character" w:customStyle="1" w:styleId="BodyText2Char">
    <w:name w:val="Body Text 2 Char"/>
    <w:link w:val="BodyText2"/>
    <w:uiPriority w:val="99"/>
    <w:semiHidden/>
    <w:rsid w:val="001024C3"/>
    <w:rPr>
      <w:rFonts w:eastAsiaTheme="minorHAnsi"/>
      <w:kern w:val="2"/>
      <w:lang w:eastAsia="en-US"/>
      <w14:ligatures w14:val="standardContextual"/>
    </w:rPr>
  </w:style>
  <w:style w:type="character" w:styleId="UnresolvedMention">
    <w:name w:val="Unresolved Mention"/>
    <w:uiPriority w:val="99"/>
    <w:semiHidden/>
    <w:unhideWhenUsed/>
    <w:rsid w:val="001024C3"/>
    <w:rPr>
      <w:color w:val="605E5C"/>
      <w:shd w:val="clear" w:color="auto" w:fill="E1DFDD"/>
    </w:rPr>
  </w:style>
  <w:style w:type="paragraph" w:customStyle="1" w:styleId="PGDTitle2">
    <w:name w:val="PGD Title 2"/>
    <w:basedOn w:val="Normal"/>
    <w:rsid w:val="001024C3"/>
    <w:pPr>
      <w:jc w:val="center"/>
    </w:pPr>
    <w:rPr>
      <w:rFonts w:ascii="Arial" w:hAnsi="Arial"/>
      <w:b/>
      <w:sz w:val="36"/>
      <w:szCs w:val="36"/>
    </w:rPr>
  </w:style>
  <w:style w:type="paragraph" w:customStyle="1" w:styleId="PGDTitle1">
    <w:name w:val="PGD Title 1"/>
    <w:basedOn w:val="Normal"/>
    <w:rsid w:val="001024C3"/>
    <w:pPr>
      <w:jc w:val="center"/>
    </w:pPr>
    <w:rPr>
      <w:rFonts w:ascii="Arial" w:hAnsi="Arial"/>
      <w:b/>
      <w:bCs/>
      <w:sz w:val="44"/>
    </w:rPr>
  </w:style>
  <w:style w:type="character" w:customStyle="1" w:styleId="PGDVersionNumber">
    <w:name w:val="PGD Version Number"/>
    <w:basedOn w:val="DefaultParagraphFont"/>
    <w:qFormat/>
    <w:rsid w:val="001024C3"/>
    <w:rPr>
      <w:rFonts w:ascii="Arial" w:hAnsi="Arial"/>
      <w:sz w:val="28"/>
    </w:rPr>
  </w:style>
  <w:style w:type="paragraph" w:customStyle="1" w:styleId="TableHeaderRow">
    <w:name w:val="Table Header Row"/>
    <w:basedOn w:val="Normal"/>
    <w:rsid w:val="001024C3"/>
    <w:rPr>
      <w:rFonts w:ascii="Arial" w:hAnsi="Arial"/>
      <w:b/>
      <w:bCs/>
    </w:rPr>
  </w:style>
  <w:style w:type="character" w:customStyle="1" w:styleId="PGDNormalBold">
    <w:name w:val="PGD Normal Bold"/>
    <w:basedOn w:val="DefaultParagraphFont"/>
    <w:rsid w:val="001024C3"/>
    <w:rPr>
      <w:rFonts w:ascii="Arial" w:hAnsi="Arial"/>
      <w:b/>
      <w:bCs/>
    </w:rPr>
  </w:style>
  <w:style w:type="character" w:customStyle="1" w:styleId="TableHeaderColumn">
    <w:name w:val="Table Header Column"/>
    <w:basedOn w:val="DefaultParagraphFont"/>
    <w:rsid w:val="001024C3"/>
    <w:rPr>
      <w:rFonts w:ascii="Arial" w:hAnsi="Arial"/>
      <w:b/>
      <w:bCs/>
      <w:sz w:val="20"/>
    </w:rPr>
  </w:style>
  <w:style w:type="paragraph" w:customStyle="1" w:styleId="Title1">
    <w:name w:val="Title 1"/>
    <w:basedOn w:val="Title"/>
    <w:qFormat/>
    <w:rsid w:val="001024C3"/>
    <w:rPr>
      <w:rFonts w:ascii="Arial" w:hAnsi="Arial" w:cs="Arial"/>
      <w:sz w:val="44"/>
      <w:szCs w:val="44"/>
    </w:rPr>
  </w:style>
  <w:style w:type="paragraph" w:customStyle="1" w:styleId="Title2">
    <w:name w:val="Title 2"/>
    <w:basedOn w:val="Title"/>
    <w:qFormat/>
    <w:rsid w:val="001024C3"/>
    <w:rPr>
      <w:rFonts w:ascii="Arial" w:hAnsi="Arial" w:cs="Arial"/>
      <w:sz w:val="40"/>
      <w:szCs w:val="40"/>
    </w:rPr>
  </w:style>
  <w:style w:type="paragraph" w:customStyle="1" w:styleId="PGDHeading2">
    <w:name w:val="PGD Heading 2"/>
    <w:basedOn w:val="Heading2"/>
    <w:qFormat/>
    <w:rsid w:val="001024C3"/>
    <w:rPr>
      <w:rFonts w:ascii="Arial" w:hAnsi="Arial" w:cs="Arial"/>
      <w:color w:val="auto"/>
      <w:sz w:val="28"/>
      <w:szCs w:val="28"/>
    </w:rPr>
  </w:style>
  <w:style w:type="table" w:customStyle="1" w:styleId="Tableheading">
    <w:name w:val="Table heading"/>
    <w:basedOn w:val="TableNormal"/>
    <w:uiPriority w:val="99"/>
    <w:rsid w:val="001024C3"/>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024C3"/>
    <w:pPr>
      <w:spacing w:line="240" w:lineRule="auto"/>
    </w:pPr>
  </w:style>
  <w:style w:type="paragraph" w:customStyle="1" w:styleId="PGDtablebullet0">
    <w:name w:val="PGD table bullet"/>
    <w:basedOn w:val="Normal"/>
    <w:rsid w:val="001024C3"/>
    <w:rPr>
      <w:rFonts w:ascii="Arial" w:eastAsia="Times New Roman" w:hAnsi="Arial"/>
    </w:rPr>
  </w:style>
  <w:style w:type="numbering" w:customStyle="1" w:styleId="PGDTableBullet">
    <w:name w:val="PGD Table Bullet"/>
    <w:basedOn w:val="NoList"/>
    <w:uiPriority w:val="99"/>
    <w:rsid w:val="001024C3"/>
    <w:pPr>
      <w:numPr>
        <w:numId w:val="10"/>
      </w:numPr>
    </w:pPr>
  </w:style>
  <w:style w:type="paragraph" w:customStyle="1" w:styleId="StyleLatinArialAfter0ptLinespacingsingle">
    <w:name w:val="Style (Latin) Arial After:  0 pt Line spacing:  single"/>
    <w:basedOn w:val="Normal"/>
    <w:rsid w:val="001024C3"/>
    <w:rPr>
      <w:rFonts w:ascii="Arial" w:eastAsia="Times New Roman" w:hAnsi="Arial"/>
    </w:rPr>
  </w:style>
  <w:style w:type="paragraph" w:customStyle="1" w:styleId="PGDlogo">
    <w:name w:val="PGD logo"/>
    <w:basedOn w:val="NICEnormal"/>
    <w:rsid w:val="001024C3"/>
    <w:pPr>
      <w:jc w:val="right"/>
    </w:pPr>
  </w:style>
  <w:style w:type="paragraph" w:customStyle="1" w:styleId="PGDLogo0">
    <w:name w:val="PGD Logo"/>
    <w:basedOn w:val="PGDNormal"/>
    <w:rsid w:val="001024C3"/>
    <w:pPr>
      <w:jc w:val="right"/>
    </w:pPr>
  </w:style>
  <w:style w:type="paragraph" w:customStyle="1" w:styleId="PGDVersion">
    <w:name w:val="PGD Version"/>
    <w:basedOn w:val="Normal"/>
    <w:rsid w:val="001024C3"/>
    <w:pPr>
      <w:jc w:val="center"/>
    </w:pPr>
    <w:rPr>
      <w:rFonts w:ascii="Arial" w:eastAsia="Times New Roman" w:hAnsi="Arial"/>
      <w:sz w:val="28"/>
    </w:rPr>
  </w:style>
  <w:style w:type="numbering" w:customStyle="1" w:styleId="PGDtablebullet2">
    <w:name w:val="PGD table bullet 2"/>
    <w:basedOn w:val="NoList"/>
    <w:rsid w:val="001024C3"/>
    <w:pPr>
      <w:numPr>
        <w:numId w:val="12"/>
      </w:numPr>
    </w:pPr>
  </w:style>
  <w:style w:type="numbering" w:customStyle="1" w:styleId="PGDbullet2">
    <w:name w:val="PGD bullet 2"/>
    <w:basedOn w:val="NoList"/>
    <w:rsid w:val="001024C3"/>
    <w:pPr>
      <w:numPr>
        <w:numId w:val="13"/>
      </w:numPr>
    </w:pPr>
  </w:style>
  <w:style w:type="numbering" w:customStyle="1" w:styleId="PGDtablebullet1">
    <w:name w:val="PGD table bullet 1"/>
    <w:basedOn w:val="NoList"/>
    <w:rsid w:val="001024C3"/>
    <w:pPr>
      <w:numPr>
        <w:numId w:val="14"/>
      </w:numPr>
    </w:pPr>
  </w:style>
  <w:style w:type="character" w:customStyle="1" w:styleId="BodyTextChar">
    <w:name w:val="Body Text Char"/>
    <w:basedOn w:val="DefaultParagraphFont"/>
    <w:link w:val="BodyText"/>
    <w:rsid w:val="001024C3"/>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024C3"/>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024C3"/>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024C3"/>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84">
      <w:bodyDiv w:val="1"/>
      <w:marLeft w:val="0"/>
      <w:marRight w:val="0"/>
      <w:marTop w:val="0"/>
      <w:marBottom w:val="0"/>
      <w:divBdr>
        <w:top w:val="none" w:sz="0" w:space="0" w:color="auto"/>
        <w:left w:val="none" w:sz="0" w:space="0" w:color="auto"/>
        <w:bottom w:val="none" w:sz="0" w:space="0" w:color="auto"/>
        <w:right w:val="none" w:sz="0" w:space="0" w:color="auto"/>
      </w:divBdr>
    </w:div>
    <w:div w:id="54088983">
      <w:bodyDiv w:val="1"/>
      <w:marLeft w:val="0"/>
      <w:marRight w:val="0"/>
      <w:marTop w:val="0"/>
      <w:marBottom w:val="0"/>
      <w:divBdr>
        <w:top w:val="none" w:sz="0" w:space="0" w:color="auto"/>
        <w:left w:val="none" w:sz="0" w:space="0" w:color="auto"/>
        <w:bottom w:val="none" w:sz="0" w:space="0" w:color="auto"/>
        <w:right w:val="none" w:sz="0" w:space="0" w:color="auto"/>
      </w:divBdr>
    </w:div>
    <w:div w:id="54593332">
      <w:bodyDiv w:val="1"/>
      <w:marLeft w:val="0"/>
      <w:marRight w:val="0"/>
      <w:marTop w:val="0"/>
      <w:marBottom w:val="0"/>
      <w:divBdr>
        <w:top w:val="none" w:sz="0" w:space="0" w:color="auto"/>
        <w:left w:val="none" w:sz="0" w:space="0" w:color="auto"/>
        <w:bottom w:val="none" w:sz="0" w:space="0" w:color="auto"/>
        <w:right w:val="none" w:sz="0" w:space="0" w:color="auto"/>
      </w:divBdr>
    </w:div>
    <w:div w:id="104810067">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1192280">
      <w:bodyDiv w:val="1"/>
      <w:marLeft w:val="0"/>
      <w:marRight w:val="0"/>
      <w:marTop w:val="0"/>
      <w:marBottom w:val="0"/>
      <w:divBdr>
        <w:top w:val="none" w:sz="0" w:space="0" w:color="auto"/>
        <w:left w:val="none" w:sz="0" w:space="0" w:color="auto"/>
        <w:bottom w:val="none" w:sz="0" w:space="0" w:color="auto"/>
        <w:right w:val="none" w:sz="0" w:space="0" w:color="auto"/>
      </w:divBdr>
    </w:div>
    <w:div w:id="121778049">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7795264">
      <w:bodyDiv w:val="1"/>
      <w:marLeft w:val="0"/>
      <w:marRight w:val="0"/>
      <w:marTop w:val="0"/>
      <w:marBottom w:val="0"/>
      <w:divBdr>
        <w:top w:val="none" w:sz="0" w:space="0" w:color="auto"/>
        <w:left w:val="none" w:sz="0" w:space="0" w:color="auto"/>
        <w:bottom w:val="none" w:sz="0" w:space="0" w:color="auto"/>
        <w:right w:val="none" w:sz="0" w:space="0" w:color="auto"/>
      </w:divBdr>
    </w:div>
    <w:div w:id="183792209">
      <w:bodyDiv w:val="1"/>
      <w:marLeft w:val="0"/>
      <w:marRight w:val="0"/>
      <w:marTop w:val="0"/>
      <w:marBottom w:val="0"/>
      <w:divBdr>
        <w:top w:val="none" w:sz="0" w:space="0" w:color="auto"/>
        <w:left w:val="none" w:sz="0" w:space="0" w:color="auto"/>
        <w:bottom w:val="none" w:sz="0" w:space="0" w:color="auto"/>
        <w:right w:val="none" w:sz="0" w:space="0" w:color="auto"/>
      </w:divBdr>
    </w:div>
    <w:div w:id="20009649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0326893">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17211498">
      <w:bodyDiv w:val="1"/>
      <w:marLeft w:val="0"/>
      <w:marRight w:val="0"/>
      <w:marTop w:val="0"/>
      <w:marBottom w:val="0"/>
      <w:divBdr>
        <w:top w:val="none" w:sz="0" w:space="0" w:color="auto"/>
        <w:left w:val="none" w:sz="0" w:space="0" w:color="auto"/>
        <w:bottom w:val="none" w:sz="0" w:space="0" w:color="auto"/>
        <w:right w:val="none" w:sz="0" w:space="0" w:color="auto"/>
      </w:divBdr>
    </w:div>
    <w:div w:id="437872139">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657272058">
      <w:bodyDiv w:val="1"/>
      <w:marLeft w:val="0"/>
      <w:marRight w:val="0"/>
      <w:marTop w:val="0"/>
      <w:marBottom w:val="0"/>
      <w:divBdr>
        <w:top w:val="none" w:sz="0" w:space="0" w:color="auto"/>
        <w:left w:val="none" w:sz="0" w:space="0" w:color="auto"/>
        <w:bottom w:val="none" w:sz="0" w:space="0" w:color="auto"/>
        <w:right w:val="none" w:sz="0" w:space="0" w:color="auto"/>
      </w:divBdr>
    </w:div>
    <w:div w:id="746466029">
      <w:bodyDiv w:val="1"/>
      <w:marLeft w:val="0"/>
      <w:marRight w:val="0"/>
      <w:marTop w:val="0"/>
      <w:marBottom w:val="0"/>
      <w:divBdr>
        <w:top w:val="none" w:sz="0" w:space="0" w:color="auto"/>
        <w:left w:val="none" w:sz="0" w:space="0" w:color="auto"/>
        <w:bottom w:val="none" w:sz="0" w:space="0" w:color="auto"/>
        <w:right w:val="none" w:sz="0" w:space="0" w:color="auto"/>
      </w:divBdr>
    </w:div>
    <w:div w:id="783227071">
      <w:bodyDiv w:val="1"/>
      <w:marLeft w:val="0"/>
      <w:marRight w:val="0"/>
      <w:marTop w:val="0"/>
      <w:marBottom w:val="0"/>
      <w:divBdr>
        <w:top w:val="none" w:sz="0" w:space="0" w:color="auto"/>
        <w:left w:val="none" w:sz="0" w:space="0" w:color="auto"/>
        <w:bottom w:val="none" w:sz="0" w:space="0" w:color="auto"/>
        <w:right w:val="none" w:sz="0" w:space="0" w:color="auto"/>
      </w:divBdr>
    </w:div>
    <w:div w:id="795022207">
      <w:bodyDiv w:val="1"/>
      <w:marLeft w:val="0"/>
      <w:marRight w:val="0"/>
      <w:marTop w:val="0"/>
      <w:marBottom w:val="0"/>
      <w:divBdr>
        <w:top w:val="none" w:sz="0" w:space="0" w:color="auto"/>
        <w:left w:val="none" w:sz="0" w:space="0" w:color="auto"/>
        <w:bottom w:val="none" w:sz="0" w:space="0" w:color="auto"/>
        <w:right w:val="none" w:sz="0" w:space="0" w:color="auto"/>
      </w:divBdr>
    </w:div>
    <w:div w:id="828252772">
      <w:bodyDiv w:val="1"/>
      <w:marLeft w:val="0"/>
      <w:marRight w:val="0"/>
      <w:marTop w:val="0"/>
      <w:marBottom w:val="0"/>
      <w:divBdr>
        <w:top w:val="none" w:sz="0" w:space="0" w:color="auto"/>
        <w:left w:val="none" w:sz="0" w:space="0" w:color="auto"/>
        <w:bottom w:val="none" w:sz="0" w:space="0" w:color="auto"/>
        <w:right w:val="none" w:sz="0" w:space="0" w:color="auto"/>
      </w:divBdr>
    </w:div>
    <w:div w:id="859005275">
      <w:bodyDiv w:val="1"/>
      <w:marLeft w:val="0"/>
      <w:marRight w:val="0"/>
      <w:marTop w:val="0"/>
      <w:marBottom w:val="0"/>
      <w:divBdr>
        <w:top w:val="none" w:sz="0" w:space="0" w:color="auto"/>
        <w:left w:val="none" w:sz="0" w:space="0" w:color="auto"/>
        <w:bottom w:val="none" w:sz="0" w:space="0" w:color="auto"/>
        <w:right w:val="none" w:sz="0" w:space="0" w:color="auto"/>
      </w:divBdr>
    </w:div>
    <w:div w:id="919753428">
      <w:bodyDiv w:val="1"/>
      <w:marLeft w:val="0"/>
      <w:marRight w:val="0"/>
      <w:marTop w:val="0"/>
      <w:marBottom w:val="0"/>
      <w:divBdr>
        <w:top w:val="none" w:sz="0" w:space="0" w:color="auto"/>
        <w:left w:val="none" w:sz="0" w:space="0" w:color="auto"/>
        <w:bottom w:val="none" w:sz="0" w:space="0" w:color="auto"/>
        <w:right w:val="none" w:sz="0" w:space="0" w:color="auto"/>
      </w:divBdr>
    </w:div>
    <w:div w:id="1004477022">
      <w:bodyDiv w:val="1"/>
      <w:marLeft w:val="0"/>
      <w:marRight w:val="0"/>
      <w:marTop w:val="0"/>
      <w:marBottom w:val="0"/>
      <w:divBdr>
        <w:top w:val="none" w:sz="0" w:space="0" w:color="auto"/>
        <w:left w:val="none" w:sz="0" w:space="0" w:color="auto"/>
        <w:bottom w:val="none" w:sz="0" w:space="0" w:color="auto"/>
        <w:right w:val="none" w:sz="0" w:space="0" w:color="auto"/>
      </w:divBdr>
    </w:div>
    <w:div w:id="1069617392">
      <w:bodyDiv w:val="1"/>
      <w:marLeft w:val="0"/>
      <w:marRight w:val="0"/>
      <w:marTop w:val="0"/>
      <w:marBottom w:val="0"/>
      <w:divBdr>
        <w:top w:val="none" w:sz="0" w:space="0" w:color="auto"/>
        <w:left w:val="none" w:sz="0" w:space="0" w:color="auto"/>
        <w:bottom w:val="none" w:sz="0" w:space="0" w:color="auto"/>
        <w:right w:val="none" w:sz="0" w:space="0" w:color="auto"/>
      </w:divBdr>
    </w:div>
    <w:div w:id="1121805159">
      <w:bodyDiv w:val="1"/>
      <w:marLeft w:val="0"/>
      <w:marRight w:val="0"/>
      <w:marTop w:val="0"/>
      <w:marBottom w:val="0"/>
      <w:divBdr>
        <w:top w:val="none" w:sz="0" w:space="0" w:color="auto"/>
        <w:left w:val="none" w:sz="0" w:space="0" w:color="auto"/>
        <w:bottom w:val="none" w:sz="0" w:space="0" w:color="auto"/>
        <w:right w:val="none" w:sz="0" w:space="0" w:color="auto"/>
      </w:divBdr>
    </w:div>
    <w:div w:id="1282152758">
      <w:bodyDiv w:val="1"/>
      <w:marLeft w:val="0"/>
      <w:marRight w:val="0"/>
      <w:marTop w:val="0"/>
      <w:marBottom w:val="0"/>
      <w:divBdr>
        <w:top w:val="none" w:sz="0" w:space="0" w:color="auto"/>
        <w:left w:val="none" w:sz="0" w:space="0" w:color="auto"/>
        <w:bottom w:val="none" w:sz="0" w:space="0" w:color="auto"/>
        <w:right w:val="none" w:sz="0" w:space="0" w:color="auto"/>
      </w:divBdr>
    </w:div>
    <w:div w:id="1293364107">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33763925">
      <w:bodyDiv w:val="1"/>
      <w:marLeft w:val="0"/>
      <w:marRight w:val="0"/>
      <w:marTop w:val="0"/>
      <w:marBottom w:val="0"/>
      <w:divBdr>
        <w:top w:val="none" w:sz="0" w:space="0" w:color="auto"/>
        <w:left w:val="none" w:sz="0" w:space="0" w:color="auto"/>
        <w:bottom w:val="none" w:sz="0" w:space="0" w:color="auto"/>
        <w:right w:val="none" w:sz="0" w:space="0" w:color="auto"/>
      </w:divBdr>
    </w:div>
    <w:div w:id="1548494755">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7916720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06114182">
      <w:bodyDiv w:val="1"/>
      <w:marLeft w:val="0"/>
      <w:marRight w:val="0"/>
      <w:marTop w:val="0"/>
      <w:marBottom w:val="0"/>
      <w:divBdr>
        <w:top w:val="none" w:sz="0" w:space="0" w:color="auto"/>
        <w:left w:val="none" w:sz="0" w:space="0" w:color="auto"/>
        <w:bottom w:val="none" w:sz="0" w:space="0" w:color="auto"/>
        <w:right w:val="none" w:sz="0" w:space="0" w:color="auto"/>
      </w:divBdr>
    </w:div>
    <w:div w:id="1674717360">
      <w:bodyDiv w:val="1"/>
      <w:marLeft w:val="0"/>
      <w:marRight w:val="0"/>
      <w:marTop w:val="0"/>
      <w:marBottom w:val="0"/>
      <w:divBdr>
        <w:top w:val="none" w:sz="0" w:space="0" w:color="auto"/>
        <w:left w:val="none" w:sz="0" w:space="0" w:color="auto"/>
        <w:bottom w:val="none" w:sz="0" w:space="0" w:color="auto"/>
        <w:right w:val="none" w:sz="0" w:space="0" w:color="auto"/>
      </w:divBdr>
    </w:div>
    <w:div w:id="1694381888">
      <w:bodyDiv w:val="1"/>
      <w:marLeft w:val="0"/>
      <w:marRight w:val="0"/>
      <w:marTop w:val="0"/>
      <w:marBottom w:val="0"/>
      <w:divBdr>
        <w:top w:val="none" w:sz="0" w:space="0" w:color="auto"/>
        <w:left w:val="none" w:sz="0" w:space="0" w:color="auto"/>
        <w:bottom w:val="none" w:sz="0" w:space="0" w:color="auto"/>
        <w:right w:val="none" w:sz="0" w:space="0" w:color="auto"/>
      </w:divBdr>
    </w:div>
    <w:div w:id="1704288927">
      <w:bodyDiv w:val="1"/>
      <w:marLeft w:val="0"/>
      <w:marRight w:val="0"/>
      <w:marTop w:val="0"/>
      <w:marBottom w:val="0"/>
      <w:divBdr>
        <w:top w:val="none" w:sz="0" w:space="0" w:color="auto"/>
        <w:left w:val="none" w:sz="0" w:space="0" w:color="auto"/>
        <w:bottom w:val="none" w:sz="0" w:space="0" w:color="auto"/>
        <w:right w:val="none" w:sz="0" w:space="0" w:color="auto"/>
      </w:divBdr>
    </w:div>
    <w:div w:id="1715353358">
      <w:bodyDiv w:val="1"/>
      <w:marLeft w:val="0"/>
      <w:marRight w:val="0"/>
      <w:marTop w:val="0"/>
      <w:marBottom w:val="0"/>
      <w:divBdr>
        <w:top w:val="none" w:sz="0" w:space="0" w:color="auto"/>
        <w:left w:val="none" w:sz="0" w:space="0" w:color="auto"/>
        <w:bottom w:val="none" w:sz="0" w:space="0" w:color="auto"/>
        <w:right w:val="none" w:sz="0" w:space="0" w:color="auto"/>
      </w:divBdr>
    </w:div>
    <w:div w:id="1748961852">
      <w:bodyDiv w:val="1"/>
      <w:marLeft w:val="0"/>
      <w:marRight w:val="0"/>
      <w:marTop w:val="0"/>
      <w:marBottom w:val="0"/>
      <w:divBdr>
        <w:top w:val="none" w:sz="0" w:space="0" w:color="auto"/>
        <w:left w:val="none" w:sz="0" w:space="0" w:color="auto"/>
        <w:bottom w:val="none" w:sz="0" w:space="0" w:color="auto"/>
        <w:right w:val="none" w:sz="0" w:space="0" w:color="auto"/>
      </w:divBdr>
    </w:div>
    <w:div w:id="1765998889">
      <w:bodyDiv w:val="1"/>
      <w:marLeft w:val="0"/>
      <w:marRight w:val="0"/>
      <w:marTop w:val="0"/>
      <w:marBottom w:val="0"/>
      <w:divBdr>
        <w:top w:val="none" w:sz="0" w:space="0" w:color="auto"/>
        <w:left w:val="none" w:sz="0" w:space="0" w:color="auto"/>
        <w:bottom w:val="none" w:sz="0" w:space="0" w:color="auto"/>
        <w:right w:val="none" w:sz="0" w:space="0" w:color="auto"/>
      </w:divBdr>
    </w:div>
    <w:div w:id="1778912226">
      <w:bodyDiv w:val="1"/>
      <w:marLeft w:val="0"/>
      <w:marRight w:val="0"/>
      <w:marTop w:val="0"/>
      <w:marBottom w:val="0"/>
      <w:divBdr>
        <w:top w:val="none" w:sz="0" w:space="0" w:color="auto"/>
        <w:left w:val="none" w:sz="0" w:space="0" w:color="auto"/>
        <w:bottom w:val="none" w:sz="0" w:space="0" w:color="auto"/>
        <w:right w:val="none" w:sz="0" w:space="0" w:color="auto"/>
      </w:divBdr>
    </w:div>
    <w:div w:id="1850363017">
      <w:bodyDiv w:val="1"/>
      <w:marLeft w:val="0"/>
      <w:marRight w:val="0"/>
      <w:marTop w:val="0"/>
      <w:marBottom w:val="0"/>
      <w:divBdr>
        <w:top w:val="none" w:sz="0" w:space="0" w:color="auto"/>
        <w:left w:val="none" w:sz="0" w:space="0" w:color="auto"/>
        <w:bottom w:val="none" w:sz="0" w:space="0" w:color="auto"/>
        <w:right w:val="none" w:sz="0" w:space="0" w:color="auto"/>
      </w:divBdr>
    </w:div>
    <w:div w:id="185233761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46246876">
      <w:bodyDiv w:val="1"/>
      <w:marLeft w:val="0"/>
      <w:marRight w:val="0"/>
      <w:marTop w:val="0"/>
      <w:marBottom w:val="0"/>
      <w:divBdr>
        <w:top w:val="none" w:sz="0" w:space="0" w:color="auto"/>
        <w:left w:val="none" w:sz="0" w:space="0" w:color="auto"/>
        <w:bottom w:val="none" w:sz="0" w:space="0" w:color="auto"/>
        <w:right w:val="none" w:sz="0" w:space="0" w:color="auto"/>
      </w:divBdr>
    </w:div>
    <w:div w:id="2057506298">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93696383">
      <w:bodyDiv w:val="1"/>
      <w:marLeft w:val="0"/>
      <w:marRight w:val="0"/>
      <w:marTop w:val="0"/>
      <w:marBottom w:val="0"/>
      <w:divBdr>
        <w:top w:val="none" w:sz="0" w:space="0" w:color="auto"/>
        <w:left w:val="none" w:sz="0" w:space="0" w:color="auto"/>
        <w:bottom w:val="none" w:sz="0" w:space="0" w:color="auto"/>
        <w:right w:val="none" w:sz="0" w:space="0" w:color="auto"/>
      </w:divBdr>
    </w:div>
    <w:div w:id="2113698233">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nice.org.uk/guidance/mpg2/resources" TargetMode="External"/><Relationship Id="rId26" Type="http://schemas.openxmlformats.org/officeDocument/2006/relationships/hyperlink" Target="https://www.medicines.org.uk/emc/search?q=metronidazole" TargetMode="External"/><Relationship Id="rId39" Type="http://schemas.openxmlformats.org/officeDocument/2006/relationships/hyperlink" Target="https://www.nhs.uk/conditions/bacterial-vaginosis/" TargetMode="External"/><Relationship Id="rId21" Type="http://schemas.openxmlformats.org/officeDocument/2006/relationships/hyperlink" Target="https://www.crediblemeds.org/" TargetMode="External"/><Relationship Id="rId34" Type="http://schemas.openxmlformats.org/officeDocument/2006/relationships/hyperlink" Target="https://www.medicines.org.uk/emc/search?q=co-amoxiclav" TargetMode="External"/><Relationship Id="rId42" Type="http://schemas.openxmlformats.org/officeDocument/2006/relationships/hyperlink" Target="https://www.bashh.org/resources/66/trichomonas_vaginalis_tv" TargetMode="External"/><Relationship Id="rId47" Type="http://schemas.openxmlformats.org/officeDocument/2006/relationships/hyperlink" Target="https://assets.publishing.service.gov.uk/government/uploads/system/uploads/attachment_data/file/138296/dh_103653__1_.pdf" TargetMode="External"/><Relationship Id="rId50" Type="http://schemas.openxmlformats.org/officeDocument/2006/relationships/hyperlink" Target="https://www.bashh.org/resources/21/bacterial_vaginosis_2012"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search?q=metronidazole" TargetMode="External"/><Relationship Id="rId29" Type="http://schemas.openxmlformats.org/officeDocument/2006/relationships/hyperlink" Target="https://www.bashh.org/_userfiles/pages/files/resources/tv_2021.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gov.uk/government/publications/pku-suspected-description-in-brief/phenylketonuria-pku-detailed-information" TargetMode="External"/><Relationship Id="rId32" Type="http://schemas.openxmlformats.org/officeDocument/2006/relationships/hyperlink" Target="https://www.crediblemeds.org/" TargetMode="External"/><Relationship Id="rId37" Type="http://schemas.openxmlformats.org/officeDocument/2006/relationships/hyperlink" Target="https://www.pharmaceuticalpress.com/bnf-and-bnfc/" TargetMode="External"/><Relationship Id="rId40" Type="http://schemas.openxmlformats.org/officeDocument/2006/relationships/hyperlink" Target="https://www.nhs.uk/conditions/trichomoniasis/" TargetMode="External"/><Relationship Id="rId45" Type="http://schemas.openxmlformats.org/officeDocument/2006/relationships/hyperlink" Target="https://www.medicines.org.uk/emc/search?q=metronidazole" TargetMode="External"/><Relationship Id="rId53" Type="http://schemas.openxmlformats.org/officeDocument/2006/relationships/hyperlink" Target="https://www.sps.nhs.uk/articles/using-metronidazole-during-breastfeeding/" TargetMode="External"/><Relationship Id="rId58"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hyperlink" Target="https://www.cuh.nhs.uk/patient-information/ketogenic-dietary-therapy-kdt-for-children-who-are-eating-orally-and-their-car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sads.org.uk/drugs-to-avoid/?doing_wp_cron=1676975888.9472379684448242187500" TargetMode="External"/><Relationship Id="rId27" Type="http://schemas.openxmlformats.org/officeDocument/2006/relationships/hyperlink" Target="https://www.bashh.org/resources/21/bacterial_vaginosis_2012/" TargetMode="External"/><Relationship Id="rId30" Type="http://schemas.openxmlformats.org/officeDocument/2006/relationships/hyperlink" Target="https://products.mhra.gov.uk/search/?search=trimethoprim&amp;page=1" TargetMode="External"/><Relationship Id="rId35" Type="http://schemas.openxmlformats.org/officeDocument/2006/relationships/hyperlink" Target="https://www.medicines.org.uk/emc/search?q=metronidazole" TargetMode="External"/><Relationship Id="rId43" Type="http://schemas.openxmlformats.org/officeDocument/2006/relationships/hyperlink" Target="https://transform.england.nhs.uk/information-governance/guidance/records-management-code/" TargetMode="External"/><Relationship Id="rId48" Type="http://schemas.openxmlformats.org/officeDocument/2006/relationships/hyperlink" Target="https://www.nice.org.uk/guidance/mpg2"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cks.nice.org.uk/" TargetMode="External"/><Relationship Id="rId3" Type="http://schemas.openxmlformats.org/officeDocument/2006/relationships/customXml" Target="../customXml/item3.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www.e-lfh.org.uk/programmes/patient-group-directions/" TargetMode="External"/><Relationship Id="rId25" Type="http://schemas.openxmlformats.org/officeDocument/2006/relationships/hyperlink" Target="https://www.medicines.org.uk/emc/search?q=metronidazole" TargetMode="External"/><Relationship Id="rId33" Type="http://schemas.openxmlformats.org/officeDocument/2006/relationships/hyperlink" Target="https://www.sads.org.uk/drugs-to-avoid/?doing_wp_cron=1676975888.9472379684448242187500" TargetMode="External"/><Relationship Id="rId38" Type="http://schemas.openxmlformats.org/officeDocument/2006/relationships/hyperlink" Target="https://yellowcard.mhra.gov.uk/" TargetMode="External"/><Relationship Id="rId46" Type="http://schemas.openxmlformats.org/officeDocument/2006/relationships/hyperlink" Target="https://www.pharmaceuticalpress.com/bnf-and-bnfc/" TargetMode="External"/><Relationship Id="rId59" Type="http://schemas.openxmlformats.org/officeDocument/2006/relationships/fontTable" Target="fontTable.xml"/><Relationship Id="rId20" Type="http://schemas.openxmlformats.org/officeDocument/2006/relationships/hyperlink" Target="https://www.medicines.org.uk/emc" TargetMode="External"/><Relationship Id="rId41" Type="http://schemas.openxmlformats.org/officeDocument/2006/relationships/hyperlink" Target="https://www.bashh.org/resources/46/bacterial_vaginosis_bv" TargetMode="External"/><Relationship Id="rId54" Type="http://schemas.openxmlformats.org/officeDocument/2006/relationships/hyperlink" Target="https://www.sps.nhs.uk/articles/identifying-risk-factors-for-developing-a-long-qt-interv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medicines.org.uk/emc/search?q=metronidazole" TargetMode="External"/><Relationship Id="rId28" Type="http://schemas.openxmlformats.org/officeDocument/2006/relationships/hyperlink" Target="https://www.bashh.org/_userfiles/pages/files/resources/tv_2021.pdf" TargetMode="External"/><Relationship Id="rId36" Type="http://schemas.openxmlformats.org/officeDocument/2006/relationships/hyperlink" Target="https://www.medicines.org.uk/emc/search?q=metronidazole" TargetMode="External"/><Relationship Id="rId49" Type="http://schemas.openxmlformats.org/officeDocument/2006/relationships/hyperlink" Target="https://www.bashh.org/resources/20/trichomonas_vaginalis_2021/"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medicines.org.uk/emc/search?q=metronidazole" TargetMode="External"/><Relationship Id="rId44" Type="http://schemas.openxmlformats.org/officeDocument/2006/relationships/hyperlink" Target="https://products.mhra.gov.uk/search/?search=trimethoprim&amp;page=1" TargetMode="External"/><Relationship Id="rId52" Type="http://schemas.openxmlformats.org/officeDocument/2006/relationships/hyperlink" Target="https://www.rpharms.com/recognition/setting-professional-standards/safe-and-secure-handling-of-medicin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Sexual Health</Workstream>
    <ReviewDate xmlns="f161132f-3af4-47f5-b28f-8075dccddbe8">2028-12-31T00:00:00+00:00</ReviewDate>
    <Versionnumber xmlns="f161132f-3af4-47f5-b28f-8075dccddbe8">3</Versionnumber>
    <ProgrammeBoardMeeting xmlns="f161132f-3af4-47f5-b28f-8075dccddbe8">2028-07-19T23:00:00+00:00</ProgrammeBoardMeeting>
    <PublishedDate xmlns="f161132f-3af4-47f5-b28f-8075dccddbe8">2026-03-16T00:00:00+00:00</PublishedDate>
    <Effectivefromdate xmlns="f161132f-3af4-47f5-b28f-8075dccddbe8">2026-06-30T23:00:00+00:00</Effectivefromdate>
    <RAGrating xmlns="f161132f-3af4-47f5-b28f-8075dccddbe8" xsi:nil="true"/>
    <ExpiryDate xmlns="f161132f-3af4-47f5-b28f-8075dccddbe8">2028-11-30T00:00:00+00:00</ExpiryDate>
    <Cardcreated xmlns="f161132f-3af4-47f5-b28f-8075dccddbe8">
      <Url>https://digitalliverpool.sharepoint.com/sites/SPSDigital/Lists/Content%20Directory/DispForm.aspx?ID=2893</Url>
      <Description>Metronidazole in Sexual health services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3135-71E2-43E7-9C76-2E9CF77723BD}">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173899C7-52AB-4839-90DF-121536AD3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A1C50-37B0-40FC-B6C2-42D28194F975}">
  <ds:schemaRefs>
    <ds:schemaRef ds:uri="http://schemas.openxmlformats.org/officeDocument/2006/bibliography"/>
  </ds:schemaRefs>
</ds:datastoreItem>
</file>

<file path=customXml/itemProps4.xml><?xml version="1.0" encoding="utf-8"?>
<ds:datastoreItem xmlns:ds="http://schemas.openxmlformats.org/officeDocument/2006/customXml" ds:itemID="{B6AB5CB2-6562-4252-B61D-DC0D48D0EE93}">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4972</Words>
  <Characters>29438</Characters>
  <Application>Microsoft Office Word</Application>
  <DocSecurity>0</DocSecurity>
  <Lines>1015</Lines>
  <Paragraphs>471</Paragraphs>
  <ScaleCrop>false</ScaleCrop>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2025-12-08T16:07:00Z</dcterms:created>
  <dcterms:modified xsi:type="dcterms:W3CDTF">2026-03-12T12:43:00Z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