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Ind w:w="-176" w:type="dxa"/>
        <w:tblLayout w:type="fixed"/>
        <w:tblLook w:val="01E0" w:firstRow="1" w:lastRow="1" w:firstColumn="1" w:lastColumn="1" w:noHBand="0" w:noVBand="0"/>
      </w:tblPr>
      <w:tblGrid>
        <w:gridCol w:w="10267"/>
      </w:tblGrid>
      <w:tr w:rsidR="00D2402E" w:rsidRPr="00862949" w14:paraId="38F91CF2" w14:textId="77777777" w:rsidTr="009B0BCE">
        <w:trPr>
          <w:trHeight w:val="192"/>
        </w:trPr>
        <w:tc>
          <w:tcPr>
            <w:tcW w:w="5000" w:type="pct"/>
            <w:tcMar>
              <w:top w:w="57" w:type="dxa"/>
              <w:bottom w:w="57" w:type="dxa"/>
            </w:tcMar>
          </w:tcPr>
          <w:p w14:paraId="42B1C5AC" w14:textId="77777777" w:rsidR="00D2402E" w:rsidRPr="00E369CC" w:rsidRDefault="00860B89" w:rsidP="00F81A28">
            <w:pPr>
              <w:jc w:val="right"/>
              <w:rPr>
                <w:rFonts w:cs="Arial"/>
                <w:b/>
                <w:bCs/>
                <w:iCs/>
                <w:color w:val="0070C0"/>
                <w:sz w:val="15"/>
                <w:szCs w:val="15"/>
                <w:lang w:val="en-US"/>
              </w:rPr>
            </w:pPr>
            <w:r>
              <w:rPr>
                <w:rFonts w:cs="Arial"/>
                <w:b/>
                <w:bCs/>
                <w:iCs/>
                <w:color w:val="333399"/>
                <w:sz w:val="15"/>
                <w:szCs w:val="15"/>
                <w:lang w:val="en-US"/>
              </w:rPr>
              <w:t xml:space="preserve">  </w:t>
            </w:r>
            <w:r w:rsidR="00A3053B">
              <w:rPr>
                <w:rFonts w:cs="Arial"/>
                <w:b/>
                <w:bCs/>
                <w:iCs/>
                <w:color w:val="333399"/>
                <w:sz w:val="15"/>
                <w:szCs w:val="15"/>
                <w:lang w:val="en-US"/>
              </w:rPr>
              <w:t xml:space="preserve"> </w:t>
            </w:r>
            <w:r w:rsidR="00AB34E3" w:rsidRPr="00862949">
              <w:rPr>
                <w:rFonts w:cs="Arial"/>
                <w:b/>
                <w:bCs/>
                <w:iCs/>
                <w:color w:val="333399"/>
                <w:sz w:val="15"/>
                <w:szCs w:val="15"/>
                <w:lang w:val="en-US"/>
              </w:rPr>
              <w:t xml:space="preserve"> </w:t>
            </w:r>
            <w:r w:rsidR="009C539A" w:rsidRPr="00862949">
              <w:rPr>
                <w:rFonts w:cs="Arial"/>
                <w:b/>
                <w:bCs/>
                <w:iCs/>
                <w:color w:val="333399"/>
                <w:sz w:val="15"/>
                <w:szCs w:val="15"/>
                <w:lang w:val="en-US"/>
              </w:rPr>
              <w:t xml:space="preserve"> </w:t>
            </w:r>
            <w:hyperlink r:id="rId11" w:tgtFrame="_blank" w:history="1">
              <w:r w:rsidR="00F81A28" w:rsidRPr="009B0BCE">
                <w:rPr>
                  <w:rStyle w:val="Hyperlink"/>
                  <w:rFonts w:ascii="Arial" w:hAnsi="Arial" w:cs="Arial"/>
                  <w:b/>
                  <w:bCs/>
                  <w:iCs/>
                  <w:color w:val="0070C0"/>
                  <w:sz w:val="20"/>
                  <w:szCs w:val="15"/>
                  <w:lang w:val="en-US"/>
                </w:rPr>
                <w:t>SPS</w:t>
              </w:r>
              <w:r w:rsidR="00D2402E" w:rsidRPr="009B0BCE">
                <w:rPr>
                  <w:rStyle w:val="Hyperlink"/>
                  <w:rFonts w:ascii="Arial" w:hAnsi="Arial" w:cs="Arial"/>
                  <w:b/>
                  <w:bCs/>
                  <w:iCs/>
                  <w:color w:val="0070C0"/>
                  <w:sz w:val="20"/>
                  <w:szCs w:val="15"/>
                  <w:lang w:val="en-US"/>
                </w:rPr>
                <w:t xml:space="preserve"> home</w:t>
              </w:r>
            </w:hyperlink>
            <w:r w:rsidR="00D2402E" w:rsidRPr="009B0BCE">
              <w:rPr>
                <w:rFonts w:cs="Arial"/>
                <w:b/>
                <w:bCs/>
                <w:iCs/>
                <w:color w:val="0070C0"/>
                <w:sz w:val="20"/>
                <w:szCs w:val="15"/>
                <w:lang w:val="en-US"/>
              </w:rPr>
              <w:t xml:space="preserve"> | </w:t>
            </w:r>
            <w:hyperlink r:id="rId12" w:history="1">
              <w:r w:rsidR="00D2402E" w:rsidRPr="009B0BCE">
                <w:rPr>
                  <w:rStyle w:val="Hyperlink"/>
                  <w:rFonts w:ascii="Arial" w:hAnsi="Arial" w:cs="Arial"/>
                  <w:b/>
                  <w:bCs/>
                  <w:iCs/>
                  <w:color w:val="0070C0"/>
                  <w:sz w:val="20"/>
                  <w:szCs w:val="15"/>
                  <w:lang w:val="en-US"/>
                </w:rPr>
                <w:t>Contact</w:t>
              </w:r>
            </w:hyperlink>
          </w:p>
        </w:tc>
      </w:tr>
    </w:tbl>
    <w:p w14:paraId="47D83200" w14:textId="77777777" w:rsidR="00B85859" w:rsidRDefault="00B85859" w:rsidP="00727945">
      <w:pPr>
        <w:rPr>
          <w:rFonts w:ascii="Latha" w:hAnsi="Latha" w:cs="Latha"/>
          <w:sz w:val="8"/>
          <w:szCs w:val="8"/>
        </w:rPr>
      </w:pPr>
    </w:p>
    <w:tbl>
      <w:tblPr>
        <w:tblW w:w="5170" w:type="pct"/>
        <w:tblInd w:w="-176" w:type="dxa"/>
        <w:tblLayout w:type="fixed"/>
        <w:tblLook w:val="01E0" w:firstRow="1" w:lastRow="1" w:firstColumn="1" w:lastColumn="1" w:noHBand="0" w:noVBand="0"/>
      </w:tblPr>
      <w:tblGrid>
        <w:gridCol w:w="3011"/>
        <w:gridCol w:w="7540"/>
      </w:tblGrid>
      <w:tr w:rsidR="0020101A" w:rsidRPr="00862949" w14:paraId="2BE7D312" w14:textId="77777777" w:rsidTr="002772ED">
        <w:tc>
          <w:tcPr>
            <w:tcW w:w="5000" w:type="pct"/>
            <w:gridSpan w:val="2"/>
            <w:shd w:val="clear" w:color="auto" w:fill="0070C0"/>
            <w:tcMar>
              <w:top w:w="85" w:type="dxa"/>
              <w:bottom w:w="85" w:type="dxa"/>
            </w:tcMar>
            <w:vAlign w:val="bottom"/>
          </w:tcPr>
          <w:p w14:paraId="4C030BC8" w14:textId="77777777" w:rsidR="0020101A" w:rsidRPr="00862949" w:rsidRDefault="0020101A" w:rsidP="00720F9E">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20101A" w:rsidRPr="00862949" w14:paraId="490A7C4B" w14:textId="77777777" w:rsidTr="002772ED">
        <w:tc>
          <w:tcPr>
            <w:tcW w:w="5000" w:type="pct"/>
            <w:gridSpan w:val="2"/>
            <w:shd w:val="clear" w:color="auto" w:fill="DAEEF3"/>
            <w:tcMar>
              <w:top w:w="0" w:type="dxa"/>
              <w:bottom w:w="0" w:type="dxa"/>
            </w:tcMar>
          </w:tcPr>
          <w:p w14:paraId="77992417" w14:textId="77777777" w:rsidR="0020101A" w:rsidRPr="00862949" w:rsidRDefault="0020101A" w:rsidP="00720F9E">
            <w:pPr>
              <w:rPr>
                <w:rFonts w:cs="Arial"/>
                <w:b/>
                <w:bCs/>
                <w:i/>
                <w:iCs/>
                <w:color w:val="000000"/>
                <w:sz w:val="8"/>
                <w:szCs w:val="8"/>
                <w:lang w:val="en-US"/>
              </w:rPr>
            </w:pPr>
          </w:p>
        </w:tc>
      </w:tr>
      <w:tr w:rsidR="0020101A" w:rsidRPr="00862949" w14:paraId="2077DAE0" w14:textId="77777777" w:rsidTr="00562CE4">
        <w:tc>
          <w:tcPr>
            <w:tcW w:w="5000" w:type="pct"/>
            <w:gridSpan w:val="2"/>
            <w:shd w:val="clear" w:color="auto" w:fill="008232"/>
            <w:tcMar>
              <w:top w:w="57" w:type="dxa"/>
              <w:bottom w:w="57" w:type="dxa"/>
            </w:tcMar>
          </w:tcPr>
          <w:p w14:paraId="324F1F7D" w14:textId="77777777" w:rsidR="0020101A" w:rsidRPr="00433D3E" w:rsidRDefault="0020101A" w:rsidP="00720F9E">
            <w:pPr>
              <w:rPr>
                <w:rFonts w:cs="Arial"/>
                <w:color w:val="FFFFFF"/>
                <w:sz w:val="20"/>
                <w:szCs w:val="20"/>
              </w:rPr>
            </w:pPr>
            <w:r w:rsidRPr="00433D3E">
              <w:rPr>
                <w:rFonts w:cs="Arial"/>
                <w:b/>
                <w:bCs/>
                <w:i/>
                <w:iCs/>
                <w:color w:val="FFFFFF"/>
                <w:sz w:val="22"/>
                <w:szCs w:val="20"/>
                <w:lang w:val="en-US"/>
              </w:rPr>
              <w:t>Launched in the UK (or licence change for existing products)</w:t>
            </w:r>
          </w:p>
        </w:tc>
      </w:tr>
      <w:tr w:rsidR="00297161" w:rsidRPr="00131D4C" w14:paraId="0B3B3E66" w14:textId="77777777" w:rsidTr="00253431">
        <w:tc>
          <w:tcPr>
            <w:tcW w:w="1427" w:type="pct"/>
            <w:tcMar>
              <w:top w:w="57" w:type="dxa"/>
              <w:left w:w="170" w:type="dxa"/>
              <w:bottom w:w="57" w:type="dxa"/>
              <w:right w:w="170" w:type="dxa"/>
            </w:tcMar>
          </w:tcPr>
          <w:p w14:paraId="143351E5" w14:textId="01DF765D" w:rsidR="00297161" w:rsidRDefault="00297161" w:rsidP="0070555E">
            <w:pPr>
              <w:rPr>
                <w:rFonts w:cs="Arial"/>
                <w:szCs w:val="19"/>
              </w:rPr>
            </w:pPr>
            <w:r>
              <w:rPr>
                <w:rFonts w:cs="Arial"/>
                <w:szCs w:val="19"/>
              </w:rPr>
              <w:t xml:space="preserve">Aflibercept </w:t>
            </w:r>
            <w:r w:rsidR="00D33FD3" w:rsidRPr="00D33FD3">
              <w:rPr>
                <w:rFonts w:cs="Arial"/>
                <w:szCs w:val="19"/>
              </w:rPr>
              <w:t>114.3mg/m</w:t>
            </w:r>
            <w:r w:rsidR="00D33FD3">
              <w:rPr>
                <w:rFonts w:cs="Arial"/>
                <w:szCs w:val="19"/>
              </w:rPr>
              <w:t>L</w:t>
            </w:r>
            <w:r w:rsidR="00D33FD3" w:rsidRPr="00D33FD3">
              <w:rPr>
                <w:rFonts w:cs="Arial"/>
                <w:szCs w:val="19"/>
              </w:rPr>
              <w:t xml:space="preserve"> </w:t>
            </w:r>
            <w:r>
              <w:rPr>
                <w:rFonts w:cs="Arial"/>
                <w:szCs w:val="19"/>
              </w:rPr>
              <w:t>(</w:t>
            </w:r>
            <w:r>
              <w:rPr>
                <w:rFonts w:cs="Arial"/>
                <w:i/>
                <w:iCs/>
                <w:szCs w:val="19"/>
              </w:rPr>
              <w:t>Eylea</w:t>
            </w:r>
            <w:r>
              <w:rPr>
                <w:rFonts w:cs="Arial"/>
                <w:szCs w:val="19"/>
              </w:rPr>
              <w:t>)</w:t>
            </w:r>
          </w:p>
          <w:p w14:paraId="0C074BC6" w14:textId="1C552167" w:rsidR="00BD230A" w:rsidRPr="00BD230A" w:rsidRDefault="00BD230A" w:rsidP="0070555E">
            <w:pPr>
              <w:rPr>
                <w:rFonts w:cs="Arial"/>
                <w:sz w:val="16"/>
                <w:szCs w:val="16"/>
              </w:rPr>
            </w:pPr>
            <w:r w:rsidRPr="00BD230A">
              <w:rPr>
                <w:rFonts w:cs="Arial"/>
                <w:sz w:val="16"/>
                <w:szCs w:val="16"/>
              </w:rPr>
              <w:t>30.1mg in 0.263mL vial</w:t>
            </w:r>
          </w:p>
        </w:tc>
        <w:tc>
          <w:tcPr>
            <w:tcW w:w="3573" w:type="pct"/>
            <w:tcMar>
              <w:top w:w="57" w:type="dxa"/>
              <w:left w:w="170" w:type="dxa"/>
              <w:bottom w:w="57" w:type="dxa"/>
              <w:right w:w="170" w:type="dxa"/>
            </w:tcMar>
          </w:tcPr>
          <w:p w14:paraId="22538718" w14:textId="77777777" w:rsidR="000A4555" w:rsidRDefault="000A4555" w:rsidP="0011452F">
            <w:pPr>
              <w:tabs>
                <w:tab w:val="center" w:pos="3152"/>
              </w:tabs>
              <w:rPr>
                <w:rFonts w:cs="Arial"/>
                <w:sz w:val="16"/>
                <w:szCs w:val="16"/>
                <w:lang w:val="en-US"/>
              </w:rPr>
            </w:pPr>
            <w:r w:rsidRPr="000A4555">
              <w:rPr>
                <w:rFonts w:cs="Arial"/>
                <w:szCs w:val="19"/>
                <w:lang w:val="en-US"/>
              </w:rPr>
              <w:t xml:space="preserve">Use in adults for the treatment of visual impairment due to macular oedema secondary to retinal vein occlusion (branch, central and </w:t>
            </w:r>
            <w:proofErr w:type="spellStart"/>
            <w:r w:rsidRPr="000A4555">
              <w:rPr>
                <w:rFonts w:cs="Arial"/>
                <w:szCs w:val="19"/>
                <w:lang w:val="en-US"/>
              </w:rPr>
              <w:t>hemiretinal</w:t>
            </w:r>
            <w:proofErr w:type="spellEnd"/>
            <w:r w:rsidRPr="000A4555">
              <w:rPr>
                <w:rFonts w:cs="Arial"/>
                <w:szCs w:val="19"/>
                <w:lang w:val="en-US"/>
              </w:rPr>
              <w:t xml:space="preserve"> RV</w:t>
            </w:r>
            <w:r>
              <w:rPr>
                <w:rFonts w:cs="Arial"/>
                <w:szCs w:val="19"/>
                <w:lang w:val="en-US"/>
              </w:rPr>
              <w:t>O)</w:t>
            </w:r>
            <w:r w:rsidRPr="000A4555">
              <w:rPr>
                <w:rFonts w:cs="Arial"/>
                <w:sz w:val="16"/>
                <w:szCs w:val="16"/>
                <w:lang w:val="en-US"/>
              </w:rPr>
              <w:t xml:space="preserve"> </w:t>
            </w:r>
          </w:p>
          <w:p w14:paraId="0EF29498" w14:textId="3767C093" w:rsidR="00297161" w:rsidRPr="00FB6149" w:rsidRDefault="000A4555" w:rsidP="0011452F">
            <w:pPr>
              <w:tabs>
                <w:tab w:val="center" w:pos="3152"/>
              </w:tabs>
              <w:rPr>
                <w:rFonts w:cs="Arial"/>
                <w:szCs w:val="19"/>
                <w:lang w:val="en-US"/>
              </w:rPr>
            </w:pPr>
            <w:r w:rsidRPr="000A4555">
              <w:rPr>
                <w:rFonts w:cs="Arial"/>
                <w:sz w:val="16"/>
                <w:szCs w:val="16"/>
                <w:lang w:val="en-US"/>
              </w:rPr>
              <w:t>[new indication]</w:t>
            </w:r>
          </w:p>
        </w:tc>
      </w:tr>
      <w:tr w:rsidR="00BE15A9" w:rsidRPr="00131D4C" w14:paraId="49A56BF2" w14:textId="77777777" w:rsidTr="00253431">
        <w:tc>
          <w:tcPr>
            <w:tcW w:w="1427" w:type="pct"/>
            <w:tcMar>
              <w:top w:w="57" w:type="dxa"/>
              <w:left w:w="170" w:type="dxa"/>
              <w:bottom w:w="57" w:type="dxa"/>
              <w:right w:w="170" w:type="dxa"/>
            </w:tcMar>
          </w:tcPr>
          <w:p w14:paraId="3FEF759A" w14:textId="77777777" w:rsidR="00BE15A9" w:rsidRDefault="00B674F2" w:rsidP="0070555E">
            <w:pPr>
              <w:rPr>
                <w:rFonts w:cs="Arial"/>
                <w:szCs w:val="19"/>
              </w:rPr>
            </w:pPr>
            <w:r w:rsidRPr="00B674F2">
              <w:rPr>
                <w:rFonts w:cs="Arial"/>
                <w:szCs w:val="19"/>
              </w:rPr>
              <w:t>Aflibercept biosimilar (</w:t>
            </w:r>
            <w:r w:rsidRPr="00B674F2">
              <w:rPr>
                <w:rFonts w:cs="Arial"/>
                <w:i/>
                <w:iCs/>
                <w:szCs w:val="19"/>
              </w:rPr>
              <w:t>Vgenfli</w:t>
            </w:r>
            <w:r>
              <w:rPr>
                <w:rFonts w:cs="Arial"/>
                <w:szCs w:val="19"/>
              </w:rPr>
              <w:t>)</w:t>
            </w:r>
          </w:p>
          <w:p w14:paraId="31147C66" w14:textId="1EB87B52" w:rsidR="00B674F2" w:rsidRPr="00FD256E" w:rsidRDefault="00FD256E" w:rsidP="0070555E">
            <w:pPr>
              <w:rPr>
                <w:rFonts w:cs="Arial"/>
                <w:sz w:val="16"/>
                <w:szCs w:val="16"/>
              </w:rPr>
            </w:pPr>
            <w:r w:rsidRPr="00FD256E">
              <w:rPr>
                <w:rFonts w:cs="Arial"/>
                <w:sz w:val="16"/>
                <w:szCs w:val="16"/>
              </w:rPr>
              <w:t>6.6mg in 0.165mL pre-filled syringe</w:t>
            </w:r>
          </w:p>
        </w:tc>
        <w:tc>
          <w:tcPr>
            <w:tcW w:w="3573" w:type="pct"/>
            <w:tcMar>
              <w:top w:w="57" w:type="dxa"/>
              <w:left w:w="170" w:type="dxa"/>
              <w:bottom w:w="57" w:type="dxa"/>
              <w:right w:w="170" w:type="dxa"/>
            </w:tcMar>
          </w:tcPr>
          <w:p w14:paraId="79F5114B" w14:textId="74D28FDB" w:rsidR="00BE15A9" w:rsidRPr="009C4947" w:rsidRDefault="00FB6149" w:rsidP="0011452F">
            <w:pPr>
              <w:tabs>
                <w:tab w:val="center" w:pos="3152"/>
              </w:tabs>
              <w:rPr>
                <w:rFonts w:cs="Arial"/>
                <w:szCs w:val="19"/>
                <w:lang w:val="en-US"/>
              </w:rPr>
            </w:pPr>
            <w:r w:rsidRPr="00FB6149">
              <w:rPr>
                <w:rFonts w:cs="Arial"/>
                <w:szCs w:val="19"/>
                <w:lang w:val="en-US"/>
              </w:rPr>
              <w:t xml:space="preserve">Treatment of neovascular (wet) age-related macular degeneration, visual impairment due to macular oedema secondary to retinal vein occlusion (branch RVO or central RVO), visual impairment due to diabetic macular oedema, and visual impairment due to myopic choroidal </w:t>
            </w:r>
            <w:r w:rsidR="008C19A0">
              <w:rPr>
                <w:rFonts w:cs="Arial"/>
                <w:szCs w:val="19"/>
                <w:lang w:val="en-US"/>
              </w:rPr>
              <w:t>neovascularization</w:t>
            </w:r>
          </w:p>
        </w:tc>
      </w:tr>
      <w:tr w:rsidR="00FC0774" w:rsidRPr="00131D4C" w14:paraId="58003144" w14:textId="77777777" w:rsidTr="00253431">
        <w:tc>
          <w:tcPr>
            <w:tcW w:w="1427" w:type="pct"/>
            <w:tcMar>
              <w:top w:w="57" w:type="dxa"/>
              <w:left w:w="170" w:type="dxa"/>
              <w:bottom w:w="57" w:type="dxa"/>
              <w:right w:w="170" w:type="dxa"/>
            </w:tcMar>
          </w:tcPr>
          <w:p w14:paraId="42BA063E" w14:textId="77777777" w:rsidR="00FC0774" w:rsidRDefault="00FC0774" w:rsidP="00FC0774">
            <w:pPr>
              <w:rPr>
                <w:rFonts w:cs="Arial"/>
                <w:szCs w:val="19"/>
              </w:rPr>
            </w:pPr>
            <w:r>
              <w:rPr>
                <w:rFonts w:cs="Arial"/>
                <w:szCs w:val="19"/>
              </w:rPr>
              <w:t>Denosumab biosimilar (</w:t>
            </w:r>
            <w:r>
              <w:rPr>
                <w:rFonts w:cs="Arial"/>
                <w:i/>
                <w:iCs/>
                <w:szCs w:val="19"/>
              </w:rPr>
              <w:t>Bomyntra</w:t>
            </w:r>
            <w:r>
              <w:rPr>
                <w:rFonts w:cs="Arial"/>
                <w:szCs w:val="19"/>
              </w:rPr>
              <w:t>)</w:t>
            </w:r>
          </w:p>
          <w:p w14:paraId="639B0EAC" w14:textId="758E404D" w:rsidR="00FC0774" w:rsidRPr="00AD2DCA" w:rsidRDefault="00FC0774" w:rsidP="00FC0774">
            <w:pPr>
              <w:rPr>
                <w:rFonts w:cs="Arial"/>
                <w:szCs w:val="19"/>
              </w:rPr>
            </w:pPr>
            <w:r w:rsidRPr="00D0192D">
              <w:rPr>
                <w:rFonts w:cs="Arial"/>
                <w:sz w:val="16"/>
                <w:szCs w:val="16"/>
              </w:rPr>
              <w:t>120mg in 1.7mL prefilled syringe</w:t>
            </w:r>
            <w:r>
              <w:rPr>
                <w:rFonts w:cs="Arial"/>
                <w:sz w:val="16"/>
                <w:szCs w:val="16"/>
              </w:rPr>
              <w:t xml:space="preserve"> and 120mg in 1.7ml vial</w:t>
            </w:r>
          </w:p>
        </w:tc>
        <w:tc>
          <w:tcPr>
            <w:tcW w:w="3573" w:type="pct"/>
            <w:tcMar>
              <w:top w:w="57" w:type="dxa"/>
              <w:left w:w="170" w:type="dxa"/>
              <w:bottom w:w="57" w:type="dxa"/>
              <w:right w:w="170" w:type="dxa"/>
            </w:tcMar>
          </w:tcPr>
          <w:p w14:paraId="4E8ED14C" w14:textId="6D45CA9F" w:rsidR="00FC0774" w:rsidRPr="00E637E1" w:rsidRDefault="00FC0774" w:rsidP="00FC0774">
            <w:pPr>
              <w:tabs>
                <w:tab w:val="center" w:pos="3152"/>
              </w:tabs>
              <w:rPr>
                <w:rFonts w:cs="Arial"/>
                <w:szCs w:val="19"/>
                <w:lang w:val="en-US"/>
              </w:rPr>
            </w:pPr>
            <w:r>
              <w:rPr>
                <w:rFonts w:cs="Arial"/>
                <w:szCs w:val="19"/>
                <w:lang w:val="en-US"/>
              </w:rPr>
              <w:t>Prevention</w:t>
            </w:r>
            <w:r w:rsidRPr="00D0192D">
              <w:rPr>
                <w:rFonts w:cs="Arial"/>
                <w:szCs w:val="19"/>
                <w:lang w:val="en-US"/>
              </w:rPr>
              <w:t xml:space="preserve">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3E0FC9" w:rsidRPr="00131D4C" w14:paraId="3896F149" w14:textId="77777777" w:rsidTr="00253431">
        <w:tc>
          <w:tcPr>
            <w:tcW w:w="1427" w:type="pct"/>
            <w:tcMar>
              <w:top w:w="57" w:type="dxa"/>
              <w:left w:w="170" w:type="dxa"/>
              <w:bottom w:w="57" w:type="dxa"/>
              <w:right w:w="170" w:type="dxa"/>
            </w:tcMar>
          </w:tcPr>
          <w:p w14:paraId="60D2FF1B" w14:textId="77777777" w:rsidR="003E0FC9" w:rsidRDefault="003E0FC9" w:rsidP="003E0FC9">
            <w:pPr>
              <w:rPr>
                <w:rFonts w:cs="Arial"/>
                <w:szCs w:val="19"/>
              </w:rPr>
            </w:pPr>
            <w:r w:rsidRPr="00AD2DCA">
              <w:rPr>
                <w:rFonts w:cs="Arial"/>
                <w:szCs w:val="19"/>
              </w:rPr>
              <w:t>Denosumab biosimilar </w:t>
            </w:r>
          </w:p>
          <w:p w14:paraId="19919DEE" w14:textId="77777777" w:rsidR="003E0FC9" w:rsidRDefault="003E0FC9" w:rsidP="003E0FC9">
            <w:pPr>
              <w:rPr>
                <w:rFonts w:cs="Arial"/>
                <w:sz w:val="16"/>
                <w:szCs w:val="16"/>
              </w:rPr>
            </w:pPr>
            <w:r>
              <w:rPr>
                <w:rFonts w:cs="Arial"/>
                <w:szCs w:val="19"/>
              </w:rPr>
              <w:t>(</w:t>
            </w:r>
            <w:proofErr w:type="spellStart"/>
            <w:r w:rsidRPr="005A7E81">
              <w:rPr>
                <w:rFonts w:cs="Arial"/>
                <w:i/>
                <w:iCs/>
                <w:szCs w:val="19"/>
              </w:rPr>
              <w:t>Conexxence</w:t>
            </w:r>
            <w:proofErr w:type="spellEnd"/>
            <w:r>
              <w:rPr>
                <w:rFonts w:cs="Arial"/>
                <w:szCs w:val="19"/>
              </w:rPr>
              <w:t>)</w:t>
            </w:r>
            <w:r w:rsidRPr="006A2DAB">
              <w:rPr>
                <w:rFonts w:cs="Arial"/>
                <w:sz w:val="16"/>
                <w:szCs w:val="16"/>
              </w:rPr>
              <w:t xml:space="preserve"> </w:t>
            </w:r>
          </w:p>
          <w:p w14:paraId="2E8DD509" w14:textId="02647541" w:rsidR="003E0FC9" w:rsidRDefault="003E0FC9" w:rsidP="003E0FC9">
            <w:pPr>
              <w:rPr>
                <w:rFonts w:cs="Arial"/>
                <w:szCs w:val="19"/>
              </w:rPr>
            </w:pPr>
            <w:r w:rsidRPr="006A2DAB">
              <w:rPr>
                <w:rFonts w:cs="Arial"/>
                <w:sz w:val="16"/>
                <w:szCs w:val="16"/>
              </w:rPr>
              <w:t>60mg in 1mL prefilled syringe</w:t>
            </w:r>
          </w:p>
        </w:tc>
        <w:tc>
          <w:tcPr>
            <w:tcW w:w="3573" w:type="pct"/>
            <w:tcMar>
              <w:top w:w="57" w:type="dxa"/>
              <w:left w:w="170" w:type="dxa"/>
              <w:bottom w:w="57" w:type="dxa"/>
              <w:right w:w="170" w:type="dxa"/>
            </w:tcMar>
          </w:tcPr>
          <w:p w14:paraId="12328EA4" w14:textId="62F2DE28" w:rsidR="003E0FC9" w:rsidRPr="00900CE0" w:rsidRDefault="003E0FC9" w:rsidP="003E0FC9">
            <w:pPr>
              <w:tabs>
                <w:tab w:val="center" w:pos="3152"/>
              </w:tabs>
              <w:rPr>
                <w:rFonts w:cs="Arial"/>
                <w:szCs w:val="19"/>
              </w:rPr>
            </w:pPr>
            <w:r w:rsidRPr="00E637E1">
              <w:rPr>
                <w:rFonts w:cs="Arial"/>
                <w:szCs w:val="19"/>
                <w:lang w:val="en-US"/>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3E0FC9" w:rsidRPr="00131D4C" w14:paraId="356A5A79" w14:textId="77777777" w:rsidTr="00253431">
        <w:tc>
          <w:tcPr>
            <w:tcW w:w="1427" w:type="pct"/>
            <w:tcMar>
              <w:top w:w="57" w:type="dxa"/>
              <w:left w:w="170" w:type="dxa"/>
              <w:bottom w:w="57" w:type="dxa"/>
              <w:right w:w="170" w:type="dxa"/>
            </w:tcMar>
          </w:tcPr>
          <w:p w14:paraId="68CA3F95" w14:textId="77777777" w:rsidR="003E0FC9" w:rsidRDefault="003E0FC9" w:rsidP="003E0FC9">
            <w:pPr>
              <w:rPr>
                <w:rFonts w:cs="Arial"/>
                <w:szCs w:val="19"/>
              </w:rPr>
            </w:pPr>
            <w:r>
              <w:rPr>
                <w:rFonts w:cs="Arial"/>
                <w:szCs w:val="19"/>
              </w:rPr>
              <w:t>Denosumab biosimilar (</w:t>
            </w:r>
            <w:proofErr w:type="spellStart"/>
            <w:r>
              <w:rPr>
                <w:rFonts w:cs="Arial"/>
                <w:i/>
                <w:iCs/>
                <w:szCs w:val="19"/>
              </w:rPr>
              <w:t>Kefdensis</w:t>
            </w:r>
            <w:proofErr w:type="spellEnd"/>
            <w:r>
              <w:rPr>
                <w:rFonts w:cs="Arial"/>
                <w:szCs w:val="19"/>
              </w:rPr>
              <w:t>)</w:t>
            </w:r>
          </w:p>
          <w:p w14:paraId="198B444F" w14:textId="31F61697" w:rsidR="003E0FC9" w:rsidRPr="00AD2DCA" w:rsidRDefault="003E0FC9" w:rsidP="003E0FC9">
            <w:pPr>
              <w:rPr>
                <w:rFonts w:cs="Arial"/>
                <w:szCs w:val="19"/>
              </w:rPr>
            </w:pPr>
            <w:r w:rsidRPr="00BF40A6">
              <w:rPr>
                <w:rFonts w:cs="Arial"/>
                <w:sz w:val="16"/>
                <w:szCs w:val="16"/>
              </w:rPr>
              <w:t>60mg in 1mL prefilled syringe</w:t>
            </w:r>
          </w:p>
        </w:tc>
        <w:tc>
          <w:tcPr>
            <w:tcW w:w="3573" w:type="pct"/>
            <w:tcMar>
              <w:top w:w="57" w:type="dxa"/>
              <w:left w:w="170" w:type="dxa"/>
              <w:bottom w:w="57" w:type="dxa"/>
              <w:right w:w="170" w:type="dxa"/>
            </w:tcMar>
          </w:tcPr>
          <w:p w14:paraId="0EC84E23" w14:textId="48CD6211" w:rsidR="003E0FC9" w:rsidRPr="00E637E1" w:rsidRDefault="003E0FC9" w:rsidP="003E0FC9">
            <w:pPr>
              <w:tabs>
                <w:tab w:val="center" w:pos="3152"/>
              </w:tabs>
              <w:rPr>
                <w:rFonts w:cs="Arial"/>
                <w:szCs w:val="19"/>
                <w:lang w:val="en-US"/>
              </w:rPr>
            </w:pPr>
            <w:r w:rsidRPr="00900CE0">
              <w:rPr>
                <w:rFonts w:cs="Arial"/>
                <w:szCs w:val="19"/>
              </w:rPr>
              <w:t>Treatment of osteoporosis in postmenopausal women and in men at increased risk of</w:t>
            </w:r>
            <w:r>
              <w:rPr>
                <w:rFonts w:cs="Arial"/>
                <w:szCs w:val="19"/>
              </w:rPr>
              <w:t xml:space="preserve"> f</w:t>
            </w:r>
            <w:r w:rsidRPr="00900CE0">
              <w:rPr>
                <w:rFonts w:cs="Arial"/>
                <w:szCs w:val="19"/>
              </w:rPr>
              <w:t>ractures</w:t>
            </w:r>
            <w:r>
              <w:rPr>
                <w:rFonts w:cs="Arial"/>
                <w:szCs w:val="19"/>
              </w:rPr>
              <w:t>, t</w:t>
            </w:r>
            <w:r w:rsidRPr="00900CE0">
              <w:rPr>
                <w:rFonts w:cs="Arial"/>
                <w:szCs w:val="19"/>
              </w:rPr>
              <w:t>reatment of bone loss associated with hormone ablation in men with prostate cancer</w:t>
            </w:r>
            <w:r>
              <w:rPr>
                <w:rFonts w:cs="Arial"/>
                <w:szCs w:val="19"/>
              </w:rPr>
              <w:t xml:space="preserve"> </w:t>
            </w:r>
            <w:r w:rsidRPr="00900CE0">
              <w:rPr>
                <w:rFonts w:cs="Arial"/>
                <w:szCs w:val="19"/>
              </w:rPr>
              <w:t>at increased risk of fractures</w:t>
            </w:r>
            <w:r>
              <w:rPr>
                <w:rFonts w:cs="Arial"/>
                <w:szCs w:val="19"/>
              </w:rPr>
              <w:t>, and t</w:t>
            </w:r>
            <w:r w:rsidRPr="00900CE0">
              <w:rPr>
                <w:rFonts w:cs="Arial"/>
                <w:szCs w:val="19"/>
              </w:rPr>
              <w:t>reatment of bone loss associated with long-term systemic glucocorticoid therapy in</w:t>
            </w:r>
            <w:r>
              <w:rPr>
                <w:rFonts w:cs="Arial"/>
                <w:szCs w:val="19"/>
              </w:rPr>
              <w:t xml:space="preserve"> </w:t>
            </w:r>
            <w:r w:rsidRPr="00900CE0">
              <w:rPr>
                <w:rFonts w:cs="Arial"/>
                <w:szCs w:val="19"/>
              </w:rPr>
              <w:t>adults at increased risk of fracture</w:t>
            </w:r>
          </w:p>
        </w:tc>
      </w:tr>
      <w:tr w:rsidR="003E0FC9" w:rsidRPr="00131D4C" w14:paraId="5297D5CB" w14:textId="77777777" w:rsidTr="00253431">
        <w:tc>
          <w:tcPr>
            <w:tcW w:w="1427" w:type="pct"/>
            <w:tcMar>
              <w:top w:w="57" w:type="dxa"/>
              <w:left w:w="170" w:type="dxa"/>
              <w:bottom w:w="57" w:type="dxa"/>
              <w:right w:w="170" w:type="dxa"/>
            </w:tcMar>
          </w:tcPr>
          <w:p w14:paraId="622CC6B0" w14:textId="77777777" w:rsidR="003E0FC9" w:rsidRDefault="003E0FC9" w:rsidP="003E0FC9">
            <w:pPr>
              <w:rPr>
                <w:rFonts w:cs="Arial"/>
                <w:szCs w:val="19"/>
              </w:rPr>
            </w:pPr>
            <w:r w:rsidRPr="00AD2DCA">
              <w:rPr>
                <w:rFonts w:cs="Arial"/>
                <w:szCs w:val="19"/>
              </w:rPr>
              <w:t>Denosumab</w:t>
            </w:r>
            <w:r>
              <w:rPr>
                <w:rFonts w:cs="Arial"/>
                <w:szCs w:val="19"/>
              </w:rPr>
              <w:t xml:space="preserve"> </w:t>
            </w:r>
            <w:r w:rsidRPr="00AD2DCA">
              <w:rPr>
                <w:rFonts w:cs="Arial"/>
                <w:szCs w:val="19"/>
              </w:rPr>
              <w:t>biosimilar </w:t>
            </w:r>
          </w:p>
          <w:p w14:paraId="3E8373B4" w14:textId="69FE771F" w:rsidR="003E0FC9" w:rsidRDefault="003E0FC9" w:rsidP="003E0FC9">
            <w:pPr>
              <w:rPr>
                <w:rFonts w:cs="Arial"/>
                <w:sz w:val="16"/>
                <w:szCs w:val="16"/>
              </w:rPr>
            </w:pPr>
            <w:r>
              <w:rPr>
                <w:rFonts w:cs="Arial"/>
                <w:szCs w:val="19"/>
              </w:rPr>
              <w:t>(</w:t>
            </w:r>
            <w:proofErr w:type="spellStart"/>
            <w:r>
              <w:rPr>
                <w:rFonts w:cs="Arial"/>
                <w:i/>
                <w:iCs/>
                <w:szCs w:val="19"/>
              </w:rPr>
              <w:t>Zadenvi</w:t>
            </w:r>
            <w:proofErr w:type="spellEnd"/>
            <w:r>
              <w:rPr>
                <w:rFonts w:cs="Arial"/>
                <w:szCs w:val="19"/>
              </w:rPr>
              <w:t>)</w:t>
            </w:r>
            <w:r w:rsidRPr="006A2DAB">
              <w:rPr>
                <w:rFonts w:cs="Arial"/>
                <w:sz w:val="16"/>
                <w:szCs w:val="16"/>
              </w:rPr>
              <w:t xml:space="preserve"> </w:t>
            </w:r>
          </w:p>
          <w:p w14:paraId="6A2B0CEF" w14:textId="53FA944F" w:rsidR="003E0FC9" w:rsidRPr="00CB7CB1" w:rsidRDefault="003E0FC9" w:rsidP="003E0FC9">
            <w:pPr>
              <w:rPr>
                <w:rFonts w:cs="Arial"/>
                <w:szCs w:val="19"/>
              </w:rPr>
            </w:pPr>
            <w:r w:rsidRPr="006A2DAB">
              <w:rPr>
                <w:rFonts w:cs="Arial"/>
                <w:sz w:val="16"/>
                <w:szCs w:val="16"/>
              </w:rPr>
              <w:t>60mg in 1mL prefilled syringe</w:t>
            </w:r>
          </w:p>
        </w:tc>
        <w:tc>
          <w:tcPr>
            <w:tcW w:w="3573" w:type="pct"/>
            <w:tcMar>
              <w:top w:w="57" w:type="dxa"/>
              <w:left w:w="170" w:type="dxa"/>
              <w:bottom w:w="57" w:type="dxa"/>
              <w:right w:w="170" w:type="dxa"/>
            </w:tcMar>
          </w:tcPr>
          <w:p w14:paraId="109C2DDB" w14:textId="4F188552" w:rsidR="003E0FC9" w:rsidRDefault="003E0FC9" w:rsidP="003E0FC9">
            <w:pPr>
              <w:tabs>
                <w:tab w:val="center" w:pos="3152"/>
              </w:tabs>
              <w:rPr>
                <w:rFonts w:cs="Arial"/>
                <w:bCs/>
                <w:szCs w:val="19"/>
              </w:rPr>
            </w:pPr>
            <w:r w:rsidRPr="00E637E1">
              <w:rPr>
                <w:rFonts w:cs="Arial"/>
                <w:szCs w:val="19"/>
                <w:lang w:val="en-US"/>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992C25" w:rsidRPr="00131D4C" w14:paraId="7B1F0291" w14:textId="77777777" w:rsidTr="00253431">
        <w:tc>
          <w:tcPr>
            <w:tcW w:w="1427" w:type="pct"/>
            <w:tcMar>
              <w:top w:w="57" w:type="dxa"/>
              <w:left w:w="170" w:type="dxa"/>
              <w:bottom w:w="57" w:type="dxa"/>
              <w:right w:w="170" w:type="dxa"/>
            </w:tcMar>
          </w:tcPr>
          <w:p w14:paraId="4F07ECD6" w14:textId="77777777" w:rsidR="00992C25" w:rsidRDefault="000D0270" w:rsidP="003E0FC9">
            <w:pPr>
              <w:rPr>
                <w:rFonts w:cs="Arial"/>
                <w:color w:val="000000" w:themeColor="text1"/>
                <w:szCs w:val="19"/>
              </w:rPr>
            </w:pPr>
            <w:r w:rsidRPr="000D0270">
              <w:rPr>
                <w:rFonts w:cs="Arial"/>
                <w:color w:val="000000" w:themeColor="text1"/>
                <w:szCs w:val="19"/>
              </w:rPr>
              <w:t>Denosumab biosimilar (</w:t>
            </w:r>
            <w:proofErr w:type="spellStart"/>
            <w:r w:rsidRPr="000D0270">
              <w:rPr>
                <w:rFonts w:cs="Arial"/>
                <w:i/>
                <w:iCs/>
                <w:color w:val="000000" w:themeColor="text1"/>
                <w:szCs w:val="19"/>
              </w:rPr>
              <w:t>Zvogra</w:t>
            </w:r>
            <w:proofErr w:type="spellEnd"/>
            <w:r>
              <w:rPr>
                <w:rFonts w:cs="Arial"/>
                <w:color w:val="000000" w:themeColor="text1"/>
                <w:szCs w:val="19"/>
              </w:rPr>
              <w:t>)</w:t>
            </w:r>
          </w:p>
          <w:p w14:paraId="34B7B330" w14:textId="26C88FFE" w:rsidR="000D0270" w:rsidRPr="000D0270" w:rsidRDefault="000D0270" w:rsidP="003E0FC9">
            <w:pPr>
              <w:rPr>
                <w:rFonts w:cs="Arial"/>
                <w:color w:val="000000" w:themeColor="text1"/>
                <w:sz w:val="16"/>
                <w:szCs w:val="16"/>
              </w:rPr>
            </w:pPr>
            <w:r w:rsidRPr="000D0270">
              <w:rPr>
                <w:rFonts w:cs="Arial"/>
                <w:color w:val="000000" w:themeColor="text1"/>
                <w:sz w:val="16"/>
                <w:szCs w:val="16"/>
              </w:rPr>
              <w:t>120mg in 1.7mL vial</w:t>
            </w:r>
          </w:p>
        </w:tc>
        <w:tc>
          <w:tcPr>
            <w:tcW w:w="3573" w:type="pct"/>
            <w:tcMar>
              <w:top w:w="57" w:type="dxa"/>
              <w:left w:w="170" w:type="dxa"/>
              <w:bottom w:w="57" w:type="dxa"/>
              <w:right w:w="170" w:type="dxa"/>
            </w:tcMar>
          </w:tcPr>
          <w:p w14:paraId="0662107B" w14:textId="19EAC359" w:rsidR="00992C25" w:rsidRPr="0048384B" w:rsidRDefault="00CA4947" w:rsidP="003E0FC9">
            <w:pPr>
              <w:tabs>
                <w:tab w:val="center" w:pos="3152"/>
              </w:tabs>
              <w:rPr>
                <w:rFonts w:cs="Arial"/>
                <w:color w:val="000000" w:themeColor="text1"/>
                <w:szCs w:val="19"/>
                <w:lang w:val="en-US"/>
              </w:rPr>
            </w:pPr>
            <w:r>
              <w:rPr>
                <w:rFonts w:cs="Arial"/>
                <w:color w:val="000000" w:themeColor="text1"/>
                <w:szCs w:val="19"/>
                <w:lang w:val="en-US"/>
              </w:rPr>
              <w:t>Preventio</w:t>
            </w:r>
            <w:r w:rsidRPr="00CA4947">
              <w:rPr>
                <w:rFonts w:cs="Arial"/>
                <w:color w:val="000000" w:themeColor="text1"/>
                <w:szCs w:val="19"/>
                <w:lang w:val="en-US"/>
              </w:rPr>
              <w:t>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3E0FC9" w:rsidRPr="00131D4C" w14:paraId="1B3C2379" w14:textId="77777777" w:rsidTr="00253431">
        <w:tc>
          <w:tcPr>
            <w:tcW w:w="1427" w:type="pct"/>
            <w:tcMar>
              <w:top w:w="57" w:type="dxa"/>
              <w:left w:w="170" w:type="dxa"/>
              <w:bottom w:w="57" w:type="dxa"/>
              <w:right w:w="170" w:type="dxa"/>
            </w:tcMar>
          </w:tcPr>
          <w:p w14:paraId="543D2C09" w14:textId="77777777" w:rsidR="003E0FC9" w:rsidRDefault="003E0FC9" w:rsidP="003E0FC9">
            <w:pPr>
              <w:rPr>
                <w:rFonts w:cs="Arial"/>
                <w:color w:val="000000" w:themeColor="text1"/>
                <w:szCs w:val="19"/>
              </w:rPr>
            </w:pPr>
            <w:proofErr w:type="spellStart"/>
            <w:r w:rsidRPr="0048384B">
              <w:rPr>
                <w:rFonts w:cs="Arial"/>
                <w:color w:val="000000" w:themeColor="text1"/>
                <w:szCs w:val="19"/>
              </w:rPr>
              <w:t>Givinostat</w:t>
            </w:r>
            <w:proofErr w:type="spellEnd"/>
            <w:r w:rsidRPr="0048384B">
              <w:rPr>
                <w:rFonts w:cs="Arial"/>
                <w:color w:val="000000" w:themeColor="text1"/>
                <w:szCs w:val="19"/>
              </w:rPr>
              <w:t xml:space="preserve"> (</w:t>
            </w:r>
            <w:proofErr w:type="spellStart"/>
            <w:r w:rsidRPr="0048384B">
              <w:rPr>
                <w:rFonts w:cs="Arial"/>
                <w:i/>
                <w:iCs/>
                <w:color w:val="000000" w:themeColor="text1"/>
                <w:szCs w:val="19"/>
              </w:rPr>
              <w:t>Duvyzat</w:t>
            </w:r>
            <w:proofErr w:type="spellEnd"/>
            <w:r w:rsidRPr="0048384B">
              <w:rPr>
                <w:rFonts w:cs="Arial"/>
                <w:color w:val="000000" w:themeColor="text1"/>
                <w:szCs w:val="19"/>
              </w:rPr>
              <w:t>)</w:t>
            </w:r>
          </w:p>
          <w:p w14:paraId="25F19F2B" w14:textId="49CF400B" w:rsidR="003E0FC9" w:rsidRPr="009B4F9E" w:rsidRDefault="003E0FC9" w:rsidP="003E0FC9">
            <w:pPr>
              <w:rPr>
                <w:rFonts w:cs="Arial"/>
                <w:szCs w:val="19"/>
              </w:rPr>
            </w:pPr>
            <w:r w:rsidRPr="00D33693">
              <w:rPr>
                <w:rFonts w:cs="Arial"/>
                <w:color w:val="000000" w:themeColor="text1"/>
                <w:sz w:val="16"/>
                <w:szCs w:val="16"/>
              </w:rPr>
              <w:t>8.86mg</w:t>
            </w:r>
            <w:r>
              <w:rPr>
                <w:rFonts w:cs="Arial"/>
                <w:color w:val="000000" w:themeColor="text1"/>
                <w:sz w:val="16"/>
                <w:szCs w:val="16"/>
              </w:rPr>
              <w:t xml:space="preserve"> in 1</w:t>
            </w:r>
            <w:r w:rsidRPr="00D33693">
              <w:rPr>
                <w:rFonts w:cs="Arial"/>
                <w:color w:val="000000" w:themeColor="text1"/>
                <w:sz w:val="16"/>
                <w:szCs w:val="16"/>
              </w:rPr>
              <w:t>mL oral suspension</w:t>
            </w:r>
          </w:p>
        </w:tc>
        <w:tc>
          <w:tcPr>
            <w:tcW w:w="3573" w:type="pct"/>
            <w:tcMar>
              <w:top w:w="57" w:type="dxa"/>
              <w:left w:w="170" w:type="dxa"/>
              <w:bottom w:w="57" w:type="dxa"/>
              <w:right w:w="170" w:type="dxa"/>
            </w:tcMar>
          </w:tcPr>
          <w:p w14:paraId="417406F8" w14:textId="2559848C" w:rsidR="003E0FC9" w:rsidRPr="00A075A3" w:rsidRDefault="003E0FC9" w:rsidP="003E0FC9">
            <w:pPr>
              <w:tabs>
                <w:tab w:val="center" w:pos="3152"/>
              </w:tabs>
              <w:rPr>
                <w:rFonts w:cs="Arial"/>
                <w:szCs w:val="19"/>
                <w:lang w:val="en-US"/>
              </w:rPr>
            </w:pPr>
            <w:r w:rsidRPr="0048384B">
              <w:rPr>
                <w:rFonts w:cs="Arial"/>
                <w:color w:val="000000" w:themeColor="text1"/>
                <w:szCs w:val="19"/>
                <w:lang w:val="en-US"/>
              </w:rPr>
              <w:t xml:space="preserve">Treatment of Duchenne muscular dystrophy in patients </w:t>
            </w:r>
            <w:r>
              <w:rPr>
                <w:rFonts w:cs="Arial"/>
                <w:color w:val="000000" w:themeColor="text1"/>
                <w:szCs w:val="19"/>
                <w:lang w:val="en-US"/>
              </w:rPr>
              <w:t xml:space="preserve">aged </w:t>
            </w:r>
            <w:r w:rsidRPr="0048384B">
              <w:rPr>
                <w:rFonts w:cs="Arial"/>
                <w:color w:val="000000" w:themeColor="text1"/>
                <w:szCs w:val="19"/>
                <w:lang w:val="en-US"/>
              </w:rPr>
              <w:t>6 years</w:t>
            </w:r>
            <w:r>
              <w:rPr>
                <w:rFonts w:cs="Arial"/>
                <w:color w:val="000000" w:themeColor="text1"/>
                <w:szCs w:val="19"/>
                <w:lang w:val="en-US"/>
              </w:rPr>
              <w:t xml:space="preserve"> and older</w:t>
            </w:r>
          </w:p>
        </w:tc>
      </w:tr>
      <w:tr w:rsidR="003E0FC9" w:rsidRPr="00131D4C" w14:paraId="50FCAB65" w14:textId="77777777" w:rsidTr="00253431">
        <w:tc>
          <w:tcPr>
            <w:tcW w:w="1427" w:type="pct"/>
            <w:tcMar>
              <w:top w:w="57" w:type="dxa"/>
              <w:left w:w="170" w:type="dxa"/>
              <w:bottom w:w="57" w:type="dxa"/>
              <w:right w:w="170" w:type="dxa"/>
            </w:tcMar>
          </w:tcPr>
          <w:p w14:paraId="50B44B42" w14:textId="77777777" w:rsidR="003E0FC9" w:rsidRPr="0059045F" w:rsidRDefault="003E0FC9" w:rsidP="003E0FC9">
            <w:pPr>
              <w:rPr>
                <w:rFonts w:cs="Arial"/>
                <w:color w:val="000000" w:themeColor="text1"/>
                <w:szCs w:val="19"/>
              </w:rPr>
            </w:pPr>
            <w:proofErr w:type="spellStart"/>
            <w:r w:rsidRPr="0059045F">
              <w:rPr>
                <w:rFonts w:cs="Arial"/>
                <w:color w:val="000000" w:themeColor="text1"/>
                <w:szCs w:val="19"/>
              </w:rPr>
              <w:t>Inavolisib</w:t>
            </w:r>
            <w:proofErr w:type="spellEnd"/>
            <w:r w:rsidRPr="0059045F">
              <w:rPr>
                <w:rFonts w:cs="Arial"/>
                <w:color w:val="000000" w:themeColor="text1"/>
                <w:szCs w:val="19"/>
              </w:rPr>
              <w:t xml:space="preserve"> (</w:t>
            </w:r>
            <w:proofErr w:type="spellStart"/>
            <w:r w:rsidRPr="0059045F">
              <w:rPr>
                <w:rFonts w:cs="Arial"/>
                <w:i/>
                <w:iCs/>
                <w:color w:val="000000" w:themeColor="text1"/>
                <w:szCs w:val="19"/>
              </w:rPr>
              <w:t>Itovebi</w:t>
            </w:r>
            <w:proofErr w:type="spellEnd"/>
            <w:r w:rsidRPr="0059045F">
              <w:rPr>
                <w:rFonts w:cs="Arial"/>
                <w:color w:val="000000" w:themeColor="text1"/>
                <w:szCs w:val="19"/>
              </w:rPr>
              <w:t>)</w:t>
            </w:r>
          </w:p>
          <w:p w14:paraId="3C618D3C" w14:textId="2FB7F34D" w:rsidR="003E0FC9" w:rsidRDefault="003E0FC9" w:rsidP="003E0FC9">
            <w:pPr>
              <w:rPr>
                <w:rFonts w:cs="Arial"/>
                <w:szCs w:val="19"/>
              </w:rPr>
            </w:pPr>
            <w:r w:rsidRPr="0059045F">
              <w:rPr>
                <w:rFonts w:cs="Arial"/>
                <w:color w:val="000000" w:themeColor="text1"/>
                <w:sz w:val="16"/>
                <w:szCs w:val="16"/>
              </w:rPr>
              <w:t>3mg and 9mg tablets</w:t>
            </w:r>
          </w:p>
        </w:tc>
        <w:tc>
          <w:tcPr>
            <w:tcW w:w="3573" w:type="pct"/>
            <w:tcMar>
              <w:top w:w="57" w:type="dxa"/>
              <w:left w:w="170" w:type="dxa"/>
              <w:bottom w:w="57" w:type="dxa"/>
              <w:right w:w="170" w:type="dxa"/>
            </w:tcMar>
          </w:tcPr>
          <w:p w14:paraId="057412AA" w14:textId="3EFDA006" w:rsidR="003E0FC9" w:rsidRPr="00F91292" w:rsidRDefault="003E0FC9" w:rsidP="003E0FC9">
            <w:pPr>
              <w:tabs>
                <w:tab w:val="center" w:pos="3152"/>
              </w:tabs>
              <w:rPr>
                <w:rFonts w:cs="Arial"/>
                <w:szCs w:val="19"/>
              </w:rPr>
            </w:pPr>
            <w:r w:rsidRPr="0059045F">
              <w:rPr>
                <w:rFonts w:cs="Arial"/>
                <w:color w:val="000000" w:themeColor="text1"/>
                <w:szCs w:val="19"/>
                <w:lang w:val="en-US"/>
              </w:rPr>
              <w:t>Use in combination with palbociclib and fulvestrant for the treatment of adults with PIK3CA</w:t>
            </w:r>
            <w:r w:rsidRPr="0059045F">
              <w:rPr>
                <w:rFonts w:ascii="Cambria Math" w:hAnsi="Cambria Math" w:cs="Cambria Math"/>
                <w:color w:val="000000" w:themeColor="text1"/>
                <w:szCs w:val="19"/>
                <w:lang w:val="en-US"/>
              </w:rPr>
              <w:t>‑</w:t>
            </w:r>
            <w:r w:rsidRPr="0059045F">
              <w:rPr>
                <w:rFonts w:cs="Arial"/>
                <w:color w:val="000000" w:themeColor="text1"/>
                <w:szCs w:val="19"/>
                <w:lang w:val="en-US"/>
              </w:rPr>
              <w:t xml:space="preserve">mutated, </w:t>
            </w:r>
            <w:proofErr w:type="spellStart"/>
            <w:r w:rsidRPr="0059045F">
              <w:rPr>
                <w:rFonts w:cs="Arial"/>
                <w:color w:val="000000" w:themeColor="text1"/>
                <w:szCs w:val="19"/>
                <w:lang w:val="en-US"/>
              </w:rPr>
              <w:t>oestrogen</w:t>
            </w:r>
            <w:proofErr w:type="spellEnd"/>
            <w:r w:rsidRPr="0059045F">
              <w:rPr>
                <w:rFonts w:cs="Arial"/>
                <w:color w:val="000000" w:themeColor="text1"/>
                <w:szCs w:val="19"/>
                <w:lang w:val="en-US"/>
              </w:rPr>
              <w:t xml:space="preserve"> receptor</w:t>
            </w:r>
            <w:r w:rsidRPr="0059045F">
              <w:rPr>
                <w:rFonts w:ascii="Cambria Math" w:hAnsi="Cambria Math" w:cs="Cambria Math"/>
                <w:color w:val="000000" w:themeColor="text1"/>
                <w:szCs w:val="19"/>
                <w:lang w:val="en-US"/>
              </w:rPr>
              <w:t>‑</w:t>
            </w:r>
            <w:r w:rsidRPr="0059045F">
              <w:rPr>
                <w:rFonts w:cs="Arial"/>
                <w:color w:val="000000" w:themeColor="text1"/>
                <w:szCs w:val="19"/>
                <w:lang w:val="en-US"/>
              </w:rPr>
              <w:t>positive, HER2</w:t>
            </w:r>
            <w:r w:rsidRPr="0059045F">
              <w:rPr>
                <w:rFonts w:ascii="Cambria Math" w:hAnsi="Cambria Math" w:cs="Cambria Math"/>
                <w:color w:val="000000" w:themeColor="text1"/>
                <w:szCs w:val="19"/>
                <w:lang w:val="en-US"/>
              </w:rPr>
              <w:t>‑</w:t>
            </w:r>
            <w:r w:rsidRPr="0059045F">
              <w:rPr>
                <w:rFonts w:cs="Arial"/>
                <w:color w:val="000000" w:themeColor="text1"/>
                <w:szCs w:val="19"/>
                <w:lang w:val="en-US"/>
              </w:rPr>
              <w:t>negative, locally advanced or metastatic breast cancer, following recurrence on or within 12 months of completing adjuvant endocrine treatment</w:t>
            </w:r>
          </w:p>
        </w:tc>
      </w:tr>
      <w:tr w:rsidR="00D401CD" w:rsidRPr="00131D4C" w14:paraId="2F71D7E1" w14:textId="77777777" w:rsidTr="00253431">
        <w:tc>
          <w:tcPr>
            <w:tcW w:w="1427" w:type="pct"/>
            <w:tcMar>
              <w:top w:w="57" w:type="dxa"/>
              <w:left w:w="170" w:type="dxa"/>
              <w:bottom w:w="57" w:type="dxa"/>
              <w:right w:w="170" w:type="dxa"/>
            </w:tcMar>
          </w:tcPr>
          <w:p w14:paraId="78F3A35D" w14:textId="77777777" w:rsidR="00D401CD" w:rsidRDefault="00D401CD" w:rsidP="003E0FC9">
            <w:pPr>
              <w:rPr>
                <w:rFonts w:cs="Arial"/>
                <w:szCs w:val="19"/>
              </w:rPr>
            </w:pPr>
            <w:r w:rsidRPr="00D401CD">
              <w:rPr>
                <w:rFonts w:cs="Arial"/>
                <w:szCs w:val="19"/>
              </w:rPr>
              <w:t xml:space="preserve">Influenza vaccine </w:t>
            </w:r>
          </w:p>
          <w:p w14:paraId="638E1251" w14:textId="77777777" w:rsidR="00D401CD" w:rsidRDefault="00D401CD" w:rsidP="003E0FC9">
            <w:pPr>
              <w:rPr>
                <w:rFonts w:cs="Arial"/>
                <w:szCs w:val="19"/>
              </w:rPr>
            </w:pPr>
            <w:r w:rsidRPr="00D401CD">
              <w:rPr>
                <w:rFonts w:cs="Arial"/>
                <w:szCs w:val="19"/>
              </w:rPr>
              <w:t>(</w:t>
            </w:r>
            <w:proofErr w:type="spellStart"/>
            <w:r w:rsidRPr="00D401CD">
              <w:rPr>
                <w:rFonts w:cs="Arial"/>
                <w:i/>
                <w:iCs/>
                <w:szCs w:val="19"/>
              </w:rPr>
              <w:t>Supemtek</w:t>
            </w:r>
            <w:proofErr w:type="spellEnd"/>
            <w:r w:rsidRPr="00D401CD">
              <w:rPr>
                <w:rFonts w:cs="Arial"/>
                <w:i/>
                <w:iCs/>
                <w:szCs w:val="19"/>
              </w:rPr>
              <w:t xml:space="preserve"> </w:t>
            </w:r>
            <w:proofErr w:type="spellStart"/>
            <w:r w:rsidRPr="00D401CD">
              <w:rPr>
                <w:rFonts w:cs="Arial"/>
                <w:i/>
                <w:iCs/>
                <w:szCs w:val="19"/>
              </w:rPr>
              <w:t>TIVr</w:t>
            </w:r>
            <w:proofErr w:type="spellEnd"/>
            <w:r>
              <w:rPr>
                <w:rFonts w:cs="Arial"/>
                <w:szCs w:val="19"/>
              </w:rPr>
              <w:t>)</w:t>
            </w:r>
          </w:p>
          <w:p w14:paraId="0BC1A80E" w14:textId="004B42B6" w:rsidR="00D401CD" w:rsidRPr="001642F2" w:rsidRDefault="00D401CD" w:rsidP="003E0FC9">
            <w:pPr>
              <w:rPr>
                <w:rFonts w:cs="Arial"/>
                <w:sz w:val="16"/>
                <w:szCs w:val="16"/>
              </w:rPr>
            </w:pPr>
            <w:r w:rsidRPr="001642F2">
              <w:rPr>
                <w:rFonts w:cs="Arial"/>
                <w:sz w:val="16"/>
                <w:szCs w:val="16"/>
              </w:rPr>
              <w:t xml:space="preserve">Single-dose </w:t>
            </w:r>
            <w:r w:rsidR="001642F2" w:rsidRPr="001642F2">
              <w:rPr>
                <w:rFonts w:cs="Arial"/>
                <w:sz w:val="16"/>
                <w:szCs w:val="16"/>
              </w:rPr>
              <w:t>prefilled syringe</w:t>
            </w:r>
          </w:p>
        </w:tc>
        <w:tc>
          <w:tcPr>
            <w:tcW w:w="3573" w:type="pct"/>
            <w:tcMar>
              <w:top w:w="57" w:type="dxa"/>
              <w:left w:w="170" w:type="dxa"/>
              <w:bottom w:w="57" w:type="dxa"/>
              <w:right w:w="170" w:type="dxa"/>
            </w:tcMar>
          </w:tcPr>
          <w:p w14:paraId="1F58DF0E" w14:textId="77C7CF08" w:rsidR="00D401CD" w:rsidRPr="00F91292" w:rsidRDefault="00822DAB" w:rsidP="003E0FC9">
            <w:pPr>
              <w:tabs>
                <w:tab w:val="center" w:pos="3152"/>
              </w:tabs>
              <w:rPr>
                <w:rFonts w:cs="Arial"/>
                <w:szCs w:val="19"/>
              </w:rPr>
            </w:pPr>
            <w:r w:rsidRPr="00822DAB">
              <w:rPr>
                <w:rFonts w:cs="Arial"/>
                <w:szCs w:val="19"/>
              </w:rPr>
              <w:t>Active immuni</w:t>
            </w:r>
            <w:r w:rsidR="001F11F1">
              <w:rPr>
                <w:rFonts w:cs="Arial"/>
                <w:szCs w:val="19"/>
              </w:rPr>
              <w:t>s</w:t>
            </w:r>
            <w:r w:rsidRPr="00822DAB">
              <w:rPr>
                <w:rFonts w:cs="Arial"/>
                <w:szCs w:val="19"/>
              </w:rPr>
              <w:t xml:space="preserve">ation for the prevention of influenza disease in adults and children </w:t>
            </w:r>
            <w:r>
              <w:rPr>
                <w:rFonts w:cs="Arial"/>
                <w:szCs w:val="19"/>
              </w:rPr>
              <w:t xml:space="preserve">aged </w:t>
            </w:r>
            <w:r w:rsidRPr="00822DAB">
              <w:rPr>
                <w:rFonts w:cs="Arial"/>
                <w:szCs w:val="19"/>
              </w:rPr>
              <w:t>9 years</w:t>
            </w:r>
            <w:r>
              <w:rPr>
                <w:rFonts w:cs="Arial"/>
                <w:szCs w:val="19"/>
              </w:rPr>
              <w:t xml:space="preserve"> </w:t>
            </w:r>
            <w:r w:rsidRPr="00822DAB">
              <w:rPr>
                <w:rFonts w:cs="Arial"/>
                <w:szCs w:val="19"/>
              </w:rPr>
              <w:t xml:space="preserve">and older </w:t>
            </w:r>
            <w:r w:rsidRPr="00822DAB">
              <w:rPr>
                <w:rFonts w:cs="Arial"/>
                <w:sz w:val="16"/>
                <w:szCs w:val="16"/>
              </w:rPr>
              <w:t>[licence change from use only in adults]</w:t>
            </w:r>
          </w:p>
        </w:tc>
      </w:tr>
      <w:tr w:rsidR="003E0FC9" w:rsidRPr="00862949" w14:paraId="2F0296AC" w14:textId="77777777" w:rsidTr="002772ED">
        <w:tc>
          <w:tcPr>
            <w:tcW w:w="5000" w:type="pct"/>
            <w:gridSpan w:val="2"/>
            <w:tcMar>
              <w:top w:w="0" w:type="dxa"/>
              <w:bottom w:w="0" w:type="dxa"/>
            </w:tcMar>
          </w:tcPr>
          <w:p w14:paraId="52AF6D57" w14:textId="77777777" w:rsidR="003E0FC9" w:rsidRPr="00862949" w:rsidRDefault="003E0FC9" w:rsidP="003E0FC9">
            <w:pPr>
              <w:rPr>
                <w:rFonts w:cs="Arial"/>
                <w:b/>
                <w:noProof/>
                <w:sz w:val="8"/>
                <w:szCs w:val="8"/>
              </w:rPr>
            </w:pPr>
          </w:p>
        </w:tc>
      </w:tr>
      <w:tr w:rsidR="003E0FC9" w:rsidRPr="00862949" w14:paraId="6BFB321D" w14:textId="77777777" w:rsidTr="002772ED">
        <w:tc>
          <w:tcPr>
            <w:tcW w:w="5000" w:type="pct"/>
            <w:gridSpan w:val="2"/>
            <w:shd w:val="clear" w:color="auto" w:fill="DAEEF3"/>
            <w:tcMar>
              <w:top w:w="0" w:type="dxa"/>
              <w:bottom w:w="0" w:type="dxa"/>
            </w:tcMar>
          </w:tcPr>
          <w:p w14:paraId="115B05D3" w14:textId="77777777" w:rsidR="003E0FC9" w:rsidRPr="00862949" w:rsidRDefault="003E0FC9" w:rsidP="003E0FC9">
            <w:pPr>
              <w:rPr>
                <w:rFonts w:cs="Arial"/>
                <w:b/>
                <w:i/>
                <w:noProof/>
                <w:sz w:val="8"/>
                <w:szCs w:val="8"/>
              </w:rPr>
            </w:pPr>
          </w:p>
        </w:tc>
      </w:tr>
    </w:tbl>
    <w:p w14:paraId="1EBE60CC" w14:textId="77777777" w:rsidR="00797F59" w:rsidRDefault="00797F59" w:rsidP="00727945">
      <w:pPr>
        <w:rPr>
          <w:rFonts w:ascii="Latha" w:hAnsi="Latha" w:cs="Latha"/>
          <w:sz w:val="8"/>
          <w:szCs w:val="8"/>
        </w:rPr>
      </w:pPr>
    </w:p>
    <w:p w14:paraId="08943912" w14:textId="086B6637" w:rsidR="00583984" w:rsidRDefault="00583984">
      <w:pPr>
        <w:rPr>
          <w:rFonts w:ascii="Latha" w:hAnsi="Latha" w:cs="Latha"/>
          <w:sz w:val="8"/>
          <w:szCs w:val="8"/>
        </w:rPr>
      </w:pPr>
      <w:r>
        <w:rPr>
          <w:rFonts w:ascii="Latha" w:hAnsi="Latha" w:cs="Latha"/>
          <w:sz w:val="8"/>
          <w:szCs w:val="8"/>
        </w:rPr>
        <w:br w:type="page"/>
      </w:r>
    </w:p>
    <w:p w14:paraId="1A929C40" w14:textId="77777777" w:rsidR="00FC0774" w:rsidRPr="00727945" w:rsidRDefault="00FC0774" w:rsidP="00727945">
      <w:pPr>
        <w:rPr>
          <w:rFonts w:ascii="Latha" w:hAnsi="Latha" w:cs="Latha"/>
          <w:sz w:val="8"/>
          <w:szCs w:val="8"/>
        </w:rPr>
        <w:sectPr w:rsidR="00FC0774" w:rsidRPr="00727945" w:rsidSect="002772ED">
          <w:headerReference w:type="even" r:id="rId13"/>
          <w:headerReference w:type="default" r:id="rId14"/>
          <w:footerReference w:type="even" r:id="rId15"/>
          <w:footerReference w:type="default" r:id="rId16"/>
          <w:headerReference w:type="first" r:id="rId17"/>
          <w:pgSz w:w="11906" w:h="16838" w:code="9"/>
          <w:pgMar w:top="680" w:right="851" w:bottom="680" w:left="851" w:header="567" w:footer="227" w:gutter="0"/>
          <w:cols w:space="708"/>
          <w:docGrid w:linePitch="360"/>
        </w:sectPr>
      </w:pPr>
    </w:p>
    <w:p w14:paraId="0581141A" w14:textId="77777777" w:rsidR="006825BB" w:rsidRDefault="006825BB">
      <w:pPr>
        <w:rPr>
          <w:sz w:val="8"/>
          <w:szCs w:val="16"/>
        </w:rPr>
      </w:pPr>
    </w:p>
    <w:p w14:paraId="43ECDC8C" w14:textId="77777777" w:rsidR="00C10FEB" w:rsidRDefault="00C10FEB">
      <w:pPr>
        <w:rPr>
          <w:sz w:val="8"/>
          <w:szCs w:val="16"/>
        </w:rPr>
      </w:pPr>
    </w:p>
    <w:p w14:paraId="1C300370" w14:textId="77777777" w:rsidR="00583984" w:rsidRDefault="00583984" w:rsidP="00EB3E6F">
      <w:pPr>
        <w:tabs>
          <w:tab w:val="left" w:pos="2087"/>
        </w:tabs>
      </w:pPr>
    </w:p>
    <w:tbl>
      <w:tblPr>
        <w:tblW w:w="5170" w:type="pct"/>
        <w:tblInd w:w="-176" w:type="dxa"/>
        <w:tblLayout w:type="fixed"/>
        <w:tblLook w:val="01E0" w:firstRow="1" w:lastRow="1" w:firstColumn="1" w:lastColumn="1" w:noHBand="0" w:noVBand="0"/>
      </w:tblPr>
      <w:tblGrid>
        <w:gridCol w:w="3011"/>
        <w:gridCol w:w="7540"/>
      </w:tblGrid>
      <w:tr w:rsidR="00583984" w:rsidRPr="00862949" w14:paraId="2A0E5669" w14:textId="77777777" w:rsidTr="00F800C2">
        <w:tc>
          <w:tcPr>
            <w:tcW w:w="5000" w:type="pct"/>
            <w:gridSpan w:val="2"/>
            <w:shd w:val="clear" w:color="auto" w:fill="0070C0"/>
            <w:tcMar>
              <w:top w:w="85" w:type="dxa"/>
              <w:bottom w:w="85" w:type="dxa"/>
            </w:tcMar>
            <w:vAlign w:val="bottom"/>
          </w:tcPr>
          <w:p w14:paraId="7900AD89" w14:textId="77777777" w:rsidR="00583984" w:rsidRPr="00862949" w:rsidRDefault="00583984" w:rsidP="00F800C2">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583984" w:rsidRPr="00862949" w14:paraId="72BAF288" w14:textId="77777777" w:rsidTr="00F800C2">
        <w:tc>
          <w:tcPr>
            <w:tcW w:w="5000" w:type="pct"/>
            <w:gridSpan w:val="2"/>
            <w:shd w:val="clear" w:color="auto" w:fill="DAEEF3"/>
            <w:tcMar>
              <w:top w:w="0" w:type="dxa"/>
              <w:bottom w:w="0" w:type="dxa"/>
            </w:tcMar>
          </w:tcPr>
          <w:p w14:paraId="0315B485" w14:textId="77777777" w:rsidR="00583984" w:rsidRPr="00862949" w:rsidRDefault="00583984" w:rsidP="00F800C2">
            <w:pPr>
              <w:rPr>
                <w:rFonts w:cs="Arial"/>
                <w:b/>
                <w:bCs/>
                <w:i/>
                <w:iCs/>
                <w:color w:val="000000"/>
                <w:sz w:val="8"/>
                <w:szCs w:val="8"/>
                <w:lang w:val="en-US"/>
              </w:rPr>
            </w:pPr>
          </w:p>
        </w:tc>
      </w:tr>
      <w:tr w:rsidR="00583984" w:rsidRPr="00862949" w14:paraId="12B7C15E" w14:textId="77777777" w:rsidTr="00F800C2">
        <w:tc>
          <w:tcPr>
            <w:tcW w:w="5000" w:type="pct"/>
            <w:gridSpan w:val="2"/>
            <w:shd w:val="clear" w:color="auto" w:fill="008232"/>
            <w:tcMar>
              <w:top w:w="57" w:type="dxa"/>
              <w:bottom w:w="57" w:type="dxa"/>
            </w:tcMar>
          </w:tcPr>
          <w:p w14:paraId="08F74FA9" w14:textId="0E0EB0AE" w:rsidR="00583984" w:rsidRPr="00433D3E" w:rsidRDefault="00583984" w:rsidP="00F800C2">
            <w:pPr>
              <w:rPr>
                <w:rFonts w:cs="Arial"/>
                <w:color w:val="FFFFFF"/>
                <w:sz w:val="20"/>
                <w:szCs w:val="20"/>
              </w:rPr>
            </w:pPr>
            <w:r w:rsidRPr="00433D3E">
              <w:rPr>
                <w:rFonts w:cs="Arial"/>
                <w:b/>
                <w:bCs/>
                <w:i/>
                <w:iCs/>
                <w:color w:val="FFFFFF"/>
                <w:sz w:val="22"/>
                <w:szCs w:val="20"/>
                <w:lang w:val="en-US"/>
              </w:rPr>
              <w:t>Launched in the UK (or licence change for existing products)</w:t>
            </w:r>
            <w:r w:rsidR="00E21706">
              <w:rPr>
                <w:rFonts w:cs="Arial"/>
                <w:b/>
                <w:bCs/>
                <w:i/>
                <w:iCs/>
                <w:color w:val="FFFFFF"/>
                <w:sz w:val="22"/>
                <w:szCs w:val="20"/>
                <w:lang w:val="en-US"/>
              </w:rPr>
              <w:t xml:space="preserve"> </w:t>
            </w:r>
            <w:r w:rsidR="00E21706" w:rsidRPr="00E21706">
              <w:rPr>
                <w:rFonts w:cs="Arial"/>
                <w:b/>
                <w:bCs/>
                <w:color w:val="FFFFFF"/>
                <w:sz w:val="16"/>
                <w:szCs w:val="16"/>
                <w:lang w:val="en-US"/>
              </w:rPr>
              <w:t>(continued)</w:t>
            </w:r>
          </w:p>
        </w:tc>
      </w:tr>
      <w:tr w:rsidR="005D1D45" w:rsidRPr="00131D4C" w14:paraId="5149AA44" w14:textId="77777777" w:rsidTr="00F800C2">
        <w:tc>
          <w:tcPr>
            <w:tcW w:w="1427" w:type="pct"/>
            <w:tcMar>
              <w:top w:w="57" w:type="dxa"/>
              <w:left w:w="170" w:type="dxa"/>
              <w:bottom w:w="57" w:type="dxa"/>
              <w:right w:w="170" w:type="dxa"/>
            </w:tcMar>
          </w:tcPr>
          <w:p w14:paraId="7CEC9A3F" w14:textId="77777777" w:rsidR="005D1D45" w:rsidRDefault="005D1D45" w:rsidP="005D1D45">
            <w:pPr>
              <w:rPr>
                <w:rFonts w:cs="Arial"/>
                <w:szCs w:val="19"/>
              </w:rPr>
            </w:pPr>
            <w:proofErr w:type="spellStart"/>
            <w:r>
              <w:rPr>
                <w:rFonts w:cs="Arial"/>
                <w:szCs w:val="19"/>
              </w:rPr>
              <w:t>Letermovir</w:t>
            </w:r>
            <w:proofErr w:type="spellEnd"/>
            <w:r>
              <w:rPr>
                <w:rFonts w:cs="Arial"/>
                <w:szCs w:val="19"/>
              </w:rPr>
              <w:t xml:space="preserve"> (</w:t>
            </w:r>
            <w:proofErr w:type="spellStart"/>
            <w:r>
              <w:rPr>
                <w:rFonts w:cs="Arial"/>
                <w:i/>
                <w:iCs/>
                <w:szCs w:val="19"/>
              </w:rPr>
              <w:t>Prevymis</w:t>
            </w:r>
            <w:proofErr w:type="spellEnd"/>
            <w:r>
              <w:rPr>
                <w:rFonts w:cs="Arial"/>
                <w:szCs w:val="19"/>
              </w:rPr>
              <w:t>)</w:t>
            </w:r>
          </w:p>
          <w:p w14:paraId="6E7FE0BA" w14:textId="1BE66737" w:rsidR="005D1D45" w:rsidRDefault="005D1D45" w:rsidP="005D1D45">
            <w:pPr>
              <w:rPr>
                <w:rFonts w:cs="Arial"/>
                <w:szCs w:val="19"/>
              </w:rPr>
            </w:pPr>
            <w:r w:rsidRPr="00A04D53">
              <w:rPr>
                <w:rFonts w:cs="Arial"/>
                <w:sz w:val="16"/>
                <w:szCs w:val="16"/>
              </w:rPr>
              <w:t>240mg tablet and 240mg in 12mL vial</w:t>
            </w:r>
          </w:p>
        </w:tc>
        <w:tc>
          <w:tcPr>
            <w:tcW w:w="3573" w:type="pct"/>
            <w:tcMar>
              <w:top w:w="57" w:type="dxa"/>
              <w:left w:w="170" w:type="dxa"/>
              <w:bottom w:w="57" w:type="dxa"/>
              <w:right w:w="170" w:type="dxa"/>
            </w:tcMar>
          </w:tcPr>
          <w:p w14:paraId="3ADD27B9" w14:textId="6A9F6D16" w:rsidR="005D1D45" w:rsidRPr="00A04D53" w:rsidRDefault="005D1D45" w:rsidP="005D1D45">
            <w:pPr>
              <w:tabs>
                <w:tab w:val="center" w:pos="3152"/>
              </w:tabs>
              <w:rPr>
                <w:rFonts w:cs="Arial"/>
                <w:szCs w:val="19"/>
              </w:rPr>
            </w:pPr>
            <w:r w:rsidRPr="00F91292">
              <w:rPr>
                <w:rFonts w:cs="Arial"/>
                <w:szCs w:val="19"/>
              </w:rPr>
              <w:t xml:space="preserve">Prophylaxis of </w:t>
            </w:r>
            <w:r w:rsidRPr="00A04D53">
              <w:rPr>
                <w:rFonts w:cs="Arial"/>
                <w:szCs w:val="19"/>
              </w:rPr>
              <w:t xml:space="preserve">cytomegalovirus </w:t>
            </w:r>
            <w:r>
              <w:rPr>
                <w:rFonts w:cs="Arial"/>
                <w:szCs w:val="19"/>
              </w:rPr>
              <w:t>(</w:t>
            </w:r>
            <w:r w:rsidRPr="00F91292">
              <w:rPr>
                <w:rFonts w:cs="Arial"/>
                <w:szCs w:val="19"/>
              </w:rPr>
              <w:t>CMV</w:t>
            </w:r>
            <w:r>
              <w:rPr>
                <w:rFonts w:cs="Arial"/>
                <w:szCs w:val="19"/>
              </w:rPr>
              <w:t>)</w:t>
            </w:r>
            <w:r w:rsidRPr="00F91292">
              <w:rPr>
                <w:rFonts w:cs="Arial"/>
                <w:szCs w:val="19"/>
              </w:rPr>
              <w:t xml:space="preserve"> disease in CMV-seronegative adult and paediatric patients weighing at least 40kg who have received a kidney transplant from a CMV-seropositive donor [D+/R-] </w:t>
            </w:r>
            <w:r w:rsidRPr="00253431">
              <w:rPr>
                <w:rFonts w:cs="Arial"/>
                <w:sz w:val="16"/>
                <w:szCs w:val="16"/>
              </w:rPr>
              <w:t>[</w:t>
            </w:r>
            <w:r>
              <w:rPr>
                <w:rFonts w:cs="Arial"/>
                <w:sz w:val="16"/>
                <w:szCs w:val="16"/>
              </w:rPr>
              <w:t>new indication</w:t>
            </w:r>
            <w:r w:rsidRPr="00253431">
              <w:rPr>
                <w:rFonts w:cs="Arial"/>
                <w:sz w:val="16"/>
                <w:szCs w:val="16"/>
              </w:rPr>
              <w:t>]</w:t>
            </w:r>
          </w:p>
        </w:tc>
      </w:tr>
      <w:tr w:rsidR="005D1D45" w:rsidRPr="00131D4C" w14:paraId="2D96693C" w14:textId="77777777" w:rsidTr="00F800C2">
        <w:tc>
          <w:tcPr>
            <w:tcW w:w="1427" w:type="pct"/>
            <w:tcMar>
              <w:top w:w="57" w:type="dxa"/>
              <w:left w:w="170" w:type="dxa"/>
              <w:bottom w:w="57" w:type="dxa"/>
              <w:right w:w="170" w:type="dxa"/>
            </w:tcMar>
          </w:tcPr>
          <w:p w14:paraId="6E396AE1" w14:textId="77777777" w:rsidR="005D1D45" w:rsidRDefault="005D1D45" w:rsidP="005D1D45">
            <w:pPr>
              <w:rPr>
                <w:rFonts w:cs="Arial"/>
                <w:szCs w:val="19"/>
              </w:rPr>
            </w:pPr>
            <w:proofErr w:type="spellStart"/>
            <w:r>
              <w:rPr>
                <w:rFonts w:cs="Arial"/>
                <w:szCs w:val="19"/>
              </w:rPr>
              <w:t>Letermovir</w:t>
            </w:r>
            <w:proofErr w:type="spellEnd"/>
            <w:r>
              <w:rPr>
                <w:rFonts w:cs="Arial"/>
                <w:szCs w:val="19"/>
              </w:rPr>
              <w:t xml:space="preserve"> (</w:t>
            </w:r>
            <w:proofErr w:type="spellStart"/>
            <w:r>
              <w:rPr>
                <w:rFonts w:cs="Arial"/>
                <w:i/>
                <w:iCs/>
                <w:szCs w:val="19"/>
              </w:rPr>
              <w:t>Prevymis</w:t>
            </w:r>
            <w:proofErr w:type="spellEnd"/>
            <w:r>
              <w:rPr>
                <w:rFonts w:cs="Arial"/>
                <w:szCs w:val="19"/>
              </w:rPr>
              <w:t>)</w:t>
            </w:r>
          </w:p>
          <w:p w14:paraId="2E81E4C1" w14:textId="2BC62736" w:rsidR="005D1D45" w:rsidRPr="001F2634" w:rsidRDefault="005D1D45" w:rsidP="005D1D45">
            <w:pPr>
              <w:rPr>
                <w:rFonts w:cs="Arial"/>
                <w:sz w:val="16"/>
                <w:szCs w:val="16"/>
              </w:rPr>
            </w:pPr>
            <w:r w:rsidRPr="00A04D53">
              <w:rPr>
                <w:rFonts w:cs="Arial"/>
                <w:sz w:val="16"/>
                <w:szCs w:val="16"/>
              </w:rPr>
              <w:t>240mg tablet and 240mg in 12mL vial</w:t>
            </w:r>
          </w:p>
        </w:tc>
        <w:tc>
          <w:tcPr>
            <w:tcW w:w="3573" w:type="pct"/>
            <w:tcMar>
              <w:top w:w="57" w:type="dxa"/>
              <w:left w:w="170" w:type="dxa"/>
              <w:bottom w:w="57" w:type="dxa"/>
              <w:right w:w="170" w:type="dxa"/>
            </w:tcMar>
          </w:tcPr>
          <w:p w14:paraId="48317D08" w14:textId="4C4D6F4D" w:rsidR="005D1D45" w:rsidRPr="009C4947" w:rsidRDefault="005D1D45" w:rsidP="005D1D45">
            <w:pPr>
              <w:tabs>
                <w:tab w:val="center" w:pos="3152"/>
              </w:tabs>
              <w:rPr>
                <w:rFonts w:cs="Arial"/>
                <w:szCs w:val="19"/>
                <w:lang w:val="en-US"/>
              </w:rPr>
            </w:pPr>
            <w:r w:rsidRPr="00A04D53">
              <w:rPr>
                <w:rFonts w:cs="Arial"/>
                <w:szCs w:val="19"/>
              </w:rPr>
              <w:t>Prophylaxis of cytomegalovirus (CMV) reactivation and disease in adult and paediatric patients weighing at least 5kg who are CMV-seropositive recipients [R+] of an allogeneic haematopoietic stem cell transplant</w:t>
            </w:r>
            <w:r>
              <w:rPr>
                <w:rFonts w:cs="Arial"/>
                <w:szCs w:val="19"/>
              </w:rPr>
              <w:t xml:space="preserve"> </w:t>
            </w:r>
            <w:r w:rsidRPr="00253431">
              <w:rPr>
                <w:rFonts w:cs="Arial"/>
                <w:sz w:val="16"/>
                <w:szCs w:val="16"/>
              </w:rPr>
              <w:t>[licence change from use only in adults]</w:t>
            </w:r>
          </w:p>
        </w:tc>
      </w:tr>
      <w:tr w:rsidR="005D1D45" w:rsidRPr="00131D4C" w14:paraId="1FBF6E9F" w14:textId="77777777" w:rsidTr="00F800C2">
        <w:tc>
          <w:tcPr>
            <w:tcW w:w="1427" w:type="pct"/>
            <w:tcMar>
              <w:top w:w="57" w:type="dxa"/>
              <w:left w:w="170" w:type="dxa"/>
              <w:bottom w:w="57" w:type="dxa"/>
              <w:right w:w="170" w:type="dxa"/>
            </w:tcMar>
          </w:tcPr>
          <w:p w14:paraId="04C61286" w14:textId="77777777" w:rsidR="005D1D45" w:rsidRDefault="005D1D45" w:rsidP="005D1D45">
            <w:pPr>
              <w:rPr>
                <w:rFonts w:cs="Arial"/>
                <w:szCs w:val="19"/>
              </w:rPr>
            </w:pPr>
            <w:r w:rsidRPr="003C0A0C">
              <w:rPr>
                <w:rFonts w:cs="Arial"/>
                <w:szCs w:val="19"/>
              </w:rPr>
              <w:t xml:space="preserve">Lutetium (177Lu) </w:t>
            </w:r>
            <w:proofErr w:type="spellStart"/>
            <w:r w:rsidRPr="003C0A0C">
              <w:rPr>
                <w:rFonts w:cs="Arial"/>
                <w:szCs w:val="19"/>
              </w:rPr>
              <w:t>vipivotide</w:t>
            </w:r>
            <w:proofErr w:type="spellEnd"/>
            <w:r w:rsidRPr="003C0A0C">
              <w:rPr>
                <w:rFonts w:cs="Arial"/>
                <w:szCs w:val="19"/>
              </w:rPr>
              <w:t xml:space="preserve"> tetraxetan (</w:t>
            </w:r>
            <w:proofErr w:type="spellStart"/>
            <w:r w:rsidRPr="003C0A0C">
              <w:rPr>
                <w:rFonts w:cs="Arial"/>
                <w:i/>
                <w:iCs/>
                <w:szCs w:val="19"/>
              </w:rPr>
              <w:t>Pluvicto</w:t>
            </w:r>
            <w:proofErr w:type="spellEnd"/>
            <w:r w:rsidRPr="003C0A0C">
              <w:rPr>
                <w:rFonts w:cs="Arial"/>
                <w:szCs w:val="19"/>
              </w:rPr>
              <w:t>)</w:t>
            </w:r>
          </w:p>
          <w:p w14:paraId="7E4FE7A7" w14:textId="3DC143C5" w:rsidR="005D1D45" w:rsidRPr="00AD2DCA" w:rsidRDefault="005D1D45" w:rsidP="005D1D45">
            <w:pPr>
              <w:rPr>
                <w:rFonts w:cs="Arial"/>
                <w:szCs w:val="19"/>
              </w:rPr>
            </w:pPr>
            <w:r w:rsidRPr="001F2634">
              <w:rPr>
                <w:rFonts w:cs="Arial"/>
                <w:sz w:val="16"/>
                <w:szCs w:val="16"/>
              </w:rPr>
              <w:t>7,400MBq single-dose vial</w:t>
            </w:r>
          </w:p>
        </w:tc>
        <w:tc>
          <w:tcPr>
            <w:tcW w:w="3573" w:type="pct"/>
            <w:tcMar>
              <w:top w:w="57" w:type="dxa"/>
              <w:left w:w="170" w:type="dxa"/>
              <w:bottom w:w="57" w:type="dxa"/>
              <w:right w:w="170" w:type="dxa"/>
            </w:tcMar>
          </w:tcPr>
          <w:p w14:paraId="5A76EF19" w14:textId="6B4E2B45" w:rsidR="005D1D45" w:rsidRPr="00E637E1" w:rsidRDefault="005D1D45" w:rsidP="005D1D45">
            <w:pPr>
              <w:tabs>
                <w:tab w:val="center" w:pos="3152"/>
              </w:tabs>
              <w:rPr>
                <w:rFonts w:cs="Arial"/>
                <w:szCs w:val="19"/>
                <w:lang w:val="en-US"/>
              </w:rPr>
            </w:pPr>
            <w:r w:rsidRPr="00357DC3">
              <w:rPr>
                <w:rFonts w:cs="Arial"/>
                <w:szCs w:val="19"/>
                <w:lang w:val="en-US"/>
              </w:rPr>
              <w:t>Treatment of adult</w:t>
            </w:r>
            <w:r>
              <w:rPr>
                <w:rFonts w:cs="Arial"/>
                <w:szCs w:val="19"/>
                <w:lang w:val="en-US"/>
              </w:rPr>
              <w:t>s</w:t>
            </w:r>
            <w:r w:rsidRPr="00357DC3">
              <w:rPr>
                <w:rFonts w:cs="Arial"/>
                <w:szCs w:val="19"/>
                <w:lang w:val="en-US"/>
              </w:rPr>
              <w:t xml:space="preserve"> with</w:t>
            </w:r>
            <w:r>
              <w:rPr>
                <w:rFonts w:cs="Arial"/>
                <w:szCs w:val="19"/>
                <w:lang w:val="en-US"/>
              </w:rPr>
              <w:t xml:space="preserve"> </w:t>
            </w:r>
            <w:r w:rsidRPr="00357DC3">
              <w:rPr>
                <w:rFonts w:cs="Arial"/>
                <w:szCs w:val="19"/>
                <w:lang w:val="en-US"/>
              </w:rPr>
              <w:t>prostate-specific membrane antigen (PSMA)-positive metastatic castration-resistant prostate cancer (</w:t>
            </w:r>
            <w:proofErr w:type="spellStart"/>
            <w:r w:rsidRPr="00357DC3">
              <w:rPr>
                <w:rFonts w:cs="Arial"/>
                <w:szCs w:val="19"/>
                <w:lang w:val="en-US"/>
              </w:rPr>
              <w:t>mCRPC</w:t>
            </w:r>
            <w:proofErr w:type="spellEnd"/>
            <w:r w:rsidRPr="00357DC3">
              <w:rPr>
                <w:rFonts w:cs="Arial"/>
                <w:szCs w:val="19"/>
                <w:lang w:val="en-US"/>
              </w:rPr>
              <w:t>) who have progressed on or after treatment with androgen receptor pathway inhibitor (ARPI) therapy and are considered appropriate to delay taxane-based chemotherapy</w:t>
            </w:r>
            <w:r>
              <w:rPr>
                <w:rFonts w:cs="Arial"/>
                <w:szCs w:val="19"/>
                <w:lang w:val="en-US"/>
              </w:rPr>
              <w:t xml:space="preserve">, and </w:t>
            </w:r>
            <w:r w:rsidRPr="00357DC3">
              <w:rPr>
                <w:rFonts w:cs="Arial"/>
                <w:szCs w:val="19"/>
                <w:lang w:val="en-US"/>
              </w:rPr>
              <w:t>PSMA</w:t>
            </w:r>
            <w:r w:rsidRPr="00357DC3">
              <w:rPr>
                <w:rFonts w:ascii="Cambria Math" w:hAnsi="Cambria Math" w:cs="Cambria Math"/>
                <w:szCs w:val="19"/>
                <w:lang w:val="en-US"/>
              </w:rPr>
              <w:t>‑</w:t>
            </w:r>
            <w:r w:rsidRPr="00357DC3">
              <w:rPr>
                <w:rFonts w:cs="Arial"/>
                <w:szCs w:val="19"/>
                <w:lang w:val="en-US"/>
              </w:rPr>
              <w:t xml:space="preserve">positive </w:t>
            </w:r>
            <w:proofErr w:type="spellStart"/>
            <w:r w:rsidRPr="00357DC3">
              <w:rPr>
                <w:rFonts w:cs="Arial"/>
                <w:szCs w:val="19"/>
                <w:lang w:val="en-US"/>
              </w:rPr>
              <w:t>mCRPC</w:t>
            </w:r>
            <w:proofErr w:type="spellEnd"/>
            <w:r w:rsidRPr="00357DC3">
              <w:rPr>
                <w:rFonts w:cs="Arial"/>
                <w:szCs w:val="19"/>
                <w:lang w:val="en-US"/>
              </w:rPr>
              <w:t xml:space="preserve"> who have been treated with </w:t>
            </w:r>
            <w:r>
              <w:rPr>
                <w:rFonts w:cs="Arial"/>
                <w:szCs w:val="19"/>
                <w:lang w:val="en-US"/>
              </w:rPr>
              <w:t>ARPI</w:t>
            </w:r>
            <w:r w:rsidRPr="00357DC3">
              <w:rPr>
                <w:rFonts w:cs="Arial"/>
                <w:szCs w:val="19"/>
                <w:lang w:val="en-US"/>
              </w:rPr>
              <w:t xml:space="preserve"> inhibition and taxane</w:t>
            </w:r>
            <w:r w:rsidRPr="00357DC3">
              <w:rPr>
                <w:rFonts w:ascii="Cambria Math" w:hAnsi="Cambria Math" w:cs="Cambria Math"/>
                <w:szCs w:val="19"/>
                <w:lang w:val="en-US"/>
              </w:rPr>
              <w:t>‑</w:t>
            </w:r>
            <w:r w:rsidRPr="00357DC3">
              <w:rPr>
                <w:rFonts w:cs="Arial"/>
                <w:szCs w:val="19"/>
                <w:lang w:val="en-US"/>
              </w:rPr>
              <w:t>based chemotherapy or who are not medically suitable for taxanes</w:t>
            </w:r>
          </w:p>
        </w:tc>
      </w:tr>
      <w:tr w:rsidR="000D0ABF" w:rsidRPr="00131D4C" w14:paraId="41BE54D0" w14:textId="77777777" w:rsidTr="00F800C2">
        <w:tc>
          <w:tcPr>
            <w:tcW w:w="1427" w:type="pct"/>
            <w:tcMar>
              <w:top w:w="57" w:type="dxa"/>
              <w:left w:w="170" w:type="dxa"/>
              <w:bottom w:w="57" w:type="dxa"/>
              <w:right w:w="170" w:type="dxa"/>
            </w:tcMar>
          </w:tcPr>
          <w:p w14:paraId="1472FDB3" w14:textId="77777777" w:rsidR="000D0ABF" w:rsidRDefault="000D0ABF" w:rsidP="000D0ABF">
            <w:pPr>
              <w:rPr>
                <w:rFonts w:cs="Arial"/>
                <w:szCs w:val="19"/>
              </w:rPr>
            </w:pPr>
            <w:r>
              <w:rPr>
                <w:rFonts w:cs="Arial"/>
                <w:szCs w:val="19"/>
              </w:rPr>
              <w:t>Lutetiu</w:t>
            </w:r>
            <w:r w:rsidRPr="00D40CD8">
              <w:rPr>
                <w:rFonts w:cs="Arial"/>
                <w:szCs w:val="19"/>
              </w:rPr>
              <w:t xml:space="preserve">m (177Lu) </w:t>
            </w:r>
            <w:proofErr w:type="spellStart"/>
            <w:r w:rsidRPr="00D40CD8">
              <w:rPr>
                <w:rFonts w:cs="Arial"/>
                <w:szCs w:val="19"/>
              </w:rPr>
              <w:t>vipivotide</w:t>
            </w:r>
            <w:proofErr w:type="spellEnd"/>
            <w:r w:rsidRPr="00D40CD8">
              <w:rPr>
                <w:rFonts w:cs="Arial"/>
                <w:szCs w:val="19"/>
              </w:rPr>
              <w:t xml:space="preserve"> tetraxetan </w:t>
            </w:r>
            <w:r>
              <w:rPr>
                <w:rFonts w:cs="Arial"/>
                <w:szCs w:val="19"/>
              </w:rPr>
              <w:t>(</w:t>
            </w:r>
            <w:proofErr w:type="spellStart"/>
            <w:r>
              <w:rPr>
                <w:rFonts w:cs="Arial"/>
                <w:i/>
                <w:iCs/>
                <w:szCs w:val="19"/>
              </w:rPr>
              <w:t>Pluvicto</w:t>
            </w:r>
            <w:proofErr w:type="spellEnd"/>
            <w:r>
              <w:rPr>
                <w:rFonts w:cs="Arial"/>
                <w:szCs w:val="19"/>
              </w:rPr>
              <w:t>)</w:t>
            </w:r>
          </w:p>
          <w:p w14:paraId="5DF7E90C" w14:textId="1A7B6D42" w:rsidR="000D0ABF" w:rsidRPr="003C0A0C" w:rsidRDefault="000D0ABF" w:rsidP="000D0ABF">
            <w:pPr>
              <w:rPr>
                <w:rFonts w:cs="Arial"/>
                <w:szCs w:val="19"/>
              </w:rPr>
            </w:pPr>
            <w:r w:rsidRPr="00333707">
              <w:rPr>
                <w:rFonts w:cs="Arial"/>
                <w:sz w:val="16"/>
                <w:szCs w:val="16"/>
              </w:rPr>
              <w:t>7,400MBq single-dose vial</w:t>
            </w:r>
          </w:p>
        </w:tc>
        <w:tc>
          <w:tcPr>
            <w:tcW w:w="3573" w:type="pct"/>
            <w:tcMar>
              <w:top w:w="57" w:type="dxa"/>
              <w:left w:w="170" w:type="dxa"/>
              <w:bottom w:w="57" w:type="dxa"/>
              <w:right w:w="170" w:type="dxa"/>
            </w:tcMar>
          </w:tcPr>
          <w:p w14:paraId="0AB44B6D" w14:textId="5A14CB09" w:rsidR="000D0ABF" w:rsidRPr="00357DC3" w:rsidRDefault="000D0ABF" w:rsidP="000D0ABF">
            <w:pPr>
              <w:tabs>
                <w:tab w:val="center" w:pos="3152"/>
              </w:tabs>
              <w:rPr>
                <w:rFonts w:cs="Arial"/>
                <w:szCs w:val="19"/>
                <w:lang w:val="en-US"/>
              </w:rPr>
            </w:pPr>
            <w:r w:rsidRPr="0026035E">
              <w:rPr>
                <w:rFonts w:cs="Arial"/>
                <w:color w:val="000000"/>
                <w:szCs w:val="19"/>
                <w:lang w:val="en-US"/>
              </w:rPr>
              <w:t xml:space="preserve">Treatment of adults with prostate-specific membrane antigen-positive metastatic castration resistant prostate cancer who have progressed on or after treatment with androgen receptor pathway inhibitor therapy and are considered appropriate to delay </w:t>
            </w:r>
            <w:proofErr w:type="gramStart"/>
            <w:r w:rsidRPr="0026035E">
              <w:rPr>
                <w:rFonts w:cs="Arial"/>
                <w:color w:val="000000"/>
                <w:szCs w:val="19"/>
                <w:lang w:val="en-US"/>
              </w:rPr>
              <w:t>taxane</w:t>
            </w:r>
            <w:proofErr w:type="gramEnd"/>
            <w:r w:rsidRPr="0026035E">
              <w:rPr>
                <w:rFonts w:cs="Arial"/>
                <w:color w:val="000000"/>
                <w:szCs w:val="19"/>
                <w:lang w:val="en-US"/>
              </w:rPr>
              <w:t>-based chemotherapy</w:t>
            </w:r>
            <w:r>
              <w:rPr>
                <w:rFonts w:cs="Arial"/>
                <w:color w:val="000000"/>
                <w:szCs w:val="19"/>
                <w:lang w:val="en-US"/>
              </w:rPr>
              <w:t xml:space="preserve"> </w:t>
            </w:r>
            <w:r w:rsidRPr="0026035E">
              <w:rPr>
                <w:rFonts w:cs="Arial"/>
                <w:color w:val="000000"/>
                <w:sz w:val="16"/>
                <w:szCs w:val="16"/>
                <w:lang w:val="en-US"/>
              </w:rPr>
              <w:t>[new indication]</w:t>
            </w:r>
          </w:p>
        </w:tc>
      </w:tr>
      <w:tr w:rsidR="000D0ABF" w:rsidRPr="00131D4C" w14:paraId="0857BF66" w14:textId="77777777" w:rsidTr="00F800C2">
        <w:tc>
          <w:tcPr>
            <w:tcW w:w="1427" w:type="pct"/>
            <w:tcMar>
              <w:top w:w="57" w:type="dxa"/>
              <w:left w:w="170" w:type="dxa"/>
              <w:bottom w:w="57" w:type="dxa"/>
              <w:right w:w="170" w:type="dxa"/>
            </w:tcMar>
          </w:tcPr>
          <w:p w14:paraId="770EB303" w14:textId="77777777" w:rsidR="000D0ABF" w:rsidRPr="00C34145" w:rsidRDefault="000D0ABF" w:rsidP="000D0ABF">
            <w:pPr>
              <w:rPr>
                <w:rFonts w:cs="Arial"/>
                <w:color w:val="000000" w:themeColor="text1"/>
                <w:szCs w:val="19"/>
              </w:rPr>
            </w:pPr>
            <w:proofErr w:type="spellStart"/>
            <w:r w:rsidRPr="00C34145">
              <w:rPr>
                <w:rFonts w:cs="Arial"/>
                <w:color w:val="000000" w:themeColor="text1"/>
                <w:szCs w:val="19"/>
              </w:rPr>
              <w:t>Mirvetuximab</w:t>
            </w:r>
            <w:proofErr w:type="spellEnd"/>
            <w:r w:rsidRPr="00C34145">
              <w:rPr>
                <w:rFonts w:cs="Arial"/>
                <w:color w:val="000000" w:themeColor="text1"/>
                <w:szCs w:val="19"/>
              </w:rPr>
              <w:t xml:space="preserve"> </w:t>
            </w:r>
            <w:proofErr w:type="spellStart"/>
            <w:r w:rsidRPr="00C34145">
              <w:rPr>
                <w:rFonts w:cs="Arial"/>
                <w:color w:val="000000" w:themeColor="text1"/>
                <w:szCs w:val="19"/>
              </w:rPr>
              <w:t>soravtansine</w:t>
            </w:r>
            <w:proofErr w:type="spellEnd"/>
            <w:r w:rsidRPr="00C34145">
              <w:rPr>
                <w:rFonts w:cs="Arial"/>
                <w:color w:val="000000" w:themeColor="text1"/>
                <w:szCs w:val="19"/>
              </w:rPr>
              <w:t> </w:t>
            </w:r>
          </w:p>
          <w:p w14:paraId="09F663AB" w14:textId="77777777" w:rsidR="000D0ABF" w:rsidRPr="00C34145" w:rsidRDefault="000D0ABF" w:rsidP="000D0ABF">
            <w:pPr>
              <w:rPr>
                <w:rFonts w:cs="Arial"/>
                <w:color w:val="000000" w:themeColor="text1"/>
                <w:szCs w:val="19"/>
              </w:rPr>
            </w:pPr>
            <w:r w:rsidRPr="00C34145">
              <w:rPr>
                <w:rFonts w:cs="Arial"/>
                <w:color w:val="000000" w:themeColor="text1"/>
                <w:szCs w:val="19"/>
              </w:rPr>
              <w:t>(</w:t>
            </w:r>
            <w:r w:rsidRPr="00C34145">
              <w:rPr>
                <w:rFonts w:cs="Arial"/>
                <w:i/>
                <w:iCs/>
                <w:color w:val="000000" w:themeColor="text1"/>
                <w:szCs w:val="19"/>
              </w:rPr>
              <w:t>Elahere</w:t>
            </w:r>
            <w:r w:rsidRPr="00C34145">
              <w:rPr>
                <w:rFonts w:cs="Arial"/>
                <w:color w:val="000000" w:themeColor="text1"/>
                <w:szCs w:val="19"/>
              </w:rPr>
              <w:t>)</w:t>
            </w:r>
          </w:p>
          <w:p w14:paraId="456C96E3" w14:textId="4C5A480D" w:rsidR="000D0ABF" w:rsidRPr="00CB7CB1" w:rsidRDefault="000D0ABF" w:rsidP="000D0ABF">
            <w:pPr>
              <w:rPr>
                <w:rFonts w:cs="Arial"/>
                <w:szCs w:val="19"/>
              </w:rPr>
            </w:pPr>
            <w:r w:rsidRPr="00C34145">
              <w:rPr>
                <w:rFonts w:cs="Arial"/>
                <w:color w:val="000000" w:themeColor="text1"/>
                <w:sz w:val="16"/>
                <w:szCs w:val="16"/>
              </w:rPr>
              <w:t>100mg in 20mL vial</w:t>
            </w:r>
          </w:p>
        </w:tc>
        <w:tc>
          <w:tcPr>
            <w:tcW w:w="3573" w:type="pct"/>
            <w:tcMar>
              <w:top w:w="57" w:type="dxa"/>
              <w:left w:w="170" w:type="dxa"/>
              <w:bottom w:w="57" w:type="dxa"/>
              <w:right w:w="170" w:type="dxa"/>
            </w:tcMar>
          </w:tcPr>
          <w:p w14:paraId="71E564C5" w14:textId="3E8AE5A7" w:rsidR="000D0ABF" w:rsidRDefault="000D0ABF" w:rsidP="000D0ABF">
            <w:pPr>
              <w:tabs>
                <w:tab w:val="center" w:pos="3152"/>
              </w:tabs>
              <w:rPr>
                <w:rFonts w:cs="Arial"/>
                <w:bCs/>
                <w:szCs w:val="19"/>
              </w:rPr>
            </w:pPr>
            <w:r w:rsidRPr="00C34145">
              <w:rPr>
                <w:rFonts w:cs="Arial"/>
                <w:szCs w:val="19"/>
              </w:rPr>
              <w:t>Use as monotherapy for the treatment of adults with folate receptor-alpha-positive, platinum-resistant high grade serous epithelial ovarian, fallopian tube, or primary peritoneal cancer who have received one to three prior systemic treatment regimens</w:t>
            </w:r>
          </w:p>
        </w:tc>
      </w:tr>
      <w:tr w:rsidR="000D0ABF" w:rsidRPr="00131D4C" w14:paraId="40BD86F7" w14:textId="77777777" w:rsidTr="00F800C2">
        <w:tc>
          <w:tcPr>
            <w:tcW w:w="1427" w:type="pct"/>
            <w:tcMar>
              <w:top w:w="57" w:type="dxa"/>
              <w:left w:w="170" w:type="dxa"/>
              <w:bottom w:w="57" w:type="dxa"/>
              <w:right w:w="170" w:type="dxa"/>
            </w:tcMar>
          </w:tcPr>
          <w:p w14:paraId="1BC5EA23" w14:textId="77777777" w:rsidR="000D0ABF" w:rsidRDefault="000D0ABF" w:rsidP="000D0ABF">
            <w:pPr>
              <w:rPr>
                <w:rFonts w:cs="Arial"/>
                <w:szCs w:val="19"/>
              </w:rPr>
            </w:pPr>
            <w:r>
              <w:rPr>
                <w:rFonts w:cs="Arial"/>
                <w:szCs w:val="19"/>
              </w:rPr>
              <w:t>Nintedanib (</w:t>
            </w:r>
            <w:r>
              <w:rPr>
                <w:rFonts w:cs="Arial"/>
                <w:i/>
                <w:iCs/>
                <w:szCs w:val="19"/>
              </w:rPr>
              <w:t>Ofev</w:t>
            </w:r>
            <w:r>
              <w:rPr>
                <w:rFonts w:cs="Arial"/>
                <w:szCs w:val="19"/>
              </w:rPr>
              <w:t>)</w:t>
            </w:r>
          </w:p>
          <w:p w14:paraId="295659D6" w14:textId="12B3F684" w:rsidR="000D0ABF" w:rsidRPr="009B4F9E" w:rsidRDefault="000D0ABF" w:rsidP="000D0ABF">
            <w:pPr>
              <w:rPr>
                <w:rFonts w:cs="Arial"/>
                <w:szCs w:val="19"/>
              </w:rPr>
            </w:pPr>
            <w:r w:rsidRPr="004A701C">
              <w:rPr>
                <w:rFonts w:cs="Arial"/>
                <w:sz w:val="16"/>
                <w:szCs w:val="16"/>
              </w:rPr>
              <w:t>25mg, 100mg and 150mg capsules</w:t>
            </w:r>
          </w:p>
        </w:tc>
        <w:tc>
          <w:tcPr>
            <w:tcW w:w="3573" w:type="pct"/>
            <w:tcMar>
              <w:top w:w="57" w:type="dxa"/>
              <w:left w:w="170" w:type="dxa"/>
              <w:bottom w:w="57" w:type="dxa"/>
              <w:right w:w="170" w:type="dxa"/>
            </w:tcMar>
          </w:tcPr>
          <w:p w14:paraId="607D46F5" w14:textId="77777777" w:rsidR="000D0ABF" w:rsidRDefault="000D0ABF" w:rsidP="000D0ABF">
            <w:pPr>
              <w:tabs>
                <w:tab w:val="center" w:pos="3152"/>
              </w:tabs>
              <w:rPr>
                <w:rFonts w:cs="Arial"/>
                <w:szCs w:val="19"/>
              </w:rPr>
            </w:pPr>
            <w:r>
              <w:rPr>
                <w:rFonts w:cs="Arial"/>
                <w:szCs w:val="19"/>
              </w:rPr>
              <w:t>Use in</w:t>
            </w:r>
            <w:r w:rsidRPr="00B73764">
              <w:rPr>
                <w:rFonts w:cs="Arial"/>
                <w:szCs w:val="19"/>
              </w:rPr>
              <w:t xml:space="preserve"> </w:t>
            </w:r>
            <w:r>
              <w:rPr>
                <w:rFonts w:cs="Arial"/>
                <w:szCs w:val="19"/>
              </w:rPr>
              <w:t xml:space="preserve">adults, </w:t>
            </w:r>
            <w:r w:rsidRPr="00B73764">
              <w:rPr>
                <w:rFonts w:cs="Arial"/>
                <w:szCs w:val="19"/>
              </w:rPr>
              <w:t>adolescents and children aged 6 years and older for the treatment of systemic sclerosis associated interstitial lung disease</w:t>
            </w:r>
            <w:r>
              <w:rPr>
                <w:rFonts w:cs="Arial"/>
                <w:szCs w:val="19"/>
              </w:rPr>
              <w:t xml:space="preserve"> </w:t>
            </w:r>
          </w:p>
          <w:p w14:paraId="70C13FE7" w14:textId="4117FED8" w:rsidR="000D0ABF" w:rsidRPr="00A075A3" w:rsidRDefault="000D0ABF" w:rsidP="000D0ABF">
            <w:pPr>
              <w:tabs>
                <w:tab w:val="center" w:pos="3152"/>
              </w:tabs>
              <w:rPr>
                <w:rFonts w:cs="Arial"/>
                <w:szCs w:val="19"/>
                <w:lang w:val="en-US"/>
              </w:rPr>
            </w:pPr>
            <w:r w:rsidRPr="0026400D">
              <w:rPr>
                <w:rFonts w:cs="Arial"/>
                <w:sz w:val="16"/>
                <w:szCs w:val="16"/>
              </w:rPr>
              <w:t>[licence change from use only in adults]</w:t>
            </w:r>
            <w:r>
              <w:rPr>
                <w:rFonts w:cs="Arial"/>
                <w:szCs w:val="19"/>
              </w:rPr>
              <w:t xml:space="preserve"> </w:t>
            </w:r>
          </w:p>
        </w:tc>
      </w:tr>
      <w:tr w:rsidR="000D0ABF" w:rsidRPr="00131D4C" w14:paraId="76D4D2E9" w14:textId="77777777" w:rsidTr="00F800C2">
        <w:tc>
          <w:tcPr>
            <w:tcW w:w="1427" w:type="pct"/>
            <w:tcMar>
              <w:top w:w="57" w:type="dxa"/>
              <w:left w:w="170" w:type="dxa"/>
              <w:bottom w:w="57" w:type="dxa"/>
              <w:right w:w="170" w:type="dxa"/>
            </w:tcMar>
          </w:tcPr>
          <w:p w14:paraId="50987624" w14:textId="77777777" w:rsidR="000D0ABF" w:rsidRDefault="000D0ABF" w:rsidP="000D0ABF">
            <w:pPr>
              <w:rPr>
                <w:rFonts w:cs="Arial"/>
                <w:szCs w:val="19"/>
              </w:rPr>
            </w:pPr>
            <w:r w:rsidRPr="000A28D8">
              <w:rPr>
                <w:rFonts w:cs="Arial"/>
                <w:szCs w:val="19"/>
              </w:rPr>
              <w:t>Niraparib + abiraterone (</w:t>
            </w:r>
            <w:proofErr w:type="spellStart"/>
            <w:r w:rsidRPr="000A28D8">
              <w:rPr>
                <w:rFonts w:cs="Arial"/>
                <w:i/>
                <w:iCs/>
                <w:szCs w:val="19"/>
              </w:rPr>
              <w:t>Akeega</w:t>
            </w:r>
            <w:proofErr w:type="spellEnd"/>
            <w:r w:rsidRPr="000A28D8">
              <w:rPr>
                <w:rFonts w:cs="Arial"/>
                <w:szCs w:val="19"/>
              </w:rPr>
              <w:t>)</w:t>
            </w:r>
          </w:p>
          <w:p w14:paraId="41EF89EC" w14:textId="03F91C79" w:rsidR="000D0ABF" w:rsidRDefault="000D0ABF" w:rsidP="000D0ABF">
            <w:pPr>
              <w:rPr>
                <w:rFonts w:cs="Arial"/>
                <w:szCs w:val="19"/>
              </w:rPr>
            </w:pPr>
            <w:r w:rsidRPr="00D34D59">
              <w:rPr>
                <w:rFonts w:cs="Arial"/>
                <w:sz w:val="16"/>
                <w:szCs w:val="16"/>
              </w:rPr>
              <w:t>50/100mg and 100/500mg tablets</w:t>
            </w:r>
          </w:p>
        </w:tc>
        <w:tc>
          <w:tcPr>
            <w:tcW w:w="3573" w:type="pct"/>
            <w:tcMar>
              <w:top w:w="57" w:type="dxa"/>
              <w:left w:w="170" w:type="dxa"/>
              <w:bottom w:w="57" w:type="dxa"/>
              <w:right w:w="170" w:type="dxa"/>
            </w:tcMar>
          </w:tcPr>
          <w:p w14:paraId="7374450A" w14:textId="77777777" w:rsidR="000D0ABF" w:rsidRDefault="000D0ABF" w:rsidP="000D0ABF">
            <w:pPr>
              <w:tabs>
                <w:tab w:val="center" w:pos="3152"/>
              </w:tabs>
              <w:rPr>
                <w:rFonts w:cs="Arial"/>
                <w:szCs w:val="19"/>
              </w:rPr>
            </w:pPr>
            <w:r>
              <w:rPr>
                <w:rFonts w:cs="Arial"/>
                <w:szCs w:val="19"/>
              </w:rPr>
              <w:t xml:space="preserve">Use </w:t>
            </w:r>
            <w:r w:rsidRPr="00807410">
              <w:rPr>
                <w:rFonts w:cs="Arial"/>
                <w:szCs w:val="19"/>
              </w:rPr>
              <w:t>with prednisone or prednisolone for the treatment of adults with metastatic castration-resistant prostate cancer and BRCA 1/2 mutations (germline and/or somatic) in whom chemotherapy is not clinically indicated</w:t>
            </w:r>
            <w:r>
              <w:rPr>
                <w:rFonts w:cs="Arial"/>
                <w:szCs w:val="19"/>
              </w:rPr>
              <w:t xml:space="preserve"> </w:t>
            </w:r>
          </w:p>
          <w:p w14:paraId="1D8AF48F" w14:textId="4E8982F9" w:rsidR="000D0ABF" w:rsidRPr="00F91292" w:rsidRDefault="000D0ABF" w:rsidP="000D0ABF">
            <w:pPr>
              <w:tabs>
                <w:tab w:val="center" w:pos="3152"/>
              </w:tabs>
              <w:rPr>
                <w:rFonts w:cs="Arial"/>
                <w:szCs w:val="19"/>
              </w:rPr>
            </w:pPr>
            <w:r w:rsidRPr="00807410">
              <w:rPr>
                <w:rFonts w:cs="Arial"/>
                <w:sz w:val="16"/>
                <w:szCs w:val="16"/>
              </w:rPr>
              <w:t>[new formulation</w:t>
            </w:r>
            <w:r>
              <w:rPr>
                <w:rFonts w:cs="Arial"/>
                <w:sz w:val="16"/>
                <w:szCs w:val="16"/>
              </w:rPr>
              <w:t xml:space="preserve"> with new indication</w:t>
            </w:r>
            <w:r w:rsidRPr="00807410">
              <w:rPr>
                <w:rFonts w:cs="Arial"/>
                <w:sz w:val="16"/>
                <w:szCs w:val="16"/>
              </w:rPr>
              <w:t>]</w:t>
            </w:r>
          </w:p>
        </w:tc>
      </w:tr>
      <w:tr w:rsidR="000D0ABF" w:rsidRPr="00131D4C" w14:paraId="091762F9" w14:textId="77777777" w:rsidTr="00F800C2">
        <w:tc>
          <w:tcPr>
            <w:tcW w:w="1427" w:type="pct"/>
            <w:tcMar>
              <w:top w:w="57" w:type="dxa"/>
              <w:left w:w="170" w:type="dxa"/>
              <w:bottom w:w="57" w:type="dxa"/>
              <w:right w:w="170" w:type="dxa"/>
            </w:tcMar>
          </w:tcPr>
          <w:p w14:paraId="0C726B7E" w14:textId="77777777" w:rsidR="000D0ABF" w:rsidRPr="00B90B13" w:rsidRDefault="000D0ABF" w:rsidP="000D0ABF">
            <w:pPr>
              <w:rPr>
                <w:rFonts w:cs="Arial"/>
                <w:szCs w:val="19"/>
              </w:rPr>
            </w:pPr>
            <w:r w:rsidRPr="00B90B13">
              <w:rPr>
                <w:rFonts w:cs="Arial"/>
                <w:szCs w:val="19"/>
              </w:rPr>
              <w:t>Pembrolizumab (</w:t>
            </w:r>
            <w:r w:rsidRPr="00B90B13">
              <w:rPr>
                <w:rFonts w:cs="Arial"/>
                <w:i/>
                <w:iCs/>
                <w:szCs w:val="19"/>
              </w:rPr>
              <w:t>Keytruda</w:t>
            </w:r>
            <w:r w:rsidRPr="00B90B13">
              <w:rPr>
                <w:rFonts w:cs="Arial"/>
                <w:szCs w:val="19"/>
              </w:rPr>
              <w:t>)</w:t>
            </w:r>
          </w:p>
          <w:p w14:paraId="5DAC20FD" w14:textId="1C927CDE" w:rsidR="000D0ABF" w:rsidRPr="00A075A3" w:rsidRDefault="000D0ABF" w:rsidP="000D0ABF">
            <w:pPr>
              <w:rPr>
                <w:rFonts w:cs="Arial"/>
                <w:szCs w:val="19"/>
              </w:rPr>
            </w:pPr>
            <w:r>
              <w:rPr>
                <w:rFonts w:cs="Arial"/>
                <w:sz w:val="16"/>
                <w:szCs w:val="16"/>
              </w:rPr>
              <w:t>100mg in 4mL vial</w:t>
            </w:r>
          </w:p>
        </w:tc>
        <w:tc>
          <w:tcPr>
            <w:tcW w:w="3573" w:type="pct"/>
            <w:tcMar>
              <w:top w:w="57" w:type="dxa"/>
              <w:left w:w="170" w:type="dxa"/>
              <w:bottom w:w="57" w:type="dxa"/>
              <w:right w:w="170" w:type="dxa"/>
            </w:tcMar>
          </w:tcPr>
          <w:p w14:paraId="2F7A7CED" w14:textId="6A06A48C" w:rsidR="000D0ABF" w:rsidRPr="009B0BCE" w:rsidRDefault="000D0ABF" w:rsidP="000D0ABF">
            <w:pPr>
              <w:tabs>
                <w:tab w:val="center" w:pos="3152"/>
              </w:tabs>
              <w:rPr>
                <w:rFonts w:cs="Arial"/>
                <w:color w:val="000000"/>
                <w:sz w:val="20"/>
                <w:szCs w:val="18"/>
                <w:lang w:val="en-US"/>
              </w:rPr>
            </w:pPr>
            <w:r w:rsidRPr="00082ABB">
              <w:rPr>
                <w:rFonts w:cs="Arial"/>
                <w:szCs w:val="19"/>
              </w:rPr>
              <w:t xml:space="preserve">Use as monotherapy for the treatment of resectable locally advanced head and neck squamous cell carcinoma as neoadjuvant treatment, continued as adjuvant treatment in combination with radiation therapy with or without concomitant cisplatin and then as monotherapy in adults whose tumours express PD-L1 with a CPS </w:t>
            </w:r>
            <w:r>
              <w:rPr>
                <w:rFonts w:cs="Arial"/>
                <w:szCs w:val="19"/>
              </w:rPr>
              <w:t xml:space="preserve">of </w:t>
            </w:r>
            <w:r w:rsidRPr="00082ABB">
              <w:rPr>
                <w:rFonts w:cs="Arial"/>
                <w:szCs w:val="19"/>
              </w:rPr>
              <w:t>1</w:t>
            </w:r>
            <w:r>
              <w:rPr>
                <w:rFonts w:cs="Arial"/>
                <w:szCs w:val="19"/>
              </w:rPr>
              <w:t xml:space="preserve"> or higher </w:t>
            </w:r>
            <w:r w:rsidRPr="00082ABB">
              <w:rPr>
                <w:rFonts w:cs="Arial"/>
                <w:sz w:val="16"/>
                <w:szCs w:val="16"/>
              </w:rPr>
              <w:t>[new indication]</w:t>
            </w:r>
          </w:p>
        </w:tc>
      </w:tr>
      <w:tr w:rsidR="000D0ABF" w:rsidRPr="00131D4C" w14:paraId="2C7CAA6F" w14:textId="77777777" w:rsidTr="00F800C2">
        <w:tc>
          <w:tcPr>
            <w:tcW w:w="1427" w:type="pct"/>
            <w:tcMar>
              <w:top w:w="57" w:type="dxa"/>
              <w:left w:w="170" w:type="dxa"/>
              <w:bottom w:w="57" w:type="dxa"/>
              <w:right w:w="170" w:type="dxa"/>
            </w:tcMar>
          </w:tcPr>
          <w:p w14:paraId="1BE3882C" w14:textId="77777777" w:rsidR="000D0ABF" w:rsidRDefault="000D0ABF" w:rsidP="000D0ABF">
            <w:pPr>
              <w:rPr>
                <w:rFonts w:cs="Arial"/>
                <w:szCs w:val="19"/>
              </w:rPr>
            </w:pPr>
            <w:r w:rsidRPr="00524873">
              <w:rPr>
                <w:rFonts w:cs="Arial"/>
                <w:szCs w:val="19"/>
              </w:rPr>
              <w:t>Pneumococcal polysaccharide conjugate vaccine (</w:t>
            </w:r>
            <w:r w:rsidRPr="00524873">
              <w:rPr>
                <w:rFonts w:cs="Arial"/>
                <w:i/>
                <w:iCs/>
                <w:szCs w:val="19"/>
              </w:rPr>
              <w:t>Capvaxive</w:t>
            </w:r>
            <w:r w:rsidRPr="00524873">
              <w:rPr>
                <w:rFonts w:cs="Arial"/>
                <w:szCs w:val="19"/>
              </w:rPr>
              <w:t>)</w:t>
            </w:r>
          </w:p>
          <w:p w14:paraId="613C99E3" w14:textId="02EBB663" w:rsidR="000D0ABF" w:rsidRPr="00E142B4" w:rsidRDefault="000D0ABF" w:rsidP="000D0ABF">
            <w:pPr>
              <w:rPr>
                <w:rFonts w:cs="Arial"/>
                <w:sz w:val="16"/>
                <w:szCs w:val="16"/>
              </w:rPr>
            </w:pPr>
            <w:r w:rsidRPr="0004167C">
              <w:rPr>
                <w:rFonts w:cs="Arial"/>
                <w:color w:val="000000" w:themeColor="text1"/>
                <w:sz w:val="16"/>
                <w:szCs w:val="16"/>
              </w:rPr>
              <w:t>Single-dose prefilled syringe</w:t>
            </w:r>
          </w:p>
        </w:tc>
        <w:tc>
          <w:tcPr>
            <w:tcW w:w="3573" w:type="pct"/>
            <w:tcMar>
              <w:top w:w="57" w:type="dxa"/>
              <w:left w:w="170" w:type="dxa"/>
              <w:bottom w:w="57" w:type="dxa"/>
              <w:right w:w="170" w:type="dxa"/>
            </w:tcMar>
          </w:tcPr>
          <w:p w14:paraId="6CE8727A" w14:textId="2426B443" w:rsidR="000D0ABF" w:rsidRPr="00A04D53" w:rsidRDefault="000D0ABF" w:rsidP="000D0ABF">
            <w:pPr>
              <w:tabs>
                <w:tab w:val="center" w:pos="3152"/>
              </w:tabs>
              <w:rPr>
                <w:rFonts w:cs="Arial"/>
                <w:szCs w:val="19"/>
              </w:rPr>
            </w:pPr>
            <w:r>
              <w:rPr>
                <w:rFonts w:cs="Arial"/>
                <w:color w:val="000000" w:themeColor="text1"/>
                <w:szCs w:val="19"/>
                <w:lang w:val="en-US"/>
              </w:rPr>
              <w:t>Activ</w:t>
            </w:r>
            <w:r w:rsidRPr="002E496F">
              <w:rPr>
                <w:rFonts w:cs="Arial"/>
                <w:color w:val="000000" w:themeColor="text1"/>
                <w:szCs w:val="19"/>
                <w:lang w:val="en-US"/>
              </w:rPr>
              <w:t xml:space="preserve">e </w:t>
            </w:r>
            <w:proofErr w:type="spellStart"/>
            <w:r w:rsidRPr="002E496F">
              <w:rPr>
                <w:rFonts w:cs="Arial"/>
                <w:color w:val="000000" w:themeColor="text1"/>
                <w:szCs w:val="19"/>
                <w:lang w:val="en-US"/>
              </w:rPr>
              <w:t>immunisation</w:t>
            </w:r>
            <w:proofErr w:type="spellEnd"/>
            <w:r w:rsidRPr="002E496F">
              <w:rPr>
                <w:rFonts w:cs="Arial"/>
                <w:color w:val="000000" w:themeColor="text1"/>
                <w:szCs w:val="19"/>
                <w:lang w:val="en-US"/>
              </w:rPr>
              <w:t xml:space="preserve"> for the prevention of invasive disease and pneumonia caused by Streptococcus pneumoniae in individuals </w:t>
            </w:r>
            <w:r>
              <w:rPr>
                <w:rFonts w:cs="Arial"/>
                <w:color w:val="000000" w:themeColor="text1"/>
                <w:szCs w:val="19"/>
                <w:lang w:val="en-US"/>
              </w:rPr>
              <w:t xml:space="preserve">aged </w:t>
            </w:r>
            <w:r w:rsidRPr="002E496F">
              <w:rPr>
                <w:rFonts w:cs="Arial"/>
                <w:color w:val="000000" w:themeColor="text1"/>
                <w:szCs w:val="19"/>
                <w:lang w:val="en-US"/>
              </w:rPr>
              <w:t>18 years and older</w:t>
            </w:r>
          </w:p>
        </w:tc>
      </w:tr>
      <w:tr w:rsidR="000D0ABF" w:rsidRPr="00131D4C" w14:paraId="78784088" w14:textId="77777777" w:rsidTr="00F800C2">
        <w:tc>
          <w:tcPr>
            <w:tcW w:w="1427" w:type="pct"/>
            <w:tcMar>
              <w:top w:w="57" w:type="dxa"/>
              <w:left w:w="170" w:type="dxa"/>
              <w:bottom w:w="57" w:type="dxa"/>
              <w:right w:w="170" w:type="dxa"/>
            </w:tcMar>
          </w:tcPr>
          <w:p w14:paraId="4D80B472" w14:textId="77777777" w:rsidR="000D0ABF" w:rsidRDefault="000D0ABF" w:rsidP="000D0ABF">
            <w:pPr>
              <w:rPr>
                <w:rFonts w:cs="Arial"/>
                <w:szCs w:val="19"/>
              </w:rPr>
            </w:pPr>
            <w:proofErr w:type="spellStart"/>
            <w:r>
              <w:rPr>
                <w:rFonts w:cs="Arial"/>
                <w:szCs w:val="19"/>
              </w:rPr>
              <w:t>Tafasitamab</w:t>
            </w:r>
            <w:proofErr w:type="spellEnd"/>
            <w:r>
              <w:rPr>
                <w:rFonts w:cs="Arial"/>
                <w:szCs w:val="19"/>
              </w:rPr>
              <w:t xml:space="preserve"> (</w:t>
            </w:r>
            <w:proofErr w:type="spellStart"/>
            <w:r>
              <w:rPr>
                <w:rFonts w:cs="Arial"/>
                <w:i/>
                <w:iCs/>
                <w:szCs w:val="19"/>
              </w:rPr>
              <w:t>Minjuvi</w:t>
            </w:r>
            <w:proofErr w:type="spellEnd"/>
            <w:r>
              <w:rPr>
                <w:rFonts w:cs="Arial"/>
                <w:szCs w:val="19"/>
              </w:rPr>
              <w:t>)</w:t>
            </w:r>
          </w:p>
          <w:p w14:paraId="1DD1D9C4" w14:textId="732ECF76" w:rsidR="000D0ABF" w:rsidRPr="000C4FF3" w:rsidRDefault="000D0ABF" w:rsidP="000D0ABF">
            <w:pPr>
              <w:rPr>
                <w:rFonts w:cs="Arial"/>
                <w:sz w:val="16"/>
                <w:szCs w:val="16"/>
              </w:rPr>
            </w:pPr>
            <w:r w:rsidRPr="000C4FF3">
              <w:rPr>
                <w:rFonts w:cs="Arial"/>
                <w:sz w:val="16"/>
                <w:szCs w:val="16"/>
              </w:rPr>
              <w:t>200mg vial</w:t>
            </w:r>
          </w:p>
        </w:tc>
        <w:tc>
          <w:tcPr>
            <w:tcW w:w="3573" w:type="pct"/>
            <w:tcMar>
              <w:top w:w="57" w:type="dxa"/>
              <w:left w:w="170" w:type="dxa"/>
              <w:bottom w:w="57" w:type="dxa"/>
              <w:right w:w="170" w:type="dxa"/>
            </w:tcMar>
          </w:tcPr>
          <w:p w14:paraId="79276C72" w14:textId="7AD444BA" w:rsidR="000D0ABF" w:rsidRPr="001D7849" w:rsidRDefault="000D0ABF" w:rsidP="000D0ABF">
            <w:pPr>
              <w:tabs>
                <w:tab w:val="center" w:pos="3152"/>
              </w:tabs>
              <w:rPr>
                <w:rFonts w:cs="Arial"/>
                <w:szCs w:val="19"/>
              </w:rPr>
            </w:pPr>
            <w:r w:rsidRPr="00CF74E3">
              <w:rPr>
                <w:rFonts w:cs="Arial"/>
                <w:szCs w:val="19"/>
              </w:rPr>
              <w:t>Use in combination with lenalidomide and rituximab for the treatment of adults with relapsed or refractory follicular lymphoma (Grade 1-3a) after at least one line of systemic therapy</w:t>
            </w:r>
            <w:r>
              <w:rPr>
                <w:rFonts w:cs="Arial"/>
                <w:szCs w:val="19"/>
              </w:rPr>
              <w:t xml:space="preserve"> </w:t>
            </w:r>
            <w:r w:rsidRPr="00CF74E3">
              <w:rPr>
                <w:rFonts w:cs="Arial"/>
                <w:sz w:val="16"/>
                <w:szCs w:val="16"/>
              </w:rPr>
              <w:t>[new indication]</w:t>
            </w:r>
          </w:p>
        </w:tc>
      </w:tr>
      <w:tr w:rsidR="000D0ABF" w14:paraId="40786CA7" w14:textId="77777777" w:rsidTr="00F800C2">
        <w:tc>
          <w:tcPr>
            <w:tcW w:w="1427" w:type="pct"/>
            <w:tcMar>
              <w:top w:w="57" w:type="dxa"/>
              <w:left w:w="170" w:type="dxa"/>
              <w:bottom w:w="57" w:type="dxa"/>
              <w:right w:w="170" w:type="dxa"/>
            </w:tcMar>
          </w:tcPr>
          <w:p w14:paraId="122D6033" w14:textId="77777777" w:rsidR="000D0ABF" w:rsidRDefault="000D0ABF" w:rsidP="000D0ABF">
            <w:pPr>
              <w:rPr>
                <w:rFonts w:cs="Arial"/>
                <w:szCs w:val="19"/>
              </w:rPr>
            </w:pPr>
            <w:proofErr w:type="spellStart"/>
            <w:r w:rsidRPr="0098077D">
              <w:rPr>
                <w:rFonts w:cs="Arial"/>
                <w:szCs w:val="19"/>
              </w:rPr>
              <w:t>Tisotumab</w:t>
            </w:r>
            <w:proofErr w:type="spellEnd"/>
            <w:r w:rsidRPr="0098077D">
              <w:rPr>
                <w:rFonts w:cs="Arial"/>
                <w:szCs w:val="19"/>
              </w:rPr>
              <w:t xml:space="preserve"> vedotin (</w:t>
            </w:r>
            <w:proofErr w:type="spellStart"/>
            <w:r w:rsidRPr="0098077D">
              <w:rPr>
                <w:rFonts w:cs="Arial"/>
                <w:i/>
                <w:iCs/>
                <w:szCs w:val="19"/>
              </w:rPr>
              <w:t>Tivdak</w:t>
            </w:r>
            <w:proofErr w:type="spellEnd"/>
            <w:r w:rsidRPr="0098077D">
              <w:rPr>
                <w:rFonts w:cs="Arial"/>
                <w:szCs w:val="19"/>
              </w:rPr>
              <w:t>)</w:t>
            </w:r>
          </w:p>
          <w:p w14:paraId="04BCD8CF" w14:textId="71D031B5" w:rsidR="000D0ABF" w:rsidRPr="00BD5054" w:rsidRDefault="000D0ABF" w:rsidP="000D0ABF">
            <w:pPr>
              <w:rPr>
                <w:rFonts w:cs="Arial"/>
                <w:szCs w:val="19"/>
              </w:rPr>
            </w:pPr>
            <w:r w:rsidRPr="00BA4B10">
              <w:rPr>
                <w:rFonts w:cs="Arial"/>
                <w:sz w:val="16"/>
                <w:szCs w:val="16"/>
              </w:rPr>
              <w:t>40mg vial</w:t>
            </w:r>
          </w:p>
        </w:tc>
        <w:tc>
          <w:tcPr>
            <w:tcW w:w="3573" w:type="pct"/>
            <w:tcMar>
              <w:top w:w="57" w:type="dxa"/>
              <w:left w:w="170" w:type="dxa"/>
              <w:bottom w:w="57" w:type="dxa"/>
              <w:right w:w="170" w:type="dxa"/>
            </w:tcMar>
          </w:tcPr>
          <w:p w14:paraId="5BD61F37" w14:textId="5B0FDAE6" w:rsidR="000D0ABF" w:rsidRPr="008A45EE" w:rsidRDefault="000D0ABF" w:rsidP="000D0ABF">
            <w:pPr>
              <w:tabs>
                <w:tab w:val="center" w:pos="3152"/>
              </w:tabs>
              <w:rPr>
                <w:rFonts w:cs="Arial"/>
                <w:color w:val="000000" w:themeColor="text1"/>
                <w:szCs w:val="19"/>
                <w:lang w:val="en-US"/>
              </w:rPr>
            </w:pPr>
            <w:r w:rsidRPr="00BA4B10">
              <w:rPr>
                <w:rFonts w:cs="Arial"/>
                <w:szCs w:val="19"/>
                <w:lang w:val="en-US"/>
              </w:rPr>
              <w:t>Us</w:t>
            </w:r>
            <w:r>
              <w:rPr>
                <w:rFonts w:cs="Arial"/>
                <w:szCs w:val="19"/>
                <w:lang w:val="en-US"/>
              </w:rPr>
              <w:t>e</w:t>
            </w:r>
            <w:r w:rsidRPr="00BA4B10">
              <w:rPr>
                <w:rFonts w:cs="Arial"/>
                <w:szCs w:val="19"/>
                <w:lang w:val="en-US"/>
              </w:rPr>
              <w:t xml:space="preserve"> as monotherapy for the treatment of adult</w:t>
            </w:r>
            <w:r>
              <w:rPr>
                <w:rFonts w:cs="Arial"/>
                <w:szCs w:val="19"/>
                <w:lang w:val="en-US"/>
              </w:rPr>
              <w:t xml:space="preserve">s </w:t>
            </w:r>
            <w:r w:rsidRPr="00BA4B10">
              <w:rPr>
                <w:rFonts w:cs="Arial"/>
                <w:szCs w:val="19"/>
                <w:lang w:val="en-US"/>
              </w:rPr>
              <w:t>with recurrent or metastatic cervical cancer with disease progression on or after systemic therapy</w:t>
            </w:r>
          </w:p>
        </w:tc>
      </w:tr>
      <w:tr w:rsidR="000D0ABF" w:rsidRPr="00862949" w14:paraId="318557BC" w14:textId="77777777" w:rsidTr="00F800C2">
        <w:tc>
          <w:tcPr>
            <w:tcW w:w="5000" w:type="pct"/>
            <w:gridSpan w:val="2"/>
            <w:tcMar>
              <w:top w:w="0" w:type="dxa"/>
              <w:bottom w:w="0" w:type="dxa"/>
            </w:tcMar>
          </w:tcPr>
          <w:p w14:paraId="66ED1D2E" w14:textId="77777777" w:rsidR="000D0ABF" w:rsidRPr="00862949" w:rsidRDefault="000D0ABF" w:rsidP="000D0ABF">
            <w:pPr>
              <w:rPr>
                <w:rFonts w:cs="Arial"/>
                <w:b/>
                <w:noProof/>
                <w:sz w:val="8"/>
                <w:szCs w:val="8"/>
              </w:rPr>
            </w:pPr>
          </w:p>
        </w:tc>
      </w:tr>
      <w:tr w:rsidR="000D0ABF" w:rsidRPr="00862949" w14:paraId="4BE92BF7" w14:textId="77777777" w:rsidTr="00F800C2">
        <w:tc>
          <w:tcPr>
            <w:tcW w:w="5000" w:type="pct"/>
            <w:gridSpan w:val="2"/>
            <w:shd w:val="clear" w:color="auto" w:fill="DAEEF3"/>
            <w:tcMar>
              <w:top w:w="0" w:type="dxa"/>
              <w:bottom w:w="0" w:type="dxa"/>
            </w:tcMar>
          </w:tcPr>
          <w:p w14:paraId="6383A1F5" w14:textId="77777777" w:rsidR="000D0ABF" w:rsidRPr="00862949" w:rsidRDefault="000D0ABF" w:rsidP="000D0ABF">
            <w:pPr>
              <w:rPr>
                <w:rFonts w:cs="Arial"/>
                <w:b/>
                <w:i/>
                <w:noProof/>
                <w:sz w:val="8"/>
                <w:szCs w:val="8"/>
              </w:rPr>
            </w:pPr>
          </w:p>
        </w:tc>
      </w:tr>
    </w:tbl>
    <w:p w14:paraId="2DBCB661" w14:textId="77777777" w:rsidR="00583984" w:rsidRDefault="00583984" w:rsidP="00EB3E6F">
      <w:pPr>
        <w:tabs>
          <w:tab w:val="left" w:pos="2087"/>
        </w:tabs>
      </w:pPr>
    </w:p>
    <w:p w14:paraId="08A2A06F" w14:textId="527BA73D" w:rsidR="00CF74E3" w:rsidRDefault="00CF74E3">
      <w:r>
        <w:br w:type="page"/>
      </w:r>
    </w:p>
    <w:p w14:paraId="6CCBBD61" w14:textId="77777777" w:rsidR="00583984" w:rsidRDefault="00583984" w:rsidP="00EB3E6F">
      <w:pPr>
        <w:tabs>
          <w:tab w:val="left" w:pos="2087"/>
        </w:tabs>
      </w:pPr>
    </w:p>
    <w:p w14:paraId="70D5BC0D" w14:textId="3BAD765D" w:rsidR="00A81694" w:rsidRDefault="00EB3E6F" w:rsidP="00EB3E6F">
      <w:pPr>
        <w:tabs>
          <w:tab w:val="left" w:pos="2087"/>
        </w:tabs>
      </w:pPr>
      <w:r>
        <w:tab/>
      </w:r>
    </w:p>
    <w:tbl>
      <w:tblPr>
        <w:tblW w:w="5170" w:type="pct"/>
        <w:tblInd w:w="-176" w:type="dxa"/>
        <w:tblLayout w:type="fixed"/>
        <w:tblLook w:val="01E0" w:firstRow="1" w:lastRow="1" w:firstColumn="1" w:lastColumn="1" w:noHBand="0" w:noVBand="0"/>
      </w:tblPr>
      <w:tblGrid>
        <w:gridCol w:w="2430"/>
        <w:gridCol w:w="623"/>
        <w:gridCol w:w="7498"/>
      </w:tblGrid>
      <w:tr w:rsidR="005A7E09" w:rsidRPr="00862949" w14:paraId="4C6C5B32" w14:textId="77777777" w:rsidTr="005A7E09">
        <w:tc>
          <w:tcPr>
            <w:tcW w:w="5000" w:type="pct"/>
            <w:gridSpan w:val="3"/>
            <w:shd w:val="clear" w:color="auto" w:fill="0070C0"/>
            <w:tcMar>
              <w:top w:w="85" w:type="dxa"/>
              <w:bottom w:w="85" w:type="dxa"/>
            </w:tcMar>
            <w:vAlign w:val="bottom"/>
          </w:tcPr>
          <w:p w14:paraId="529C2CB7" w14:textId="77777777" w:rsidR="005A7E09" w:rsidRPr="00862949" w:rsidRDefault="005A7E09" w:rsidP="005A7E09">
            <w:pPr>
              <w:rPr>
                <w:rFonts w:cs="Arial"/>
                <w:color w:val="FFFFFF"/>
                <w:sz w:val="15"/>
                <w:szCs w:val="15"/>
              </w:rPr>
            </w:pPr>
            <w:r w:rsidRPr="00862949">
              <w:rPr>
                <w:rFonts w:cs="Arial"/>
                <w:b/>
                <w:bCs/>
                <w:iCs/>
                <w:color w:val="FFFFFF"/>
                <w:sz w:val="28"/>
                <w:szCs w:val="28"/>
                <w:lang w:val="en-US"/>
              </w:rPr>
              <w:t xml:space="preserve">Regulatory changes in the </w:t>
            </w:r>
            <w:r w:rsidR="00AA1F49">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5A7E09" w:rsidRPr="00862949" w14:paraId="5C4A7CF5" w14:textId="77777777" w:rsidTr="005A7E09">
        <w:tc>
          <w:tcPr>
            <w:tcW w:w="5000" w:type="pct"/>
            <w:gridSpan w:val="3"/>
            <w:shd w:val="clear" w:color="auto" w:fill="DAEEF3"/>
            <w:tcMar>
              <w:top w:w="0" w:type="dxa"/>
              <w:bottom w:w="0" w:type="dxa"/>
            </w:tcMar>
          </w:tcPr>
          <w:p w14:paraId="73F36A86" w14:textId="77777777" w:rsidR="005A7E09" w:rsidRPr="00862949" w:rsidRDefault="005A7E09" w:rsidP="005A7E09">
            <w:pPr>
              <w:rPr>
                <w:rFonts w:cs="Arial"/>
                <w:b/>
                <w:bCs/>
                <w:i/>
                <w:iCs/>
                <w:color w:val="000000"/>
                <w:sz w:val="8"/>
                <w:szCs w:val="8"/>
                <w:lang w:val="en-US"/>
              </w:rPr>
            </w:pPr>
          </w:p>
        </w:tc>
      </w:tr>
      <w:tr w:rsidR="005A7E09" w:rsidRPr="00862949" w14:paraId="4F3FA005" w14:textId="77777777" w:rsidTr="00562CE4">
        <w:tc>
          <w:tcPr>
            <w:tcW w:w="5000" w:type="pct"/>
            <w:gridSpan w:val="3"/>
            <w:shd w:val="clear" w:color="auto" w:fill="008232"/>
            <w:tcMar>
              <w:top w:w="57" w:type="dxa"/>
              <w:bottom w:w="57" w:type="dxa"/>
            </w:tcMar>
          </w:tcPr>
          <w:p w14:paraId="30A89A99" w14:textId="77777777" w:rsidR="005A7E09" w:rsidRPr="00433D3E" w:rsidRDefault="005A7E09" w:rsidP="00EB3E6F">
            <w:pPr>
              <w:rPr>
                <w:rFonts w:cs="Arial"/>
                <w:color w:val="FFFFFF"/>
                <w:sz w:val="20"/>
                <w:szCs w:val="20"/>
              </w:rPr>
            </w:pPr>
            <w:r w:rsidRPr="00433D3E">
              <w:rPr>
                <w:rFonts w:cs="Arial"/>
                <w:b/>
                <w:bCs/>
                <w:i/>
                <w:iCs/>
                <w:color w:val="FFFFFF"/>
                <w:sz w:val="22"/>
                <w:szCs w:val="20"/>
                <w:lang w:val="en-US"/>
              </w:rPr>
              <w:t xml:space="preserve">Approved in the </w:t>
            </w:r>
            <w:r w:rsidR="0048777D">
              <w:rPr>
                <w:rFonts w:cs="Arial"/>
                <w:b/>
                <w:bCs/>
                <w:i/>
                <w:iCs/>
                <w:color w:val="FFFFFF"/>
                <w:sz w:val="22"/>
                <w:szCs w:val="20"/>
                <w:lang w:val="en-US"/>
              </w:rPr>
              <w:t>UK</w:t>
            </w:r>
          </w:p>
        </w:tc>
      </w:tr>
      <w:tr w:rsidR="00247547" w14:paraId="313E05F9" w14:textId="77777777" w:rsidTr="00355B51">
        <w:tc>
          <w:tcPr>
            <w:tcW w:w="1447" w:type="pct"/>
            <w:gridSpan w:val="2"/>
            <w:tcMar>
              <w:top w:w="57" w:type="dxa"/>
              <w:bottom w:w="57" w:type="dxa"/>
            </w:tcMar>
          </w:tcPr>
          <w:p w14:paraId="7D18C08F" w14:textId="3F5F7A7C" w:rsidR="00B42177" w:rsidRPr="00D80104" w:rsidRDefault="00F46E62" w:rsidP="007D01FD">
            <w:pPr>
              <w:rPr>
                <w:rFonts w:cs="Arial"/>
                <w:color w:val="000000" w:themeColor="text1"/>
                <w:szCs w:val="19"/>
              </w:rPr>
            </w:pPr>
            <w:proofErr w:type="spellStart"/>
            <w:r w:rsidRPr="00D80104">
              <w:rPr>
                <w:rFonts w:cs="Arial"/>
                <w:color w:val="000000" w:themeColor="text1"/>
                <w:szCs w:val="19"/>
              </w:rPr>
              <w:t>Brensocatib</w:t>
            </w:r>
            <w:proofErr w:type="spellEnd"/>
            <w:r w:rsidRPr="00D80104">
              <w:rPr>
                <w:rFonts w:cs="Arial"/>
                <w:color w:val="000000" w:themeColor="text1"/>
                <w:szCs w:val="19"/>
              </w:rPr>
              <w:t xml:space="preserve"> (</w:t>
            </w:r>
            <w:proofErr w:type="spellStart"/>
            <w:r w:rsidRPr="00D80104">
              <w:rPr>
                <w:rFonts w:cs="Arial"/>
                <w:i/>
                <w:iCs/>
                <w:color w:val="000000" w:themeColor="text1"/>
                <w:szCs w:val="19"/>
              </w:rPr>
              <w:t>Brinsupri</w:t>
            </w:r>
            <w:proofErr w:type="spellEnd"/>
            <w:r w:rsidRPr="00D80104">
              <w:rPr>
                <w:rFonts w:cs="Arial"/>
                <w:color w:val="000000" w:themeColor="text1"/>
                <w:szCs w:val="19"/>
              </w:rPr>
              <w:t>)</w:t>
            </w:r>
          </w:p>
          <w:p w14:paraId="56EAC1BF" w14:textId="0C484192" w:rsidR="00F46E62" w:rsidRPr="00D80104" w:rsidRDefault="007629AF" w:rsidP="007D01FD">
            <w:pPr>
              <w:rPr>
                <w:rFonts w:cs="Arial"/>
                <w:color w:val="000000" w:themeColor="text1"/>
                <w:sz w:val="16"/>
                <w:szCs w:val="16"/>
              </w:rPr>
            </w:pPr>
            <w:r w:rsidRPr="00D80104">
              <w:rPr>
                <w:rFonts w:cs="Arial"/>
                <w:color w:val="000000" w:themeColor="text1"/>
                <w:sz w:val="16"/>
                <w:szCs w:val="16"/>
              </w:rPr>
              <w:t>25mg tablet</w:t>
            </w:r>
          </w:p>
        </w:tc>
        <w:tc>
          <w:tcPr>
            <w:tcW w:w="3553" w:type="pct"/>
            <w:tcMar>
              <w:top w:w="57" w:type="dxa"/>
              <w:bottom w:w="57" w:type="dxa"/>
            </w:tcMar>
          </w:tcPr>
          <w:p w14:paraId="0717A5BD" w14:textId="4058055A" w:rsidR="00247547" w:rsidRPr="00D80104" w:rsidRDefault="007629AF" w:rsidP="007D01FD">
            <w:pPr>
              <w:tabs>
                <w:tab w:val="center" w:pos="3152"/>
              </w:tabs>
              <w:rPr>
                <w:rFonts w:cs="Arial"/>
                <w:color w:val="000000" w:themeColor="text1"/>
                <w:szCs w:val="19"/>
                <w:lang w:val="en-US"/>
              </w:rPr>
            </w:pPr>
            <w:r w:rsidRPr="00D80104">
              <w:rPr>
                <w:rFonts w:cs="Arial"/>
                <w:color w:val="000000" w:themeColor="text1"/>
                <w:szCs w:val="19"/>
                <w:lang w:val="en-US"/>
              </w:rPr>
              <w:t>Treatment of non-cystic fibrosis bronchiectasis in patients aged 12 years and older with two or more exacerbations in the prior 12 months</w:t>
            </w:r>
          </w:p>
        </w:tc>
      </w:tr>
      <w:tr w:rsidR="00F46E62" w14:paraId="18556F6F" w14:textId="77777777" w:rsidTr="00355B51">
        <w:tc>
          <w:tcPr>
            <w:tcW w:w="1447" w:type="pct"/>
            <w:gridSpan w:val="2"/>
            <w:tcMar>
              <w:top w:w="57" w:type="dxa"/>
              <w:bottom w:w="57" w:type="dxa"/>
            </w:tcMar>
          </w:tcPr>
          <w:p w14:paraId="452176BA" w14:textId="77777777" w:rsidR="00F46E62" w:rsidRDefault="00F46E62" w:rsidP="00F46E62">
            <w:pPr>
              <w:rPr>
                <w:rFonts w:cs="Arial"/>
                <w:szCs w:val="19"/>
              </w:rPr>
            </w:pPr>
            <w:proofErr w:type="spellStart"/>
            <w:r>
              <w:rPr>
                <w:rFonts w:cs="Arial"/>
                <w:szCs w:val="19"/>
              </w:rPr>
              <w:t>Deutetrabenazine</w:t>
            </w:r>
            <w:proofErr w:type="spellEnd"/>
            <w:r>
              <w:rPr>
                <w:rFonts w:cs="Arial"/>
                <w:szCs w:val="19"/>
              </w:rPr>
              <w:t xml:space="preserve"> (</w:t>
            </w:r>
            <w:proofErr w:type="spellStart"/>
            <w:r>
              <w:rPr>
                <w:rFonts w:cs="Arial"/>
                <w:i/>
                <w:iCs/>
                <w:szCs w:val="19"/>
              </w:rPr>
              <w:t>Austedo</w:t>
            </w:r>
            <w:proofErr w:type="spellEnd"/>
            <w:r>
              <w:rPr>
                <w:rFonts w:cs="Arial"/>
                <w:szCs w:val="19"/>
              </w:rPr>
              <w:t>)</w:t>
            </w:r>
          </w:p>
          <w:p w14:paraId="3377F1C8" w14:textId="2FD4A25A" w:rsidR="00F46E62" w:rsidRPr="002B10C1" w:rsidRDefault="00F46E62" w:rsidP="00F46E62">
            <w:pPr>
              <w:rPr>
                <w:rFonts w:cs="Arial"/>
                <w:szCs w:val="19"/>
              </w:rPr>
            </w:pPr>
            <w:r w:rsidRPr="00FD68B4">
              <w:rPr>
                <w:rFonts w:cs="Arial"/>
                <w:sz w:val="16"/>
                <w:szCs w:val="16"/>
              </w:rPr>
              <w:t>12mg, 24mg, 30mg, 36mg, 42mg and 48mg tablets</w:t>
            </w:r>
          </w:p>
        </w:tc>
        <w:tc>
          <w:tcPr>
            <w:tcW w:w="3553" w:type="pct"/>
            <w:tcMar>
              <w:top w:w="57" w:type="dxa"/>
              <w:bottom w:w="57" w:type="dxa"/>
            </w:tcMar>
          </w:tcPr>
          <w:p w14:paraId="1B8354B5" w14:textId="4007575A" w:rsidR="00F46E62" w:rsidRDefault="00F46E62" w:rsidP="00F46E62">
            <w:pPr>
              <w:tabs>
                <w:tab w:val="center" w:pos="3152"/>
              </w:tabs>
              <w:rPr>
                <w:rFonts w:cs="Arial"/>
                <w:sz w:val="18"/>
                <w:szCs w:val="18"/>
                <w:lang w:val="en-US"/>
              </w:rPr>
            </w:pPr>
            <w:r w:rsidRPr="00984112">
              <w:rPr>
                <w:rFonts w:cs="Arial"/>
                <w:color w:val="000000" w:themeColor="text1"/>
                <w:szCs w:val="19"/>
                <w:lang w:val="en-US"/>
              </w:rPr>
              <w:t>Treatment of moderate to severe tardive dyskinesia in adults</w:t>
            </w:r>
          </w:p>
        </w:tc>
      </w:tr>
      <w:tr w:rsidR="0052235A" w14:paraId="506BBB71" w14:textId="77777777" w:rsidTr="00355B51">
        <w:tc>
          <w:tcPr>
            <w:tcW w:w="1447" w:type="pct"/>
            <w:gridSpan w:val="2"/>
            <w:tcMar>
              <w:top w:w="57" w:type="dxa"/>
              <w:bottom w:w="57" w:type="dxa"/>
            </w:tcMar>
          </w:tcPr>
          <w:p w14:paraId="6517E25F" w14:textId="77777777" w:rsidR="0052235A" w:rsidRDefault="0052235A" w:rsidP="00F46E62">
            <w:pPr>
              <w:rPr>
                <w:rFonts w:cs="Arial"/>
                <w:szCs w:val="19"/>
              </w:rPr>
            </w:pPr>
            <w:proofErr w:type="spellStart"/>
            <w:r w:rsidRPr="0052235A">
              <w:rPr>
                <w:rFonts w:cs="Arial"/>
                <w:szCs w:val="19"/>
              </w:rPr>
              <w:t>Guselkumab</w:t>
            </w:r>
            <w:proofErr w:type="spellEnd"/>
            <w:r w:rsidRPr="0052235A">
              <w:rPr>
                <w:rFonts w:cs="Arial"/>
                <w:szCs w:val="19"/>
              </w:rPr>
              <w:t xml:space="preserve"> (</w:t>
            </w:r>
            <w:r w:rsidRPr="0052235A">
              <w:rPr>
                <w:rFonts w:cs="Arial"/>
                <w:i/>
                <w:iCs/>
                <w:szCs w:val="19"/>
              </w:rPr>
              <w:t>Tremfya</w:t>
            </w:r>
            <w:r w:rsidRPr="0052235A">
              <w:rPr>
                <w:rFonts w:cs="Arial"/>
                <w:szCs w:val="19"/>
              </w:rPr>
              <w:t>)</w:t>
            </w:r>
          </w:p>
          <w:p w14:paraId="788ED5DC" w14:textId="5C6ED572" w:rsidR="0052235A" w:rsidRPr="006B727A" w:rsidRDefault="006B727A" w:rsidP="00F46E62">
            <w:pPr>
              <w:rPr>
                <w:rFonts w:cs="Arial"/>
                <w:sz w:val="16"/>
                <w:szCs w:val="16"/>
              </w:rPr>
            </w:pPr>
            <w:r w:rsidRPr="006B727A">
              <w:rPr>
                <w:rFonts w:cs="Arial"/>
                <w:sz w:val="16"/>
                <w:szCs w:val="16"/>
              </w:rPr>
              <w:t xml:space="preserve">45mg in 0.45mL prefilled </w:t>
            </w:r>
            <w:r w:rsidR="00361490">
              <w:rPr>
                <w:rFonts w:cs="Arial"/>
                <w:sz w:val="16"/>
                <w:szCs w:val="16"/>
              </w:rPr>
              <w:t>pen and 100mg in 1mL prefilled syringe</w:t>
            </w:r>
          </w:p>
        </w:tc>
        <w:tc>
          <w:tcPr>
            <w:tcW w:w="3553" w:type="pct"/>
            <w:tcMar>
              <w:top w:w="57" w:type="dxa"/>
              <w:bottom w:w="57" w:type="dxa"/>
            </w:tcMar>
          </w:tcPr>
          <w:p w14:paraId="2A63F265" w14:textId="77777777" w:rsidR="00223D0E" w:rsidRDefault="00261F8C" w:rsidP="00F46E62">
            <w:pPr>
              <w:tabs>
                <w:tab w:val="num" w:pos="720"/>
                <w:tab w:val="center" w:pos="3152"/>
              </w:tabs>
              <w:rPr>
                <w:rFonts w:cs="Arial"/>
                <w:szCs w:val="19"/>
                <w:lang w:val="en-US"/>
              </w:rPr>
            </w:pPr>
            <w:r w:rsidRPr="00261F8C">
              <w:rPr>
                <w:rFonts w:cs="Arial"/>
                <w:szCs w:val="19"/>
                <w:lang w:val="en-US"/>
              </w:rPr>
              <w:t>Treatment of moderate to severe plaque psoriasis in children and adolescents age</w:t>
            </w:r>
            <w:r>
              <w:rPr>
                <w:rFonts w:cs="Arial"/>
                <w:szCs w:val="19"/>
                <w:lang w:val="en-US"/>
              </w:rPr>
              <w:t>d</w:t>
            </w:r>
            <w:r w:rsidRPr="00261F8C">
              <w:rPr>
                <w:rFonts w:cs="Arial"/>
                <w:szCs w:val="19"/>
                <w:lang w:val="en-US"/>
              </w:rPr>
              <w:t xml:space="preserve"> 6 years </w:t>
            </w:r>
            <w:r>
              <w:rPr>
                <w:rFonts w:cs="Arial"/>
                <w:szCs w:val="19"/>
                <w:lang w:val="en-US"/>
              </w:rPr>
              <w:t xml:space="preserve">and older </w:t>
            </w:r>
            <w:r w:rsidRPr="00261F8C">
              <w:rPr>
                <w:rFonts w:cs="Arial"/>
                <w:szCs w:val="19"/>
                <w:lang w:val="en-US"/>
              </w:rPr>
              <w:t>who are candidates for systemic therapy</w:t>
            </w:r>
            <w:r>
              <w:rPr>
                <w:rFonts w:cs="Arial"/>
                <w:szCs w:val="19"/>
                <w:lang w:val="en-US"/>
              </w:rPr>
              <w:t xml:space="preserve"> </w:t>
            </w:r>
          </w:p>
          <w:p w14:paraId="1AAF4160" w14:textId="22FF5892" w:rsidR="0052235A" w:rsidRPr="00665565" w:rsidRDefault="00261F8C" w:rsidP="00F46E62">
            <w:pPr>
              <w:tabs>
                <w:tab w:val="num" w:pos="720"/>
                <w:tab w:val="center" w:pos="3152"/>
              </w:tabs>
              <w:rPr>
                <w:rFonts w:cs="Arial"/>
                <w:szCs w:val="19"/>
                <w:lang w:val="en-US"/>
              </w:rPr>
            </w:pPr>
            <w:r w:rsidRPr="00223D0E">
              <w:rPr>
                <w:rFonts w:cs="Arial"/>
                <w:sz w:val="16"/>
                <w:szCs w:val="16"/>
                <w:lang w:val="en-US"/>
              </w:rPr>
              <w:t>[new formulation</w:t>
            </w:r>
            <w:r w:rsidR="00361490">
              <w:rPr>
                <w:rFonts w:cs="Arial"/>
                <w:sz w:val="16"/>
                <w:szCs w:val="16"/>
                <w:lang w:val="en-US"/>
              </w:rPr>
              <w:t>s</w:t>
            </w:r>
            <w:r w:rsidR="00223D0E" w:rsidRPr="00223D0E">
              <w:rPr>
                <w:rFonts w:cs="Arial"/>
                <w:sz w:val="16"/>
                <w:szCs w:val="16"/>
                <w:lang w:val="en-US"/>
              </w:rPr>
              <w:t xml:space="preserve"> with new indication</w:t>
            </w:r>
            <w:r w:rsidRPr="00223D0E">
              <w:rPr>
                <w:rFonts w:cs="Arial"/>
                <w:sz w:val="16"/>
                <w:szCs w:val="16"/>
                <w:lang w:val="en-US"/>
              </w:rPr>
              <w:t>]</w:t>
            </w:r>
          </w:p>
        </w:tc>
      </w:tr>
      <w:tr w:rsidR="006366DC" w14:paraId="136729BA" w14:textId="77777777" w:rsidTr="00355B51">
        <w:tc>
          <w:tcPr>
            <w:tcW w:w="1447" w:type="pct"/>
            <w:gridSpan w:val="2"/>
            <w:tcMar>
              <w:top w:w="57" w:type="dxa"/>
              <w:bottom w:w="57" w:type="dxa"/>
            </w:tcMar>
          </w:tcPr>
          <w:p w14:paraId="46BF37BB" w14:textId="77777777" w:rsidR="006366DC" w:rsidRDefault="006366DC" w:rsidP="00F46E62">
            <w:pPr>
              <w:rPr>
                <w:rFonts w:cs="Arial"/>
                <w:szCs w:val="19"/>
              </w:rPr>
            </w:pPr>
            <w:proofErr w:type="spellStart"/>
            <w:r w:rsidRPr="006366DC">
              <w:rPr>
                <w:rFonts w:cs="Arial"/>
                <w:szCs w:val="19"/>
              </w:rPr>
              <w:t>Imlunestrant</w:t>
            </w:r>
            <w:proofErr w:type="spellEnd"/>
            <w:r w:rsidRPr="006366DC">
              <w:rPr>
                <w:rFonts w:cs="Arial"/>
                <w:szCs w:val="19"/>
              </w:rPr>
              <w:t xml:space="preserve"> (</w:t>
            </w:r>
            <w:proofErr w:type="spellStart"/>
            <w:r w:rsidRPr="006366DC">
              <w:rPr>
                <w:rFonts w:cs="Arial"/>
                <w:i/>
                <w:iCs/>
                <w:szCs w:val="19"/>
              </w:rPr>
              <w:t>Inluriyo</w:t>
            </w:r>
            <w:proofErr w:type="spellEnd"/>
            <w:r w:rsidRPr="006366DC">
              <w:rPr>
                <w:rFonts w:cs="Arial"/>
                <w:szCs w:val="19"/>
              </w:rPr>
              <w:t>)</w:t>
            </w:r>
          </w:p>
          <w:p w14:paraId="495F46CB" w14:textId="679BE147" w:rsidR="006366DC" w:rsidRPr="00836B5D" w:rsidRDefault="00836B5D" w:rsidP="00F46E62">
            <w:pPr>
              <w:rPr>
                <w:rFonts w:cs="Arial"/>
                <w:sz w:val="16"/>
                <w:szCs w:val="16"/>
              </w:rPr>
            </w:pPr>
            <w:r w:rsidRPr="00836B5D">
              <w:rPr>
                <w:rFonts w:cs="Arial"/>
                <w:sz w:val="16"/>
                <w:szCs w:val="16"/>
              </w:rPr>
              <w:t>200mg tablet</w:t>
            </w:r>
          </w:p>
        </w:tc>
        <w:tc>
          <w:tcPr>
            <w:tcW w:w="3553" w:type="pct"/>
            <w:tcMar>
              <w:top w:w="57" w:type="dxa"/>
              <w:bottom w:w="57" w:type="dxa"/>
            </w:tcMar>
          </w:tcPr>
          <w:p w14:paraId="672BB90E" w14:textId="3553D4B1" w:rsidR="006366DC" w:rsidRPr="00CC3C5A" w:rsidRDefault="00092447" w:rsidP="00F46E62">
            <w:pPr>
              <w:tabs>
                <w:tab w:val="num" w:pos="720"/>
                <w:tab w:val="center" w:pos="3152"/>
              </w:tabs>
              <w:rPr>
                <w:rFonts w:cs="Arial"/>
                <w:szCs w:val="19"/>
                <w:lang w:val="en-US"/>
              </w:rPr>
            </w:pPr>
            <w:r w:rsidRPr="00092447">
              <w:rPr>
                <w:rFonts w:cs="Arial"/>
                <w:szCs w:val="19"/>
                <w:lang w:val="en-US"/>
              </w:rPr>
              <w:t xml:space="preserve">Use as monotherapy for the treatment of adults with </w:t>
            </w:r>
            <w:proofErr w:type="spellStart"/>
            <w:r w:rsidRPr="00092447">
              <w:rPr>
                <w:rFonts w:cs="Arial"/>
                <w:szCs w:val="19"/>
                <w:lang w:val="en-US"/>
              </w:rPr>
              <w:t>oestrogen</w:t>
            </w:r>
            <w:proofErr w:type="spellEnd"/>
            <w:r w:rsidRPr="00092447">
              <w:rPr>
                <w:rFonts w:cs="Arial"/>
                <w:szCs w:val="19"/>
                <w:lang w:val="en-US"/>
              </w:rPr>
              <w:t xml:space="preserve"> receptor-positive, HER2-negative, locally advanced or metastatic breast cancer with an activating ESR1-mutation, who have disease progression following prior treatment with an endocrine based regimen</w:t>
            </w:r>
            <w:r w:rsidR="001B3CE2">
              <w:rPr>
                <w:rFonts w:cs="Arial"/>
                <w:szCs w:val="19"/>
                <w:lang w:val="en-US"/>
              </w:rPr>
              <w:t xml:space="preserve"> (i</w:t>
            </w:r>
            <w:r w:rsidRPr="00092447">
              <w:rPr>
                <w:rFonts w:cs="Arial"/>
                <w:szCs w:val="19"/>
                <w:lang w:val="en-US"/>
              </w:rPr>
              <w:t xml:space="preserve">n pre- or perimenopausal women, or men, </w:t>
            </w:r>
            <w:proofErr w:type="spellStart"/>
            <w:r w:rsidRPr="001B3CE2">
              <w:rPr>
                <w:rFonts w:cs="Arial"/>
                <w:i/>
                <w:iCs/>
                <w:szCs w:val="19"/>
                <w:lang w:val="en-US"/>
              </w:rPr>
              <w:t>Inluriyo</w:t>
            </w:r>
            <w:proofErr w:type="spellEnd"/>
            <w:r w:rsidRPr="00092447">
              <w:rPr>
                <w:rFonts w:cs="Arial"/>
                <w:szCs w:val="19"/>
                <w:lang w:val="en-US"/>
              </w:rPr>
              <w:t xml:space="preserve"> should be combined with a </w:t>
            </w:r>
            <w:proofErr w:type="spellStart"/>
            <w:r w:rsidRPr="00092447">
              <w:rPr>
                <w:rFonts w:cs="Arial"/>
                <w:szCs w:val="19"/>
                <w:lang w:val="en-US"/>
              </w:rPr>
              <w:t>luteinising</w:t>
            </w:r>
            <w:proofErr w:type="spellEnd"/>
            <w:r w:rsidRPr="00092447">
              <w:rPr>
                <w:rFonts w:cs="Arial"/>
                <w:szCs w:val="19"/>
                <w:lang w:val="en-US"/>
              </w:rPr>
              <w:t xml:space="preserve"> hormone-releasing hormone agonist</w:t>
            </w:r>
            <w:r w:rsidR="001B3CE2">
              <w:rPr>
                <w:rFonts w:cs="Arial"/>
                <w:szCs w:val="19"/>
                <w:lang w:val="en-US"/>
              </w:rPr>
              <w:t>)</w:t>
            </w:r>
          </w:p>
        </w:tc>
      </w:tr>
      <w:tr w:rsidR="000C5230" w14:paraId="7F6BF52A" w14:textId="77777777" w:rsidTr="00355B51">
        <w:tc>
          <w:tcPr>
            <w:tcW w:w="1447" w:type="pct"/>
            <w:gridSpan w:val="2"/>
            <w:tcMar>
              <w:top w:w="57" w:type="dxa"/>
              <w:bottom w:w="57" w:type="dxa"/>
            </w:tcMar>
          </w:tcPr>
          <w:p w14:paraId="7838E7F1" w14:textId="77777777" w:rsidR="000C5230" w:rsidRDefault="000C5230" w:rsidP="00F46E62">
            <w:pPr>
              <w:rPr>
                <w:rFonts w:cs="Arial"/>
                <w:szCs w:val="19"/>
              </w:rPr>
            </w:pPr>
            <w:proofErr w:type="spellStart"/>
            <w:r w:rsidRPr="000C5230">
              <w:rPr>
                <w:rFonts w:cs="Arial"/>
                <w:szCs w:val="19"/>
              </w:rPr>
              <w:t>Inebilizumab</w:t>
            </w:r>
            <w:proofErr w:type="spellEnd"/>
            <w:r>
              <w:rPr>
                <w:rFonts w:cs="Arial"/>
                <w:szCs w:val="19"/>
              </w:rPr>
              <w:t xml:space="preserve"> (</w:t>
            </w:r>
            <w:proofErr w:type="spellStart"/>
            <w:r w:rsidR="005372FE">
              <w:rPr>
                <w:rFonts w:cs="Arial"/>
                <w:i/>
                <w:iCs/>
                <w:szCs w:val="19"/>
              </w:rPr>
              <w:t>Uplizna</w:t>
            </w:r>
            <w:proofErr w:type="spellEnd"/>
            <w:r w:rsidR="005372FE">
              <w:rPr>
                <w:rFonts w:cs="Arial"/>
                <w:szCs w:val="19"/>
              </w:rPr>
              <w:t>)</w:t>
            </w:r>
          </w:p>
          <w:p w14:paraId="65EF4B6F" w14:textId="7CF5FE02" w:rsidR="005372FE" w:rsidRPr="005372FE" w:rsidRDefault="005372FE" w:rsidP="00F46E62">
            <w:pPr>
              <w:rPr>
                <w:rFonts w:cs="Arial"/>
                <w:sz w:val="16"/>
                <w:szCs w:val="16"/>
              </w:rPr>
            </w:pPr>
            <w:r w:rsidRPr="005372FE">
              <w:rPr>
                <w:rFonts w:cs="Arial"/>
                <w:sz w:val="16"/>
                <w:szCs w:val="16"/>
              </w:rPr>
              <w:t>100mg in 10mL vial</w:t>
            </w:r>
          </w:p>
        </w:tc>
        <w:tc>
          <w:tcPr>
            <w:tcW w:w="3553" w:type="pct"/>
            <w:tcMar>
              <w:top w:w="57" w:type="dxa"/>
              <w:bottom w:w="57" w:type="dxa"/>
            </w:tcMar>
          </w:tcPr>
          <w:p w14:paraId="282DC85A" w14:textId="07AE3F19" w:rsidR="000C5230" w:rsidRPr="00CC3C5A" w:rsidRDefault="008820FD" w:rsidP="00F46E62">
            <w:pPr>
              <w:tabs>
                <w:tab w:val="num" w:pos="720"/>
                <w:tab w:val="center" w:pos="3152"/>
              </w:tabs>
              <w:rPr>
                <w:rFonts w:cs="Arial"/>
                <w:szCs w:val="19"/>
                <w:lang w:val="en-US"/>
              </w:rPr>
            </w:pPr>
            <w:r w:rsidRPr="008820FD">
              <w:rPr>
                <w:rFonts w:cs="Arial"/>
                <w:szCs w:val="19"/>
                <w:lang w:val="en-US"/>
              </w:rPr>
              <w:t>Treatment of adul</w:t>
            </w:r>
            <w:r>
              <w:rPr>
                <w:rFonts w:cs="Arial"/>
                <w:szCs w:val="19"/>
                <w:lang w:val="en-US"/>
              </w:rPr>
              <w:t>t</w:t>
            </w:r>
            <w:r w:rsidRPr="008820FD">
              <w:rPr>
                <w:rFonts w:cs="Arial"/>
                <w:szCs w:val="19"/>
                <w:lang w:val="en-US"/>
              </w:rPr>
              <w:t>s with active immunoglobulin G4-related disease</w:t>
            </w:r>
            <w:r>
              <w:rPr>
                <w:rFonts w:cs="Arial"/>
                <w:szCs w:val="19"/>
                <w:lang w:val="en-US"/>
              </w:rPr>
              <w:t xml:space="preserve"> </w:t>
            </w:r>
            <w:r w:rsidRPr="008820FD">
              <w:rPr>
                <w:rFonts w:cs="Arial"/>
                <w:sz w:val="16"/>
                <w:szCs w:val="16"/>
                <w:lang w:val="en-US"/>
              </w:rPr>
              <w:t>[new indication]</w:t>
            </w:r>
          </w:p>
        </w:tc>
      </w:tr>
      <w:tr w:rsidR="00F47C3C" w14:paraId="24019DE9" w14:textId="77777777" w:rsidTr="00355B51">
        <w:tc>
          <w:tcPr>
            <w:tcW w:w="1447" w:type="pct"/>
            <w:gridSpan w:val="2"/>
            <w:tcMar>
              <w:top w:w="57" w:type="dxa"/>
              <w:bottom w:w="57" w:type="dxa"/>
            </w:tcMar>
          </w:tcPr>
          <w:p w14:paraId="4E61EB38" w14:textId="77777777" w:rsidR="00F47C3C" w:rsidRDefault="00F47C3C" w:rsidP="00F46E62">
            <w:pPr>
              <w:rPr>
                <w:rFonts w:cs="Arial"/>
                <w:szCs w:val="19"/>
              </w:rPr>
            </w:pPr>
            <w:proofErr w:type="spellStart"/>
            <w:r w:rsidRPr="00F47C3C">
              <w:rPr>
                <w:rFonts w:cs="Arial"/>
                <w:szCs w:val="19"/>
              </w:rPr>
              <w:t>Ixekizumab</w:t>
            </w:r>
            <w:proofErr w:type="spellEnd"/>
            <w:r w:rsidRPr="00F47C3C">
              <w:rPr>
                <w:rFonts w:cs="Arial"/>
                <w:szCs w:val="19"/>
              </w:rPr>
              <w:t xml:space="preserve"> (</w:t>
            </w:r>
            <w:r w:rsidRPr="00F47C3C">
              <w:rPr>
                <w:rFonts w:cs="Arial"/>
                <w:i/>
                <w:iCs/>
                <w:szCs w:val="19"/>
              </w:rPr>
              <w:t>Taltz</w:t>
            </w:r>
            <w:r w:rsidRPr="00F47C3C">
              <w:rPr>
                <w:rFonts w:cs="Arial"/>
                <w:szCs w:val="19"/>
              </w:rPr>
              <w:t>)</w:t>
            </w:r>
          </w:p>
          <w:p w14:paraId="4B6B44B9" w14:textId="63945325" w:rsidR="00F47C3C" w:rsidRPr="00403BDC" w:rsidRDefault="00403BDC" w:rsidP="00F46E62">
            <w:pPr>
              <w:rPr>
                <w:rFonts w:cs="Arial"/>
                <w:sz w:val="16"/>
                <w:szCs w:val="16"/>
              </w:rPr>
            </w:pPr>
            <w:r w:rsidRPr="00403BDC">
              <w:rPr>
                <w:rFonts w:cs="Arial"/>
                <w:sz w:val="16"/>
                <w:szCs w:val="16"/>
              </w:rPr>
              <w:t>40mg</w:t>
            </w:r>
            <w:r>
              <w:rPr>
                <w:rFonts w:cs="Arial"/>
                <w:sz w:val="16"/>
                <w:szCs w:val="16"/>
              </w:rPr>
              <w:t xml:space="preserve"> in </w:t>
            </w:r>
            <w:r w:rsidRPr="00403BDC">
              <w:rPr>
                <w:rFonts w:cs="Arial"/>
                <w:sz w:val="16"/>
                <w:szCs w:val="16"/>
              </w:rPr>
              <w:t>0.5mL prefilled syringe</w:t>
            </w:r>
          </w:p>
        </w:tc>
        <w:tc>
          <w:tcPr>
            <w:tcW w:w="3553" w:type="pct"/>
            <w:tcMar>
              <w:top w:w="57" w:type="dxa"/>
              <w:bottom w:w="57" w:type="dxa"/>
            </w:tcMar>
          </w:tcPr>
          <w:p w14:paraId="6D384D7D" w14:textId="360B322E" w:rsidR="00F47C3C" w:rsidRPr="00665565" w:rsidRDefault="00CC3C5A" w:rsidP="00F46E62">
            <w:pPr>
              <w:tabs>
                <w:tab w:val="num" w:pos="720"/>
                <w:tab w:val="center" w:pos="3152"/>
              </w:tabs>
              <w:rPr>
                <w:rFonts w:cs="Arial"/>
                <w:szCs w:val="19"/>
                <w:lang w:val="en-US"/>
              </w:rPr>
            </w:pPr>
            <w:r w:rsidRPr="00CC3C5A">
              <w:rPr>
                <w:rFonts w:cs="Arial"/>
                <w:szCs w:val="19"/>
                <w:lang w:val="en-US"/>
              </w:rPr>
              <w:t xml:space="preserve">Treatment of moderate to severe plaque psoriasis in adults who are candidates for systemic therapy; treatment of moderate to severe plaque psoriasis in children </w:t>
            </w:r>
            <w:r>
              <w:rPr>
                <w:rFonts w:cs="Arial"/>
                <w:szCs w:val="19"/>
                <w:lang w:val="en-US"/>
              </w:rPr>
              <w:t>aged</w:t>
            </w:r>
            <w:r w:rsidRPr="00CC3C5A">
              <w:rPr>
                <w:rFonts w:cs="Arial"/>
                <w:szCs w:val="19"/>
                <w:lang w:val="en-US"/>
              </w:rPr>
              <w:t xml:space="preserve"> 6 years </w:t>
            </w:r>
            <w:r>
              <w:rPr>
                <w:rFonts w:cs="Arial"/>
                <w:szCs w:val="19"/>
                <w:lang w:val="en-US"/>
              </w:rPr>
              <w:t>and older</w:t>
            </w:r>
            <w:r w:rsidRPr="00CC3C5A">
              <w:rPr>
                <w:rFonts w:cs="Arial"/>
                <w:szCs w:val="19"/>
                <w:lang w:val="en-US"/>
              </w:rPr>
              <w:t xml:space="preserve"> with a body weight of at least 25 kg and adolescents who are candidates for systemic therapy; use alone or in combination with methotrexate, for the treatment of active psoriatic arthritis in adults who have responded inadequately to, or who are intolerant to one or more disease-modifying anti-rheumatic drug therapies; treatment of adults with active ankylosing spondylitis who have responded inadequately to conventional therapy; and treatment of adults with active non-radiographic axial spondyloarthritis with objective signs of inflammation as indicated by elevated C</w:t>
            </w:r>
            <w:r w:rsidR="000D0ABF">
              <w:rPr>
                <w:rFonts w:cs="Arial"/>
                <w:szCs w:val="19"/>
                <w:lang w:val="en-US"/>
              </w:rPr>
              <w:t>-</w:t>
            </w:r>
            <w:r w:rsidRPr="00CC3C5A">
              <w:rPr>
                <w:rFonts w:cs="Arial"/>
                <w:szCs w:val="19"/>
                <w:lang w:val="en-US"/>
              </w:rPr>
              <w:t>reactive protein and/or magnetic resonance imaging who have responded inadequately to nonsteroidal anti-inflammatory drugs</w:t>
            </w:r>
            <w:r>
              <w:rPr>
                <w:rFonts w:cs="Arial"/>
                <w:szCs w:val="19"/>
                <w:lang w:val="en-US"/>
              </w:rPr>
              <w:t xml:space="preserve"> </w:t>
            </w:r>
            <w:r w:rsidRPr="00CC3C5A">
              <w:rPr>
                <w:rFonts w:cs="Arial"/>
                <w:sz w:val="16"/>
                <w:szCs w:val="16"/>
                <w:lang w:val="en-US"/>
              </w:rPr>
              <w:t>[new formulation]</w:t>
            </w:r>
          </w:p>
        </w:tc>
      </w:tr>
      <w:tr w:rsidR="00F46E62" w14:paraId="4EE8393F" w14:textId="77777777" w:rsidTr="00355B51">
        <w:tc>
          <w:tcPr>
            <w:tcW w:w="1447" w:type="pct"/>
            <w:gridSpan w:val="2"/>
            <w:tcMar>
              <w:top w:w="57" w:type="dxa"/>
              <w:bottom w:w="57" w:type="dxa"/>
            </w:tcMar>
          </w:tcPr>
          <w:p w14:paraId="2590A912" w14:textId="77777777" w:rsidR="00F46E62" w:rsidRDefault="00F46E62" w:rsidP="00F46E62">
            <w:pPr>
              <w:rPr>
                <w:rFonts w:cs="Arial"/>
                <w:szCs w:val="19"/>
              </w:rPr>
            </w:pPr>
            <w:proofErr w:type="spellStart"/>
            <w:r w:rsidRPr="00A15938">
              <w:rPr>
                <w:rFonts w:cs="Arial"/>
                <w:szCs w:val="19"/>
              </w:rPr>
              <w:t>Letermovir</w:t>
            </w:r>
            <w:proofErr w:type="spellEnd"/>
            <w:r w:rsidRPr="00A15938">
              <w:rPr>
                <w:rFonts w:cs="Arial"/>
                <w:szCs w:val="19"/>
              </w:rPr>
              <w:t xml:space="preserve"> (</w:t>
            </w:r>
            <w:proofErr w:type="spellStart"/>
            <w:r w:rsidRPr="00A15938">
              <w:rPr>
                <w:rFonts w:cs="Arial"/>
                <w:i/>
                <w:iCs/>
                <w:szCs w:val="19"/>
              </w:rPr>
              <w:t>Prevymis</w:t>
            </w:r>
            <w:proofErr w:type="spellEnd"/>
            <w:r w:rsidRPr="00A15938">
              <w:rPr>
                <w:rFonts w:cs="Arial"/>
                <w:szCs w:val="19"/>
              </w:rPr>
              <w:t>)</w:t>
            </w:r>
          </w:p>
          <w:p w14:paraId="20A0BA56" w14:textId="39B2D5BB" w:rsidR="00F46E62" w:rsidRPr="002F73AD" w:rsidRDefault="00F46E62" w:rsidP="00F46E62">
            <w:pPr>
              <w:rPr>
                <w:rFonts w:cs="Arial"/>
                <w:szCs w:val="19"/>
              </w:rPr>
            </w:pPr>
            <w:r w:rsidRPr="00DA7797">
              <w:rPr>
                <w:rFonts w:cs="Arial"/>
                <w:sz w:val="16"/>
                <w:szCs w:val="16"/>
              </w:rPr>
              <w:t>20mg and 120mg granules in sachet</w:t>
            </w:r>
            <w:r>
              <w:rPr>
                <w:rFonts w:cs="Arial"/>
                <w:sz w:val="16"/>
                <w:szCs w:val="16"/>
              </w:rPr>
              <w:t>s</w:t>
            </w:r>
          </w:p>
        </w:tc>
        <w:tc>
          <w:tcPr>
            <w:tcW w:w="3553" w:type="pct"/>
            <w:tcMar>
              <w:top w:w="57" w:type="dxa"/>
              <w:bottom w:w="57" w:type="dxa"/>
            </w:tcMar>
          </w:tcPr>
          <w:p w14:paraId="48690D61" w14:textId="77777777" w:rsidR="00F46E62" w:rsidRDefault="00F46E62" w:rsidP="00F46E62">
            <w:pPr>
              <w:tabs>
                <w:tab w:val="num" w:pos="720"/>
                <w:tab w:val="center" w:pos="3152"/>
              </w:tabs>
              <w:rPr>
                <w:rFonts w:cs="Arial"/>
                <w:szCs w:val="19"/>
                <w:lang w:val="en-US"/>
              </w:rPr>
            </w:pPr>
            <w:r w:rsidRPr="00665565">
              <w:rPr>
                <w:rFonts w:cs="Arial"/>
                <w:szCs w:val="19"/>
                <w:lang w:val="en-US"/>
              </w:rPr>
              <w:t xml:space="preserve">Prophylaxis of cytomegalovirus </w:t>
            </w:r>
            <w:r>
              <w:rPr>
                <w:rFonts w:cs="Arial"/>
                <w:szCs w:val="19"/>
                <w:lang w:val="en-US"/>
              </w:rPr>
              <w:t xml:space="preserve">(CMV) </w:t>
            </w:r>
            <w:r w:rsidRPr="00665565">
              <w:rPr>
                <w:rFonts w:cs="Arial"/>
                <w:szCs w:val="19"/>
                <w:lang w:val="en-US"/>
              </w:rPr>
              <w:t>reactivation and disease in adult and paediatric patients weighing at least 5kg who are CMV-seropositive recipients [R+] of an allogeneic haematopoietic stem cell transplant, and prophylaxis of CMV disease in CMV-seronegative adult and paediatric patients weighing at least 40kg who have received a kidney transplant from a CMV-seropositive donor</w:t>
            </w:r>
            <w:r>
              <w:rPr>
                <w:rFonts w:cs="Arial"/>
                <w:szCs w:val="19"/>
                <w:lang w:val="en-US"/>
              </w:rPr>
              <w:t xml:space="preserve"> </w:t>
            </w:r>
          </w:p>
          <w:p w14:paraId="511933E2" w14:textId="01331FAE" w:rsidR="00F46E62" w:rsidRPr="00A075A3" w:rsidRDefault="00F46E62" w:rsidP="00F46E62">
            <w:pPr>
              <w:tabs>
                <w:tab w:val="center" w:pos="3152"/>
              </w:tabs>
              <w:rPr>
                <w:rFonts w:cs="Arial"/>
                <w:szCs w:val="19"/>
                <w:lang w:val="en-US"/>
              </w:rPr>
            </w:pPr>
            <w:r w:rsidRPr="00665565">
              <w:rPr>
                <w:rFonts w:cs="Arial"/>
                <w:sz w:val="16"/>
                <w:szCs w:val="16"/>
                <w:lang w:val="en-US"/>
              </w:rPr>
              <w:t>[new granules in sachet form</w:t>
            </w:r>
            <w:r>
              <w:rPr>
                <w:rFonts w:cs="Arial"/>
                <w:sz w:val="16"/>
                <w:szCs w:val="16"/>
                <w:lang w:val="en-US"/>
              </w:rPr>
              <w:t>ul</w:t>
            </w:r>
            <w:r w:rsidRPr="00665565">
              <w:rPr>
                <w:rFonts w:cs="Arial"/>
                <w:sz w:val="16"/>
                <w:szCs w:val="16"/>
                <w:lang w:val="en-US"/>
              </w:rPr>
              <w:t>ations]</w:t>
            </w:r>
          </w:p>
        </w:tc>
      </w:tr>
      <w:tr w:rsidR="00F46E62" w14:paraId="03DDEEE7" w14:textId="77777777" w:rsidTr="00355B51">
        <w:tc>
          <w:tcPr>
            <w:tcW w:w="1447" w:type="pct"/>
            <w:gridSpan w:val="2"/>
            <w:tcMar>
              <w:top w:w="57" w:type="dxa"/>
              <w:bottom w:w="57" w:type="dxa"/>
            </w:tcMar>
          </w:tcPr>
          <w:p w14:paraId="12359CBA" w14:textId="77777777" w:rsidR="00F46E62" w:rsidRDefault="00F46E62" w:rsidP="00F46E62">
            <w:pPr>
              <w:rPr>
                <w:rFonts w:cs="Arial"/>
                <w:szCs w:val="19"/>
              </w:rPr>
            </w:pPr>
            <w:r w:rsidRPr="00F91F42">
              <w:rPr>
                <w:rFonts w:cs="Arial"/>
                <w:szCs w:val="19"/>
              </w:rPr>
              <w:t>Leuprorelin (</w:t>
            </w:r>
            <w:proofErr w:type="spellStart"/>
            <w:r w:rsidRPr="00F91F42">
              <w:rPr>
                <w:rFonts w:cs="Arial"/>
                <w:i/>
                <w:iCs/>
                <w:szCs w:val="19"/>
              </w:rPr>
              <w:t>Eligard</w:t>
            </w:r>
            <w:proofErr w:type="spellEnd"/>
            <w:r w:rsidRPr="00F91F42">
              <w:rPr>
                <w:rFonts w:cs="Arial"/>
                <w:szCs w:val="19"/>
              </w:rPr>
              <w:t>)</w:t>
            </w:r>
          </w:p>
          <w:p w14:paraId="3DE8FF0D" w14:textId="3A0705A5" w:rsidR="00F46E62" w:rsidRPr="00D511DA" w:rsidRDefault="00F46E62" w:rsidP="00F46E62">
            <w:pPr>
              <w:rPr>
                <w:rFonts w:cs="Arial"/>
                <w:sz w:val="16"/>
                <w:szCs w:val="16"/>
              </w:rPr>
            </w:pPr>
            <w:r w:rsidRPr="00D511DA">
              <w:rPr>
                <w:rFonts w:cs="Arial"/>
                <w:sz w:val="16"/>
                <w:szCs w:val="16"/>
              </w:rPr>
              <w:t>7.5mg, 22.5mg and 45mg prefilled syringes (with solvent)</w:t>
            </w:r>
          </w:p>
        </w:tc>
        <w:tc>
          <w:tcPr>
            <w:tcW w:w="3553" w:type="pct"/>
            <w:tcMar>
              <w:top w:w="57" w:type="dxa"/>
              <w:bottom w:w="57" w:type="dxa"/>
            </w:tcMar>
          </w:tcPr>
          <w:p w14:paraId="2E8D7568" w14:textId="60B4B534" w:rsidR="00F46E62" w:rsidRPr="00A075A3" w:rsidRDefault="00F46E62" w:rsidP="00F46E62">
            <w:pPr>
              <w:tabs>
                <w:tab w:val="num" w:pos="720"/>
                <w:tab w:val="center" w:pos="3152"/>
              </w:tabs>
              <w:rPr>
                <w:rFonts w:cs="Arial"/>
                <w:szCs w:val="19"/>
                <w:lang w:val="en-US"/>
              </w:rPr>
            </w:pPr>
            <w:r w:rsidRPr="00D64190">
              <w:rPr>
                <w:rFonts w:cs="Arial"/>
                <w:szCs w:val="19"/>
                <w:lang w:val="en-US"/>
              </w:rPr>
              <w:t xml:space="preserve">Treatment of hormone dependent advanced prostate cancer and for the treatment of high-risk </w:t>
            </w:r>
            <w:proofErr w:type="spellStart"/>
            <w:r w:rsidRPr="00D64190">
              <w:rPr>
                <w:rFonts w:cs="Arial"/>
                <w:szCs w:val="19"/>
                <w:lang w:val="en-US"/>
              </w:rPr>
              <w:t>locali</w:t>
            </w:r>
            <w:r w:rsidR="000D0ABF">
              <w:rPr>
                <w:rFonts w:cs="Arial"/>
                <w:szCs w:val="19"/>
                <w:lang w:val="en-US"/>
              </w:rPr>
              <w:t>s</w:t>
            </w:r>
            <w:r w:rsidRPr="00D64190">
              <w:rPr>
                <w:rFonts w:cs="Arial"/>
                <w:szCs w:val="19"/>
                <w:lang w:val="en-US"/>
              </w:rPr>
              <w:t>ed</w:t>
            </w:r>
            <w:proofErr w:type="spellEnd"/>
            <w:r w:rsidRPr="00D64190">
              <w:rPr>
                <w:rFonts w:cs="Arial"/>
                <w:szCs w:val="19"/>
                <w:lang w:val="en-US"/>
              </w:rPr>
              <w:t xml:space="preserve"> and locally advanced hormone dependent prostate cancer in combination with radiotherapy</w:t>
            </w:r>
            <w:r>
              <w:rPr>
                <w:rFonts w:cs="Arial"/>
                <w:szCs w:val="19"/>
                <w:lang w:val="en-US"/>
              </w:rPr>
              <w:t xml:space="preserve"> </w:t>
            </w:r>
            <w:r w:rsidRPr="00ED6711">
              <w:rPr>
                <w:rFonts w:cs="Arial"/>
                <w:sz w:val="16"/>
                <w:szCs w:val="16"/>
                <w:lang w:val="en-US"/>
              </w:rPr>
              <w:t>[new depot formulation</w:t>
            </w:r>
            <w:r>
              <w:rPr>
                <w:rFonts w:cs="Arial"/>
                <w:sz w:val="16"/>
                <w:szCs w:val="16"/>
                <w:lang w:val="en-US"/>
              </w:rPr>
              <w:t>, given up to 6-monthly</w:t>
            </w:r>
            <w:r w:rsidRPr="00ED6711">
              <w:rPr>
                <w:rFonts w:cs="Arial"/>
                <w:sz w:val="16"/>
                <w:szCs w:val="16"/>
                <w:lang w:val="en-US"/>
              </w:rPr>
              <w:t>]</w:t>
            </w:r>
          </w:p>
        </w:tc>
      </w:tr>
      <w:tr w:rsidR="00EC2393" w14:paraId="349D9B17" w14:textId="77777777" w:rsidTr="00355B51">
        <w:tc>
          <w:tcPr>
            <w:tcW w:w="1447" w:type="pct"/>
            <w:gridSpan w:val="2"/>
            <w:tcMar>
              <w:top w:w="57" w:type="dxa"/>
              <w:bottom w:w="57" w:type="dxa"/>
            </w:tcMar>
          </w:tcPr>
          <w:p w14:paraId="5039F413" w14:textId="77777777" w:rsidR="00EC2393" w:rsidRDefault="00EC2393" w:rsidP="00F46E62">
            <w:pPr>
              <w:rPr>
                <w:rFonts w:cs="Arial"/>
                <w:szCs w:val="19"/>
              </w:rPr>
            </w:pPr>
            <w:proofErr w:type="spellStart"/>
            <w:r>
              <w:rPr>
                <w:rFonts w:cs="Arial"/>
                <w:szCs w:val="19"/>
              </w:rPr>
              <w:t>Maralixibat</w:t>
            </w:r>
            <w:proofErr w:type="spellEnd"/>
            <w:r>
              <w:rPr>
                <w:rFonts w:cs="Arial"/>
                <w:szCs w:val="19"/>
              </w:rPr>
              <w:t xml:space="preserve"> (</w:t>
            </w:r>
            <w:proofErr w:type="spellStart"/>
            <w:r>
              <w:rPr>
                <w:rFonts w:cs="Arial"/>
                <w:i/>
                <w:iCs/>
                <w:szCs w:val="19"/>
              </w:rPr>
              <w:t>Livmarli</w:t>
            </w:r>
            <w:proofErr w:type="spellEnd"/>
            <w:r>
              <w:rPr>
                <w:rFonts w:cs="Arial"/>
                <w:szCs w:val="19"/>
              </w:rPr>
              <w:t>)</w:t>
            </w:r>
          </w:p>
          <w:p w14:paraId="7855B15B" w14:textId="77010DAE" w:rsidR="00EC2393" w:rsidRPr="005A572C" w:rsidRDefault="005A572C" w:rsidP="00F46E62">
            <w:pPr>
              <w:rPr>
                <w:rFonts w:cs="Arial"/>
                <w:sz w:val="16"/>
                <w:szCs w:val="16"/>
              </w:rPr>
            </w:pPr>
            <w:r w:rsidRPr="005A572C">
              <w:rPr>
                <w:rFonts w:cs="Arial"/>
                <w:sz w:val="16"/>
                <w:szCs w:val="16"/>
              </w:rPr>
              <w:t>9.5mg in 1mL oral solution</w:t>
            </w:r>
          </w:p>
        </w:tc>
        <w:tc>
          <w:tcPr>
            <w:tcW w:w="3553" w:type="pct"/>
            <w:tcMar>
              <w:top w:w="57" w:type="dxa"/>
              <w:bottom w:w="57" w:type="dxa"/>
            </w:tcMar>
          </w:tcPr>
          <w:p w14:paraId="0A81E793" w14:textId="4389C569" w:rsidR="00EC2393" w:rsidRPr="008658A6" w:rsidRDefault="00FB51A5" w:rsidP="00F46E62">
            <w:pPr>
              <w:tabs>
                <w:tab w:val="center" w:pos="3152"/>
              </w:tabs>
              <w:rPr>
                <w:rFonts w:cs="Arial"/>
                <w:szCs w:val="19"/>
                <w:lang w:val="en-US"/>
              </w:rPr>
            </w:pPr>
            <w:r w:rsidRPr="00FB51A5">
              <w:rPr>
                <w:rFonts w:cs="Arial"/>
                <w:szCs w:val="19"/>
                <w:lang w:val="en-US"/>
              </w:rPr>
              <w:t>Treatment of progressive familial intrahepatic cholestasis in patients</w:t>
            </w:r>
            <w:r>
              <w:rPr>
                <w:rFonts w:cs="Arial"/>
                <w:szCs w:val="19"/>
                <w:lang w:val="en-US"/>
              </w:rPr>
              <w:t xml:space="preserve"> aged</w:t>
            </w:r>
            <w:r w:rsidRPr="00FB51A5">
              <w:rPr>
                <w:rFonts w:cs="Arial"/>
                <w:szCs w:val="19"/>
                <w:lang w:val="en-US"/>
              </w:rPr>
              <w:t xml:space="preserve"> 3 months and older</w:t>
            </w:r>
            <w:r>
              <w:rPr>
                <w:rFonts w:cs="Arial"/>
                <w:szCs w:val="19"/>
                <w:lang w:val="en-US"/>
              </w:rPr>
              <w:t xml:space="preserve"> </w:t>
            </w:r>
            <w:r w:rsidRPr="0026035E">
              <w:rPr>
                <w:rFonts w:cs="Arial"/>
                <w:color w:val="000000"/>
                <w:sz w:val="16"/>
                <w:szCs w:val="16"/>
                <w:lang w:val="en-US"/>
              </w:rPr>
              <w:t>[new indication]</w:t>
            </w:r>
          </w:p>
        </w:tc>
      </w:tr>
      <w:tr w:rsidR="00F46E62" w14:paraId="7C9D7E83" w14:textId="77777777" w:rsidTr="00355B51">
        <w:tc>
          <w:tcPr>
            <w:tcW w:w="1447" w:type="pct"/>
            <w:gridSpan w:val="2"/>
            <w:tcMar>
              <w:top w:w="57" w:type="dxa"/>
              <w:bottom w:w="57" w:type="dxa"/>
            </w:tcMar>
          </w:tcPr>
          <w:p w14:paraId="47B806FD" w14:textId="77777777" w:rsidR="00F46E62" w:rsidRDefault="00F46E62" w:rsidP="00F46E62">
            <w:pPr>
              <w:rPr>
                <w:rFonts w:cs="Arial"/>
                <w:szCs w:val="19"/>
              </w:rPr>
            </w:pPr>
            <w:r w:rsidRPr="00295857">
              <w:rPr>
                <w:rFonts w:cs="Arial"/>
                <w:szCs w:val="19"/>
              </w:rPr>
              <w:t>SARS-CoV-2 LP.8.1 mRNA (</w:t>
            </w:r>
            <w:r w:rsidRPr="00295857">
              <w:rPr>
                <w:rFonts w:cs="Arial"/>
                <w:i/>
                <w:iCs/>
                <w:szCs w:val="19"/>
              </w:rPr>
              <w:t>Spikevax LP.8.1</w:t>
            </w:r>
            <w:r>
              <w:rPr>
                <w:rFonts w:cs="Arial"/>
                <w:szCs w:val="19"/>
              </w:rPr>
              <w:t>)</w:t>
            </w:r>
          </w:p>
          <w:p w14:paraId="47481FD6" w14:textId="1E751A68" w:rsidR="00F46E62" w:rsidRPr="00D45EBA" w:rsidRDefault="00F46E62" w:rsidP="00F46E62">
            <w:pPr>
              <w:rPr>
                <w:rFonts w:cs="Arial"/>
                <w:sz w:val="16"/>
                <w:szCs w:val="16"/>
              </w:rPr>
            </w:pPr>
            <w:r w:rsidRPr="00D45EBA">
              <w:rPr>
                <w:rFonts w:cs="Arial"/>
                <w:sz w:val="16"/>
                <w:szCs w:val="16"/>
              </w:rPr>
              <w:t>5-dose and 10-dose multidose vials</w:t>
            </w:r>
          </w:p>
        </w:tc>
        <w:tc>
          <w:tcPr>
            <w:tcW w:w="3553" w:type="pct"/>
            <w:tcMar>
              <w:top w:w="57" w:type="dxa"/>
              <w:bottom w:w="57" w:type="dxa"/>
            </w:tcMar>
          </w:tcPr>
          <w:p w14:paraId="34FA2D02" w14:textId="035DA059" w:rsidR="00F46E62" w:rsidRPr="00A075A3" w:rsidRDefault="00F46E62" w:rsidP="00F46E62">
            <w:pPr>
              <w:tabs>
                <w:tab w:val="center" w:pos="3152"/>
              </w:tabs>
              <w:rPr>
                <w:rFonts w:cs="Arial"/>
                <w:szCs w:val="19"/>
                <w:lang w:val="en-US"/>
              </w:rPr>
            </w:pPr>
            <w:r w:rsidRPr="008658A6">
              <w:rPr>
                <w:rFonts w:cs="Arial"/>
                <w:szCs w:val="19"/>
                <w:lang w:val="en-US"/>
              </w:rPr>
              <w:t xml:space="preserve">Active </w:t>
            </w:r>
            <w:proofErr w:type="spellStart"/>
            <w:r w:rsidRPr="008658A6">
              <w:rPr>
                <w:rFonts w:cs="Arial"/>
                <w:szCs w:val="19"/>
                <w:lang w:val="en-US"/>
              </w:rPr>
              <w:t>immunisation</w:t>
            </w:r>
            <w:proofErr w:type="spellEnd"/>
            <w:r w:rsidRPr="008658A6">
              <w:rPr>
                <w:rFonts w:cs="Arial"/>
                <w:szCs w:val="19"/>
                <w:lang w:val="en-US"/>
              </w:rPr>
              <w:t xml:space="preserve"> to prevent COVID-19 caused by SARS-CoV-2 in individuals </w:t>
            </w:r>
            <w:r>
              <w:rPr>
                <w:rFonts w:cs="Arial"/>
                <w:szCs w:val="19"/>
                <w:lang w:val="en-US"/>
              </w:rPr>
              <w:t xml:space="preserve">aged </w:t>
            </w:r>
            <w:r w:rsidRPr="008658A6">
              <w:rPr>
                <w:rFonts w:cs="Arial"/>
                <w:szCs w:val="19"/>
                <w:lang w:val="en-US"/>
              </w:rPr>
              <w:t>6 months and older</w:t>
            </w:r>
          </w:p>
        </w:tc>
      </w:tr>
      <w:tr w:rsidR="00F46E62" w14:paraId="13409E99" w14:textId="77777777" w:rsidTr="00355B51">
        <w:tc>
          <w:tcPr>
            <w:tcW w:w="1447" w:type="pct"/>
            <w:gridSpan w:val="2"/>
            <w:tcMar>
              <w:top w:w="57" w:type="dxa"/>
              <w:bottom w:w="57" w:type="dxa"/>
            </w:tcMar>
          </w:tcPr>
          <w:p w14:paraId="12A36A6C" w14:textId="77777777" w:rsidR="00F46E62" w:rsidRDefault="00F46E62" w:rsidP="00F46E62">
            <w:pPr>
              <w:rPr>
                <w:rFonts w:cs="Arial"/>
                <w:szCs w:val="19"/>
              </w:rPr>
            </w:pPr>
            <w:proofErr w:type="spellStart"/>
            <w:r w:rsidRPr="00D0409A">
              <w:rPr>
                <w:rFonts w:cs="Arial"/>
                <w:szCs w:val="19"/>
              </w:rPr>
              <w:t>Zanidatamab</w:t>
            </w:r>
            <w:proofErr w:type="spellEnd"/>
            <w:r w:rsidRPr="00D0409A">
              <w:rPr>
                <w:rFonts w:cs="Arial"/>
                <w:szCs w:val="19"/>
              </w:rPr>
              <w:t xml:space="preserve"> (</w:t>
            </w:r>
            <w:proofErr w:type="spellStart"/>
            <w:r w:rsidRPr="00D0409A">
              <w:rPr>
                <w:rFonts w:cs="Arial"/>
                <w:i/>
                <w:iCs/>
                <w:szCs w:val="19"/>
              </w:rPr>
              <w:t>Ziihera</w:t>
            </w:r>
            <w:proofErr w:type="spellEnd"/>
            <w:r w:rsidRPr="00D0409A">
              <w:rPr>
                <w:rFonts w:cs="Arial"/>
                <w:szCs w:val="19"/>
              </w:rPr>
              <w:t>)</w:t>
            </w:r>
          </w:p>
          <w:p w14:paraId="410B7129" w14:textId="77659C09" w:rsidR="00F46E62" w:rsidRPr="00962F44" w:rsidRDefault="00F46E62" w:rsidP="00F46E62">
            <w:pPr>
              <w:rPr>
                <w:rFonts w:cs="Arial"/>
                <w:sz w:val="16"/>
                <w:szCs w:val="16"/>
              </w:rPr>
            </w:pPr>
            <w:r w:rsidRPr="00962F44">
              <w:rPr>
                <w:rFonts w:cs="Arial"/>
                <w:sz w:val="16"/>
                <w:szCs w:val="16"/>
              </w:rPr>
              <w:t>300mg vial</w:t>
            </w:r>
          </w:p>
        </w:tc>
        <w:tc>
          <w:tcPr>
            <w:tcW w:w="3553" w:type="pct"/>
            <w:tcMar>
              <w:top w:w="57" w:type="dxa"/>
              <w:bottom w:w="57" w:type="dxa"/>
            </w:tcMar>
          </w:tcPr>
          <w:p w14:paraId="6F00F840" w14:textId="38BB4E3C" w:rsidR="00F46E62" w:rsidRPr="00A075A3" w:rsidRDefault="00F46E62" w:rsidP="00F46E62">
            <w:pPr>
              <w:tabs>
                <w:tab w:val="center" w:pos="3152"/>
              </w:tabs>
              <w:rPr>
                <w:rFonts w:cs="Arial"/>
                <w:szCs w:val="19"/>
                <w:lang w:val="en-US"/>
              </w:rPr>
            </w:pPr>
            <w:r w:rsidRPr="008C562F">
              <w:rPr>
                <w:rFonts w:cs="Arial"/>
                <w:szCs w:val="19"/>
                <w:lang w:val="en-US"/>
              </w:rPr>
              <w:t>Treatment of adults with unresectable locally advanced or metastatic HER2-positive (IHC3+) biliary tract cancer previously treated with at least one prior line of systemic therapy</w:t>
            </w:r>
          </w:p>
        </w:tc>
      </w:tr>
      <w:tr w:rsidR="00F46E62" w:rsidRPr="00862949" w14:paraId="74D5A14B" w14:textId="77777777" w:rsidTr="005A7E09">
        <w:tc>
          <w:tcPr>
            <w:tcW w:w="5000" w:type="pct"/>
            <w:gridSpan w:val="3"/>
            <w:tcMar>
              <w:top w:w="0" w:type="dxa"/>
              <w:bottom w:w="0" w:type="dxa"/>
            </w:tcMar>
          </w:tcPr>
          <w:p w14:paraId="31110410" w14:textId="77777777" w:rsidR="00F46E62" w:rsidRPr="00862949" w:rsidRDefault="00F46E62" w:rsidP="00F46E62">
            <w:pPr>
              <w:jc w:val="center"/>
              <w:rPr>
                <w:rFonts w:cs="Arial"/>
                <w:noProof/>
                <w:sz w:val="8"/>
                <w:szCs w:val="8"/>
              </w:rPr>
            </w:pPr>
          </w:p>
        </w:tc>
      </w:tr>
      <w:tr w:rsidR="00F46E62" w:rsidRPr="000F19E1" w14:paraId="5153540E" w14:textId="77777777" w:rsidTr="00155BD9">
        <w:tc>
          <w:tcPr>
            <w:tcW w:w="1152" w:type="pct"/>
            <w:shd w:val="clear" w:color="auto" w:fill="DAEEF3"/>
            <w:tcMar>
              <w:top w:w="0" w:type="dxa"/>
              <w:bottom w:w="0" w:type="dxa"/>
            </w:tcMar>
          </w:tcPr>
          <w:p w14:paraId="42999F06" w14:textId="77777777" w:rsidR="00F46E62" w:rsidRPr="000F19E1" w:rsidRDefault="00F46E62" w:rsidP="00F46E62">
            <w:pPr>
              <w:rPr>
                <w:rFonts w:cs="Arial"/>
                <w:bCs/>
                <w:sz w:val="8"/>
                <w:szCs w:val="8"/>
              </w:rPr>
            </w:pPr>
          </w:p>
        </w:tc>
        <w:tc>
          <w:tcPr>
            <w:tcW w:w="3848" w:type="pct"/>
            <w:gridSpan w:val="2"/>
            <w:shd w:val="clear" w:color="auto" w:fill="DAEEF3"/>
            <w:tcMar>
              <w:top w:w="0" w:type="dxa"/>
              <w:bottom w:w="0" w:type="dxa"/>
            </w:tcMar>
          </w:tcPr>
          <w:p w14:paraId="1A768EDC" w14:textId="77777777" w:rsidR="00F46E62" w:rsidRPr="000F19E1" w:rsidRDefault="00F46E62" w:rsidP="00F46E62">
            <w:pPr>
              <w:tabs>
                <w:tab w:val="center" w:pos="3152"/>
              </w:tabs>
              <w:rPr>
                <w:rFonts w:cs="Arial"/>
                <w:sz w:val="8"/>
                <w:szCs w:val="8"/>
                <w:lang w:val="en-US"/>
              </w:rPr>
            </w:pPr>
          </w:p>
        </w:tc>
      </w:tr>
    </w:tbl>
    <w:p w14:paraId="66F1820C" w14:textId="77777777" w:rsidR="00B83C71" w:rsidRDefault="00B83C71">
      <w:r>
        <w:br w:type="page"/>
      </w:r>
    </w:p>
    <w:p w14:paraId="3E80A9B6" w14:textId="77777777" w:rsidR="00B83C71" w:rsidRDefault="00B83C71"/>
    <w:p w14:paraId="145C3A5A" w14:textId="77777777" w:rsidR="00B83C71" w:rsidRDefault="00B83C71"/>
    <w:tbl>
      <w:tblPr>
        <w:tblW w:w="5170" w:type="pct"/>
        <w:tblInd w:w="-176" w:type="dxa"/>
        <w:tblLayout w:type="fixed"/>
        <w:tblLook w:val="01E0" w:firstRow="1" w:lastRow="1" w:firstColumn="1" w:lastColumn="1" w:noHBand="0" w:noVBand="0"/>
      </w:tblPr>
      <w:tblGrid>
        <w:gridCol w:w="2431"/>
        <w:gridCol w:w="439"/>
        <w:gridCol w:w="7681"/>
      </w:tblGrid>
      <w:tr w:rsidR="00B83C71" w:rsidRPr="00862949" w14:paraId="70268CBF" w14:textId="77777777" w:rsidTr="00390FEB">
        <w:tc>
          <w:tcPr>
            <w:tcW w:w="5000" w:type="pct"/>
            <w:gridSpan w:val="3"/>
            <w:shd w:val="clear" w:color="auto" w:fill="0070C0"/>
            <w:tcMar>
              <w:top w:w="85" w:type="dxa"/>
              <w:bottom w:w="85" w:type="dxa"/>
            </w:tcMar>
            <w:vAlign w:val="bottom"/>
          </w:tcPr>
          <w:p w14:paraId="504131F6" w14:textId="77777777" w:rsidR="00B83C71" w:rsidRPr="00862949" w:rsidRDefault="00B83C71" w:rsidP="00390FEB">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B83C71" w:rsidRPr="00862949" w14:paraId="1B93A306" w14:textId="77777777" w:rsidTr="00390FEB">
        <w:tc>
          <w:tcPr>
            <w:tcW w:w="5000" w:type="pct"/>
            <w:gridSpan w:val="3"/>
            <w:shd w:val="clear" w:color="auto" w:fill="DAEEF3"/>
            <w:tcMar>
              <w:top w:w="0" w:type="dxa"/>
              <w:bottom w:w="0" w:type="dxa"/>
            </w:tcMar>
          </w:tcPr>
          <w:p w14:paraId="11F26830" w14:textId="77777777" w:rsidR="00B83C71" w:rsidRPr="00862949" w:rsidRDefault="00B83C71" w:rsidP="00390FEB">
            <w:pPr>
              <w:rPr>
                <w:rFonts w:cs="Arial"/>
                <w:b/>
                <w:bCs/>
                <w:i/>
                <w:iCs/>
                <w:color w:val="000000"/>
                <w:sz w:val="8"/>
                <w:szCs w:val="8"/>
                <w:lang w:val="en-US"/>
              </w:rPr>
            </w:pPr>
          </w:p>
        </w:tc>
      </w:tr>
      <w:tr w:rsidR="00F46E62" w:rsidRPr="00831779" w14:paraId="331232BC" w14:textId="77777777" w:rsidTr="00562CE4">
        <w:tc>
          <w:tcPr>
            <w:tcW w:w="5000" w:type="pct"/>
            <w:gridSpan w:val="3"/>
            <w:shd w:val="clear" w:color="auto" w:fill="008232"/>
            <w:tcMar>
              <w:top w:w="57" w:type="dxa"/>
              <w:bottom w:w="57" w:type="dxa"/>
            </w:tcMar>
          </w:tcPr>
          <w:p w14:paraId="04CC7787" w14:textId="7F8330BB" w:rsidR="00F46E62" w:rsidRPr="00831779" w:rsidRDefault="00F46E62" w:rsidP="00F46E62">
            <w:pPr>
              <w:rPr>
                <w:rFonts w:cs="Arial"/>
                <w:noProof/>
                <w:color w:val="FFFFFF"/>
                <w:sz w:val="16"/>
                <w:szCs w:val="16"/>
              </w:rPr>
            </w:pPr>
            <w:r>
              <w:rPr>
                <w:rFonts w:cs="Arial"/>
                <w:b/>
                <w:bCs/>
                <w:i/>
                <w:iCs/>
                <w:color w:val="FFFFFF"/>
                <w:sz w:val="22"/>
                <w:szCs w:val="20"/>
                <w:lang w:val="en-US"/>
              </w:rPr>
              <w:t xml:space="preserve">Recommended for approval in </w:t>
            </w:r>
            <w:r w:rsidRPr="00433D3E">
              <w:rPr>
                <w:rFonts w:cs="Arial"/>
                <w:b/>
                <w:bCs/>
                <w:i/>
                <w:iCs/>
                <w:color w:val="FFFFFF"/>
                <w:sz w:val="22"/>
                <w:szCs w:val="20"/>
                <w:lang w:val="en-US"/>
              </w:rPr>
              <w:t xml:space="preserve">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D8144C" w:rsidRPr="00A075A3" w14:paraId="797A898E" w14:textId="77777777" w:rsidTr="003242EA">
        <w:tc>
          <w:tcPr>
            <w:tcW w:w="1360" w:type="pct"/>
            <w:gridSpan w:val="2"/>
            <w:tcMar>
              <w:top w:w="57" w:type="dxa"/>
              <w:bottom w:w="57" w:type="dxa"/>
            </w:tcMar>
          </w:tcPr>
          <w:p w14:paraId="539DC39D" w14:textId="300FF8D7" w:rsidR="00D8144C" w:rsidRDefault="00D12E2C" w:rsidP="00F46E62">
            <w:pPr>
              <w:rPr>
                <w:rFonts w:cs="Arial"/>
                <w:szCs w:val="19"/>
              </w:rPr>
            </w:pPr>
            <w:proofErr w:type="spellStart"/>
            <w:r w:rsidRPr="00E72426">
              <w:rPr>
                <w:rFonts w:cs="Arial"/>
                <w:color w:val="000000" w:themeColor="text1"/>
                <w:szCs w:val="19"/>
              </w:rPr>
              <w:t>Asciminib</w:t>
            </w:r>
            <w:proofErr w:type="spellEnd"/>
            <w:r w:rsidRPr="00E72426">
              <w:rPr>
                <w:rFonts w:cs="Arial"/>
                <w:color w:val="000000" w:themeColor="text1"/>
                <w:szCs w:val="19"/>
              </w:rPr>
              <w:t xml:space="preserve"> (</w:t>
            </w:r>
            <w:proofErr w:type="spellStart"/>
            <w:r w:rsidRPr="00E72426">
              <w:rPr>
                <w:rFonts w:cs="Arial"/>
                <w:i/>
                <w:iCs/>
                <w:color w:val="000000" w:themeColor="text1"/>
                <w:szCs w:val="19"/>
              </w:rPr>
              <w:t>Scemblix</w:t>
            </w:r>
            <w:proofErr w:type="spellEnd"/>
            <w:r w:rsidRPr="00E72426">
              <w:rPr>
                <w:rFonts w:cs="Arial"/>
                <w:color w:val="000000" w:themeColor="text1"/>
                <w:szCs w:val="19"/>
              </w:rPr>
              <w:t>)</w:t>
            </w:r>
          </w:p>
        </w:tc>
        <w:tc>
          <w:tcPr>
            <w:tcW w:w="3640" w:type="pct"/>
            <w:tcMar>
              <w:top w:w="57" w:type="dxa"/>
              <w:bottom w:w="57" w:type="dxa"/>
            </w:tcMar>
          </w:tcPr>
          <w:p w14:paraId="66663134" w14:textId="5236BE48" w:rsidR="00D8144C" w:rsidRPr="00D8144C" w:rsidRDefault="007D4655" w:rsidP="00A80F4A">
            <w:pPr>
              <w:tabs>
                <w:tab w:val="center" w:pos="3152"/>
              </w:tabs>
              <w:rPr>
                <w:rFonts w:cs="Arial"/>
                <w:szCs w:val="19"/>
                <w:lang w:val="en-US"/>
              </w:rPr>
            </w:pPr>
            <w:r w:rsidRPr="007D4655">
              <w:rPr>
                <w:rFonts w:cs="Arial"/>
                <w:szCs w:val="19"/>
                <w:lang w:val="en-US"/>
              </w:rPr>
              <w:t xml:space="preserve">Treatment of adults with </w:t>
            </w:r>
            <w:r w:rsidR="006C6CDF" w:rsidRPr="006C6CDF">
              <w:rPr>
                <w:rFonts w:cs="Arial"/>
                <w:szCs w:val="19"/>
                <w:lang w:val="en-US"/>
              </w:rPr>
              <w:t>Philadelphia chromosome-positive chronic myeloid leukaemia in chronic phase</w:t>
            </w:r>
            <w:r w:rsidRPr="007D4655">
              <w:rPr>
                <w:rFonts w:cs="Arial"/>
                <w:szCs w:val="19"/>
                <w:lang w:val="en-US"/>
              </w:rPr>
              <w:t xml:space="preserve"> with the T315I mutation who are resistant to, intolerant to or ineligible for ponatinib</w:t>
            </w:r>
            <w:r w:rsidR="006C6CDF">
              <w:rPr>
                <w:rFonts w:cs="Arial"/>
                <w:szCs w:val="19"/>
                <w:lang w:val="en-US"/>
              </w:rPr>
              <w:t xml:space="preserve"> </w:t>
            </w:r>
            <w:r w:rsidR="006C6CDF" w:rsidRPr="006C6CDF">
              <w:rPr>
                <w:rFonts w:cs="Arial"/>
                <w:sz w:val="16"/>
                <w:szCs w:val="16"/>
                <w:lang w:val="en-US"/>
              </w:rPr>
              <w:t>[EU] [new indication and new 100mg tablet formulation]</w:t>
            </w:r>
          </w:p>
        </w:tc>
      </w:tr>
      <w:tr w:rsidR="00F46E62" w:rsidRPr="00A075A3" w14:paraId="10417C24" w14:textId="77777777" w:rsidTr="003242EA">
        <w:tc>
          <w:tcPr>
            <w:tcW w:w="1360" w:type="pct"/>
            <w:gridSpan w:val="2"/>
            <w:tcMar>
              <w:top w:w="57" w:type="dxa"/>
              <w:bottom w:w="57" w:type="dxa"/>
            </w:tcMar>
          </w:tcPr>
          <w:p w14:paraId="5C313514" w14:textId="1A5F5DFE" w:rsidR="00F46E62" w:rsidRPr="00497C7B" w:rsidRDefault="00497C7B" w:rsidP="00F46E62">
            <w:pPr>
              <w:rPr>
                <w:rFonts w:cs="Arial"/>
                <w:szCs w:val="19"/>
              </w:rPr>
            </w:pPr>
            <w:r>
              <w:rPr>
                <w:rFonts w:cs="Arial"/>
                <w:szCs w:val="19"/>
              </w:rPr>
              <w:t>Baricitinib (</w:t>
            </w:r>
            <w:r>
              <w:rPr>
                <w:rFonts w:cs="Arial"/>
                <w:i/>
                <w:iCs/>
                <w:szCs w:val="19"/>
              </w:rPr>
              <w:t>Olumiant</w:t>
            </w:r>
            <w:r>
              <w:rPr>
                <w:rFonts w:cs="Arial"/>
                <w:szCs w:val="19"/>
              </w:rPr>
              <w:t>)</w:t>
            </w:r>
          </w:p>
        </w:tc>
        <w:tc>
          <w:tcPr>
            <w:tcW w:w="3640" w:type="pct"/>
            <w:tcMar>
              <w:top w:w="57" w:type="dxa"/>
              <w:bottom w:w="57" w:type="dxa"/>
            </w:tcMar>
          </w:tcPr>
          <w:p w14:paraId="66CE37D9" w14:textId="092CCF33" w:rsidR="00F46E62" w:rsidRPr="00A075A3" w:rsidRDefault="00D8144C" w:rsidP="00A80F4A">
            <w:pPr>
              <w:tabs>
                <w:tab w:val="center" w:pos="3152"/>
              </w:tabs>
              <w:rPr>
                <w:rFonts w:cs="Arial"/>
                <w:szCs w:val="19"/>
                <w:lang w:val="en-US"/>
              </w:rPr>
            </w:pPr>
            <w:r w:rsidRPr="00D8144C">
              <w:rPr>
                <w:rFonts w:cs="Arial"/>
                <w:szCs w:val="19"/>
                <w:lang w:val="en-US"/>
              </w:rPr>
              <w:t>Treatment of severe alopecia areata in adult</w:t>
            </w:r>
            <w:r w:rsidR="00257BD5">
              <w:rPr>
                <w:rFonts w:cs="Arial"/>
                <w:szCs w:val="19"/>
                <w:lang w:val="en-US"/>
              </w:rPr>
              <w:t>s</w:t>
            </w:r>
            <w:r w:rsidRPr="00D8144C">
              <w:rPr>
                <w:rFonts w:cs="Arial"/>
                <w:szCs w:val="19"/>
                <w:lang w:val="en-US"/>
              </w:rPr>
              <w:t xml:space="preserve"> and adolescents </w:t>
            </w:r>
            <w:r>
              <w:rPr>
                <w:rFonts w:cs="Arial"/>
                <w:szCs w:val="19"/>
                <w:lang w:val="en-US"/>
              </w:rPr>
              <w:t xml:space="preserve">aged </w:t>
            </w:r>
            <w:r w:rsidRPr="00D8144C">
              <w:rPr>
                <w:rFonts w:cs="Arial"/>
                <w:szCs w:val="19"/>
                <w:lang w:val="en-US"/>
              </w:rPr>
              <w:t>12 years and older</w:t>
            </w:r>
            <w:r>
              <w:rPr>
                <w:rFonts w:cs="Arial"/>
                <w:szCs w:val="19"/>
                <w:lang w:val="en-US"/>
              </w:rPr>
              <w:t xml:space="preserve"> </w:t>
            </w:r>
            <w:r w:rsidRPr="00D8144C">
              <w:rPr>
                <w:rFonts w:cs="Arial"/>
                <w:sz w:val="16"/>
                <w:szCs w:val="16"/>
                <w:lang w:val="en-US"/>
              </w:rPr>
              <w:t>[EU] [licence change from use only in adults]</w:t>
            </w:r>
          </w:p>
        </w:tc>
      </w:tr>
      <w:tr w:rsidR="00497C7B" w:rsidRPr="00A075A3" w14:paraId="1B66793C" w14:textId="77777777" w:rsidTr="003242EA">
        <w:tc>
          <w:tcPr>
            <w:tcW w:w="1360" w:type="pct"/>
            <w:gridSpan w:val="2"/>
            <w:tcMar>
              <w:top w:w="57" w:type="dxa"/>
              <w:bottom w:w="57" w:type="dxa"/>
            </w:tcMar>
          </w:tcPr>
          <w:p w14:paraId="3B4431AB" w14:textId="18DD60DD" w:rsidR="00497C7B" w:rsidRPr="00AF0080" w:rsidRDefault="00497C7B" w:rsidP="00497C7B">
            <w:pPr>
              <w:rPr>
                <w:rFonts w:cs="Arial"/>
                <w:szCs w:val="19"/>
              </w:rPr>
            </w:pPr>
            <w:r>
              <w:rPr>
                <w:rFonts w:cs="Arial"/>
                <w:szCs w:val="19"/>
              </w:rPr>
              <w:t>Budesonide (</w:t>
            </w:r>
            <w:proofErr w:type="spellStart"/>
            <w:r>
              <w:rPr>
                <w:rFonts w:cs="Arial"/>
                <w:i/>
                <w:iCs/>
                <w:szCs w:val="19"/>
              </w:rPr>
              <w:t>Jorveza</w:t>
            </w:r>
            <w:proofErr w:type="spellEnd"/>
            <w:r>
              <w:rPr>
                <w:rFonts w:cs="Arial"/>
                <w:szCs w:val="19"/>
              </w:rPr>
              <w:t>)</w:t>
            </w:r>
          </w:p>
        </w:tc>
        <w:tc>
          <w:tcPr>
            <w:tcW w:w="3640" w:type="pct"/>
            <w:tcMar>
              <w:top w:w="57" w:type="dxa"/>
              <w:bottom w:w="57" w:type="dxa"/>
            </w:tcMar>
          </w:tcPr>
          <w:p w14:paraId="61CC863D" w14:textId="77777777" w:rsidR="00497C7B" w:rsidRDefault="00497C7B" w:rsidP="00497C7B">
            <w:pPr>
              <w:tabs>
                <w:tab w:val="center" w:pos="3152"/>
              </w:tabs>
              <w:rPr>
                <w:rFonts w:cs="Arial"/>
                <w:sz w:val="16"/>
                <w:szCs w:val="16"/>
                <w:lang w:val="en-US"/>
              </w:rPr>
            </w:pPr>
            <w:r>
              <w:rPr>
                <w:rFonts w:cs="Arial"/>
                <w:szCs w:val="19"/>
                <w:lang w:val="en-US"/>
              </w:rPr>
              <w:t>T</w:t>
            </w:r>
            <w:r w:rsidRPr="00A80F4A">
              <w:rPr>
                <w:rFonts w:cs="Arial"/>
                <w:szCs w:val="19"/>
                <w:lang w:val="en-US"/>
              </w:rPr>
              <w:t>reatment of eosinophilic esophagitis in paediatric patients</w:t>
            </w:r>
            <w:r>
              <w:rPr>
                <w:rFonts w:cs="Arial"/>
                <w:szCs w:val="19"/>
                <w:lang w:val="en-US"/>
              </w:rPr>
              <w:t xml:space="preserve"> aged</w:t>
            </w:r>
            <w:r w:rsidRPr="00A80F4A">
              <w:rPr>
                <w:rFonts w:cs="Arial"/>
                <w:szCs w:val="19"/>
                <w:lang w:val="en-US"/>
              </w:rPr>
              <w:t xml:space="preserve"> 2 to 17 years</w:t>
            </w:r>
            <w:r>
              <w:rPr>
                <w:rFonts w:cs="Arial"/>
                <w:szCs w:val="19"/>
                <w:lang w:val="en-US"/>
              </w:rPr>
              <w:t xml:space="preserve"> </w:t>
            </w:r>
            <w:r w:rsidRPr="00A80F4A">
              <w:rPr>
                <w:rFonts w:cs="Arial"/>
                <w:sz w:val="16"/>
                <w:szCs w:val="16"/>
                <w:lang w:val="en-US"/>
              </w:rPr>
              <w:t xml:space="preserve">[EU] </w:t>
            </w:r>
          </w:p>
          <w:p w14:paraId="423236A0" w14:textId="7E46AE65" w:rsidR="00497C7B" w:rsidRPr="00A075A3" w:rsidRDefault="00497C7B" w:rsidP="00497C7B">
            <w:pPr>
              <w:tabs>
                <w:tab w:val="center" w:pos="3152"/>
              </w:tabs>
              <w:rPr>
                <w:rFonts w:cs="Arial"/>
                <w:szCs w:val="19"/>
                <w:lang w:val="en-US"/>
              </w:rPr>
            </w:pPr>
            <w:r w:rsidRPr="00A80F4A">
              <w:rPr>
                <w:rFonts w:cs="Arial"/>
                <w:sz w:val="16"/>
                <w:szCs w:val="16"/>
                <w:lang w:val="en-US"/>
              </w:rPr>
              <w:t>[new 0.2mg/mL oral suspension with a new indication]</w:t>
            </w:r>
          </w:p>
        </w:tc>
      </w:tr>
      <w:tr w:rsidR="00497C7B" w14:paraId="2AB5D118" w14:textId="77777777" w:rsidTr="003242EA">
        <w:tc>
          <w:tcPr>
            <w:tcW w:w="1360" w:type="pct"/>
            <w:gridSpan w:val="2"/>
            <w:tcMar>
              <w:top w:w="57" w:type="dxa"/>
              <w:bottom w:w="57" w:type="dxa"/>
            </w:tcMar>
          </w:tcPr>
          <w:p w14:paraId="4545B5DC" w14:textId="7D149943" w:rsidR="00497C7B" w:rsidRPr="00722F45" w:rsidRDefault="00497C7B" w:rsidP="00497C7B">
            <w:pPr>
              <w:rPr>
                <w:rFonts w:cs="Arial"/>
                <w:szCs w:val="19"/>
              </w:rPr>
            </w:pPr>
            <w:r w:rsidRPr="00163F13">
              <w:rPr>
                <w:rFonts w:cs="Arial"/>
                <w:color w:val="000000" w:themeColor="text1"/>
                <w:szCs w:val="19"/>
              </w:rPr>
              <w:t>Dupilumab (</w:t>
            </w:r>
            <w:r w:rsidRPr="00163F13">
              <w:rPr>
                <w:rFonts w:cs="Arial"/>
                <w:i/>
                <w:iCs/>
                <w:color w:val="000000" w:themeColor="text1"/>
                <w:szCs w:val="19"/>
              </w:rPr>
              <w:t>Dupixent</w:t>
            </w:r>
            <w:r w:rsidRPr="00163F13">
              <w:rPr>
                <w:rFonts w:cs="Arial"/>
                <w:color w:val="000000" w:themeColor="text1"/>
                <w:szCs w:val="19"/>
              </w:rPr>
              <w:t>)</w:t>
            </w:r>
          </w:p>
        </w:tc>
        <w:tc>
          <w:tcPr>
            <w:tcW w:w="3640" w:type="pct"/>
            <w:tcMar>
              <w:top w:w="57" w:type="dxa"/>
              <w:bottom w:w="57" w:type="dxa"/>
            </w:tcMar>
          </w:tcPr>
          <w:p w14:paraId="43720C22" w14:textId="77777777" w:rsidR="00497C7B" w:rsidRDefault="00497C7B" w:rsidP="00497C7B">
            <w:pPr>
              <w:tabs>
                <w:tab w:val="center" w:pos="3152"/>
              </w:tabs>
              <w:rPr>
                <w:rFonts w:cs="Arial"/>
                <w:sz w:val="16"/>
                <w:szCs w:val="16"/>
                <w:lang w:val="en-US"/>
              </w:rPr>
            </w:pPr>
            <w:r w:rsidRPr="005F6234">
              <w:rPr>
                <w:rFonts w:cs="Arial"/>
                <w:szCs w:val="19"/>
                <w:lang w:val="en-US"/>
              </w:rPr>
              <w:t>Treatment of moderate to severe chronic spontaneous urticaria</w:t>
            </w:r>
            <w:r>
              <w:rPr>
                <w:rFonts w:cs="Arial"/>
                <w:szCs w:val="19"/>
                <w:lang w:val="en-US"/>
              </w:rPr>
              <w:t xml:space="preserve"> (CSU)</w:t>
            </w:r>
            <w:r w:rsidRPr="005F6234">
              <w:rPr>
                <w:rFonts w:cs="Arial"/>
                <w:szCs w:val="19"/>
                <w:lang w:val="en-US"/>
              </w:rPr>
              <w:t xml:space="preserve"> in adults, adolescents and children </w:t>
            </w:r>
            <w:r>
              <w:rPr>
                <w:rFonts w:cs="Arial"/>
                <w:szCs w:val="19"/>
                <w:lang w:val="en-US"/>
              </w:rPr>
              <w:t xml:space="preserve">aged </w:t>
            </w:r>
            <w:r w:rsidRPr="005F6234">
              <w:rPr>
                <w:rFonts w:cs="Arial"/>
                <w:szCs w:val="19"/>
                <w:lang w:val="en-US"/>
              </w:rPr>
              <w:t xml:space="preserve">2 years and </w:t>
            </w:r>
            <w:r>
              <w:rPr>
                <w:rFonts w:cs="Arial"/>
                <w:szCs w:val="19"/>
                <w:lang w:val="en-US"/>
              </w:rPr>
              <w:t>older</w:t>
            </w:r>
            <w:r w:rsidRPr="005F6234">
              <w:rPr>
                <w:rFonts w:cs="Arial"/>
                <w:szCs w:val="19"/>
                <w:lang w:val="en-US"/>
              </w:rPr>
              <w:t xml:space="preserve"> with inadequate response to H1 antihistamines and who are naive to anti-IgE therapy for CSU</w:t>
            </w:r>
            <w:r>
              <w:rPr>
                <w:rFonts w:cs="Arial"/>
                <w:szCs w:val="19"/>
                <w:lang w:val="en-US"/>
              </w:rPr>
              <w:t xml:space="preserve"> </w:t>
            </w:r>
            <w:r w:rsidRPr="00804D75">
              <w:rPr>
                <w:rFonts w:cs="Arial"/>
                <w:sz w:val="16"/>
                <w:szCs w:val="16"/>
                <w:lang w:val="en-US"/>
              </w:rPr>
              <w:t xml:space="preserve">[EU] </w:t>
            </w:r>
          </w:p>
          <w:p w14:paraId="1E5E8234" w14:textId="46BFB43B" w:rsidR="00497C7B" w:rsidRDefault="00497C7B" w:rsidP="00497C7B">
            <w:pPr>
              <w:tabs>
                <w:tab w:val="center" w:pos="3152"/>
              </w:tabs>
              <w:rPr>
                <w:rFonts w:cs="Arial"/>
                <w:szCs w:val="19"/>
                <w:lang w:val="en-US"/>
              </w:rPr>
            </w:pPr>
            <w:r w:rsidRPr="00804D75">
              <w:rPr>
                <w:rFonts w:cs="Arial"/>
                <w:sz w:val="16"/>
                <w:szCs w:val="16"/>
                <w:lang w:val="en-US"/>
              </w:rPr>
              <w:t>[licence change from use only in people aged 12 years and older]</w:t>
            </w:r>
          </w:p>
        </w:tc>
      </w:tr>
      <w:tr w:rsidR="00497C7B" w14:paraId="419CA859" w14:textId="77777777" w:rsidTr="003242EA">
        <w:tc>
          <w:tcPr>
            <w:tcW w:w="1360" w:type="pct"/>
            <w:gridSpan w:val="2"/>
            <w:tcMar>
              <w:top w:w="57" w:type="dxa"/>
              <w:bottom w:w="57" w:type="dxa"/>
            </w:tcMar>
          </w:tcPr>
          <w:p w14:paraId="1C235525" w14:textId="4D17AA8F" w:rsidR="00497C7B" w:rsidRPr="00F437EB" w:rsidRDefault="00497C7B" w:rsidP="00497C7B">
            <w:pPr>
              <w:rPr>
                <w:rFonts w:cs="Arial"/>
                <w:szCs w:val="19"/>
              </w:rPr>
            </w:pPr>
            <w:r w:rsidRPr="00C43FAC">
              <w:rPr>
                <w:rFonts w:cs="Arial"/>
                <w:color w:val="000000" w:themeColor="text1"/>
                <w:szCs w:val="19"/>
              </w:rPr>
              <w:t>Etanercept (</w:t>
            </w:r>
            <w:proofErr w:type="spellStart"/>
            <w:r w:rsidRPr="00C43FAC">
              <w:rPr>
                <w:rFonts w:cs="Arial"/>
                <w:i/>
                <w:iCs/>
                <w:color w:val="000000" w:themeColor="text1"/>
                <w:szCs w:val="19"/>
              </w:rPr>
              <w:t>Fubelv</w:t>
            </w:r>
            <w:proofErr w:type="spellEnd"/>
            <w:r w:rsidRPr="00C43FAC">
              <w:rPr>
                <w:rFonts w:cs="Arial"/>
                <w:color w:val="000000" w:themeColor="text1"/>
                <w:szCs w:val="19"/>
              </w:rPr>
              <w:t>)</w:t>
            </w:r>
          </w:p>
        </w:tc>
        <w:tc>
          <w:tcPr>
            <w:tcW w:w="3640" w:type="pct"/>
            <w:tcMar>
              <w:top w:w="57" w:type="dxa"/>
              <w:bottom w:w="57" w:type="dxa"/>
            </w:tcMar>
          </w:tcPr>
          <w:p w14:paraId="1286349A" w14:textId="67BCFBAA" w:rsidR="00497C7B" w:rsidRPr="004E1155" w:rsidRDefault="00497C7B" w:rsidP="00497C7B">
            <w:pPr>
              <w:tabs>
                <w:tab w:val="center" w:pos="3152"/>
              </w:tabs>
              <w:rPr>
                <w:rFonts w:cs="Arial"/>
                <w:szCs w:val="19"/>
                <w:highlight w:val="yellow"/>
                <w:lang w:val="en-US"/>
              </w:rPr>
            </w:pPr>
            <w:r w:rsidRPr="00044F06">
              <w:rPr>
                <w:rFonts w:cs="Arial"/>
                <w:szCs w:val="19"/>
                <w:lang w:val="en-US"/>
              </w:rPr>
              <w:t xml:space="preserve">Rheumatoid arthritis: use in combination with methotrexate for the treatment of moderate to severe active rheumatoid arthritis (RA) in adults when the response to disease-modifying antirheumatic drugs, including methotrexate (unless contraindicated), has been inadequate (can be given as monotherapy in case of intolerance to methotrexate or when continued treatment with methotrexate is inappropriate), and treatment of severe, active and progressive RA in adults not previously treated with methotrexate; </w:t>
            </w:r>
            <w:r w:rsidRPr="00C11246">
              <w:rPr>
                <w:rFonts w:cs="Arial"/>
                <w:szCs w:val="19"/>
                <w:lang w:val="en-US"/>
              </w:rPr>
              <w:t xml:space="preserve">Juvenile idiopathic arthritis: treatment of polyarthritis (rheumatoid factor positive or negative) and extended oligoarthritis in children and adolescents aged 2 years and older who have had an inadequate response to, or who have proved intolerant of, methotrexate, treatment of psoriatic arthritis in adolescents aged 12 years and older who have had an inadequate response to, or who have proved intolerant of, methotrexate, and treatment of enthesitis-related arthritis in adolescents aged 12 years and older who have had an inadequate response to, or who have proved intolerant of, conventional </w:t>
            </w:r>
            <w:r w:rsidRPr="004D4C6E">
              <w:rPr>
                <w:rFonts w:cs="Arial"/>
                <w:szCs w:val="19"/>
                <w:lang w:val="en-US"/>
              </w:rPr>
              <w:t xml:space="preserve">therapy; Psoriatic arthritis: treatment of active and progressive psoriatic arthritis in adults when the response to previous disease-modifying antirheumatic drug therapy has been inadequate; Axial spondyloarthritis: treatment of adults with severe active ankylosing spondylitis who have had an inadequate response to conventional therapy, and treatment of adults with severe non-radiographic axial spondyloarthritis with objective signs of inflammation as indicated by elevated C-reactive protein and/or magnetic resonance imaging </w:t>
            </w:r>
            <w:r w:rsidRPr="00847366">
              <w:rPr>
                <w:rFonts w:cs="Arial"/>
                <w:szCs w:val="19"/>
                <w:lang w:val="en-US"/>
              </w:rPr>
              <w:t xml:space="preserve">evidence, who have had an inadequate response to nonsteroidal anti-inflammatory drugs; Plaque psoriasis: treatment of adults with moderate to severe plaque psoriasis who failed to respond to, or who have a contraindication to, or are intolerant to other systemic therapy, including ciclosporin, methotrexate or psoralen and ultraviolet-A light, and treatment of chronic severe plaque psoriasis in children and adolescents aged 6 years and older who are inadequately controlled by, or are intolerant to, other systemic therapies or phototherapies </w:t>
            </w:r>
            <w:r w:rsidRPr="00847366">
              <w:rPr>
                <w:rFonts w:cs="Arial"/>
                <w:sz w:val="16"/>
                <w:szCs w:val="16"/>
                <w:lang w:val="en-US"/>
              </w:rPr>
              <w:t>[EU]</w:t>
            </w:r>
          </w:p>
        </w:tc>
      </w:tr>
      <w:tr w:rsidR="00497C7B" w14:paraId="56F41C65" w14:textId="77777777" w:rsidTr="003242EA">
        <w:tc>
          <w:tcPr>
            <w:tcW w:w="1360" w:type="pct"/>
            <w:gridSpan w:val="2"/>
            <w:tcMar>
              <w:top w:w="57" w:type="dxa"/>
              <w:bottom w:w="57" w:type="dxa"/>
            </w:tcMar>
          </w:tcPr>
          <w:p w14:paraId="31F34536" w14:textId="505ED016" w:rsidR="00497C7B" w:rsidRPr="00785862" w:rsidRDefault="00497C7B" w:rsidP="00497C7B">
            <w:pPr>
              <w:rPr>
                <w:rFonts w:cs="Arial"/>
                <w:szCs w:val="19"/>
              </w:rPr>
            </w:pPr>
            <w:r w:rsidRPr="00B144B4">
              <w:rPr>
                <w:rFonts w:cs="Arial"/>
                <w:szCs w:val="19"/>
              </w:rPr>
              <w:t>Influenza vaccine</w:t>
            </w:r>
            <w:r>
              <w:rPr>
                <w:rFonts w:cs="Arial"/>
                <w:szCs w:val="19"/>
              </w:rPr>
              <w:t xml:space="preserve"> (</w:t>
            </w:r>
            <w:proofErr w:type="spellStart"/>
            <w:r>
              <w:rPr>
                <w:rFonts w:cs="Arial"/>
                <w:i/>
                <w:iCs/>
                <w:szCs w:val="19"/>
              </w:rPr>
              <w:t>Supemtek</w:t>
            </w:r>
            <w:proofErr w:type="spellEnd"/>
            <w:r>
              <w:rPr>
                <w:rFonts w:cs="Arial"/>
                <w:szCs w:val="19"/>
              </w:rPr>
              <w:t>)</w:t>
            </w:r>
          </w:p>
        </w:tc>
        <w:tc>
          <w:tcPr>
            <w:tcW w:w="3640" w:type="pct"/>
            <w:tcMar>
              <w:top w:w="57" w:type="dxa"/>
              <w:bottom w:w="57" w:type="dxa"/>
            </w:tcMar>
          </w:tcPr>
          <w:p w14:paraId="5CB2EB27" w14:textId="22FED638" w:rsidR="00497C7B" w:rsidRDefault="00497C7B" w:rsidP="00497C7B">
            <w:pPr>
              <w:tabs>
                <w:tab w:val="num" w:pos="720"/>
                <w:tab w:val="center" w:pos="3152"/>
              </w:tabs>
              <w:rPr>
                <w:rFonts w:cs="Arial"/>
                <w:szCs w:val="19"/>
                <w:lang w:val="en-US"/>
              </w:rPr>
            </w:pPr>
            <w:r>
              <w:rPr>
                <w:rFonts w:cs="Arial"/>
                <w:szCs w:val="19"/>
                <w:lang w:val="en-US"/>
              </w:rPr>
              <w:t>Activ</w:t>
            </w:r>
            <w:r w:rsidRPr="00214CA4">
              <w:rPr>
                <w:rFonts w:cs="Arial"/>
                <w:szCs w:val="19"/>
                <w:lang w:val="en-US"/>
              </w:rPr>
              <w:t xml:space="preserve">e </w:t>
            </w:r>
            <w:proofErr w:type="spellStart"/>
            <w:r w:rsidRPr="00214CA4">
              <w:rPr>
                <w:rFonts w:cs="Arial"/>
                <w:szCs w:val="19"/>
                <w:lang w:val="en-US"/>
              </w:rPr>
              <w:t>immunisation</w:t>
            </w:r>
            <w:proofErr w:type="spellEnd"/>
            <w:r w:rsidRPr="00214CA4">
              <w:rPr>
                <w:rFonts w:cs="Arial"/>
                <w:szCs w:val="19"/>
                <w:lang w:val="en-US"/>
              </w:rPr>
              <w:t xml:space="preserve"> for the prevention of influenza disease in adults and children </w:t>
            </w:r>
            <w:r>
              <w:rPr>
                <w:rFonts w:cs="Arial"/>
                <w:szCs w:val="19"/>
                <w:lang w:val="en-US"/>
              </w:rPr>
              <w:t>aged</w:t>
            </w:r>
            <w:r w:rsidRPr="00214CA4">
              <w:rPr>
                <w:rFonts w:cs="Arial"/>
                <w:szCs w:val="19"/>
                <w:lang w:val="en-US"/>
              </w:rPr>
              <w:t xml:space="preserve"> 9 years and older</w:t>
            </w:r>
            <w:r>
              <w:rPr>
                <w:rFonts w:cs="Arial"/>
                <w:szCs w:val="19"/>
                <w:lang w:val="en-US"/>
              </w:rPr>
              <w:t xml:space="preserve"> </w:t>
            </w:r>
            <w:r w:rsidRPr="00230EAA">
              <w:rPr>
                <w:rFonts w:cs="Arial"/>
                <w:sz w:val="16"/>
                <w:szCs w:val="16"/>
                <w:lang w:val="en-US"/>
              </w:rPr>
              <w:t>[EU]</w:t>
            </w:r>
          </w:p>
        </w:tc>
      </w:tr>
      <w:tr w:rsidR="00497C7B" w14:paraId="4830BF89" w14:textId="77777777" w:rsidTr="003242EA">
        <w:tc>
          <w:tcPr>
            <w:tcW w:w="1360" w:type="pct"/>
            <w:gridSpan w:val="2"/>
            <w:tcMar>
              <w:top w:w="57" w:type="dxa"/>
              <w:bottom w:w="57" w:type="dxa"/>
            </w:tcMar>
          </w:tcPr>
          <w:p w14:paraId="6DF237BD" w14:textId="77FDAD40" w:rsidR="00497C7B" w:rsidRPr="00E411E8" w:rsidRDefault="00497C7B" w:rsidP="00497C7B">
            <w:pPr>
              <w:rPr>
                <w:rFonts w:cs="Arial"/>
                <w:szCs w:val="19"/>
              </w:rPr>
            </w:pPr>
            <w:r w:rsidRPr="00B726F9">
              <w:rPr>
                <w:rFonts w:cs="Arial"/>
                <w:szCs w:val="19"/>
              </w:rPr>
              <w:t xml:space="preserve">Influenza </w:t>
            </w:r>
            <w:r w:rsidR="00F83C54">
              <w:rPr>
                <w:rFonts w:cs="Arial"/>
                <w:szCs w:val="19"/>
              </w:rPr>
              <w:t>+</w:t>
            </w:r>
            <w:r w:rsidRPr="00B726F9">
              <w:rPr>
                <w:rFonts w:cs="Arial"/>
                <w:szCs w:val="19"/>
              </w:rPr>
              <w:t xml:space="preserve"> COVID-19 mRNA vaccine</w:t>
            </w:r>
            <w:r>
              <w:rPr>
                <w:rFonts w:cs="Arial"/>
                <w:szCs w:val="19"/>
              </w:rPr>
              <w:t xml:space="preserve"> (</w:t>
            </w:r>
            <w:proofErr w:type="spellStart"/>
            <w:r w:rsidRPr="005C2DC2">
              <w:rPr>
                <w:rFonts w:cs="Arial"/>
                <w:i/>
                <w:iCs/>
                <w:szCs w:val="19"/>
              </w:rPr>
              <w:t>m</w:t>
            </w:r>
            <w:r>
              <w:rPr>
                <w:rFonts w:cs="Arial"/>
                <w:i/>
                <w:iCs/>
                <w:szCs w:val="19"/>
              </w:rPr>
              <w:t>Combriax</w:t>
            </w:r>
            <w:proofErr w:type="spellEnd"/>
            <w:r>
              <w:rPr>
                <w:rFonts w:cs="Arial"/>
                <w:szCs w:val="19"/>
              </w:rPr>
              <w:t>)</w:t>
            </w:r>
          </w:p>
        </w:tc>
        <w:tc>
          <w:tcPr>
            <w:tcW w:w="3640" w:type="pct"/>
            <w:tcMar>
              <w:top w:w="57" w:type="dxa"/>
              <w:bottom w:w="57" w:type="dxa"/>
            </w:tcMar>
          </w:tcPr>
          <w:p w14:paraId="005140D4" w14:textId="36E5923E" w:rsidR="00497C7B" w:rsidRDefault="00497C7B" w:rsidP="00497C7B">
            <w:pPr>
              <w:tabs>
                <w:tab w:val="num" w:pos="720"/>
                <w:tab w:val="center" w:pos="3152"/>
              </w:tabs>
              <w:rPr>
                <w:rFonts w:cs="Arial"/>
                <w:szCs w:val="19"/>
                <w:lang w:val="en-US"/>
              </w:rPr>
            </w:pPr>
            <w:r w:rsidRPr="00C1226A">
              <w:rPr>
                <w:rFonts w:cs="Arial"/>
                <w:szCs w:val="19"/>
                <w:lang w:val="en-US"/>
              </w:rPr>
              <w:t xml:space="preserve">Active </w:t>
            </w:r>
            <w:proofErr w:type="spellStart"/>
            <w:r w:rsidRPr="00C1226A">
              <w:rPr>
                <w:rFonts w:cs="Arial"/>
                <w:szCs w:val="19"/>
                <w:lang w:val="en-US"/>
              </w:rPr>
              <w:t>immunisation</w:t>
            </w:r>
            <w:proofErr w:type="spellEnd"/>
            <w:r w:rsidRPr="00C1226A">
              <w:rPr>
                <w:rFonts w:cs="Arial"/>
                <w:szCs w:val="19"/>
                <w:lang w:val="en-US"/>
              </w:rPr>
              <w:t xml:space="preserve"> for the prevention of influenza disease and COVID-19 caused by SARS-CoV-2 in individuals </w:t>
            </w:r>
            <w:r>
              <w:rPr>
                <w:rFonts w:cs="Arial"/>
                <w:szCs w:val="19"/>
                <w:lang w:val="en-US"/>
              </w:rPr>
              <w:t xml:space="preserve">aged </w:t>
            </w:r>
            <w:r w:rsidRPr="00C1226A">
              <w:rPr>
                <w:rFonts w:cs="Arial"/>
                <w:szCs w:val="19"/>
                <w:lang w:val="en-US"/>
              </w:rPr>
              <w:t>50 years and older</w:t>
            </w:r>
            <w:r>
              <w:rPr>
                <w:rFonts w:cs="Arial"/>
                <w:szCs w:val="19"/>
                <w:lang w:val="en-US"/>
              </w:rPr>
              <w:t xml:space="preserve"> </w:t>
            </w:r>
            <w:r w:rsidRPr="00230EAA">
              <w:rPr>
                <w:rFonts w:cs="Arial"/>
                <w:sz w:val="16"/>
                <w:szCs w:val="16"/>
                <w:lang w:val="en-US"/>
              </w:rPr>
              <w:t>[EU]</w:t>
            </w:r>
          </w:p>
        </w:tc>
      </w:tr>
      <w:tr w:rsidR="00497C7B" w14:paraId="65D2C8FC" w14:textId="77777777" w:rsidTr="003242EA">
        <w:tc>
          <w:tcPr>
            <w:tcW w:w="1360" w:type="pct"/>
            <w:gridSpan w:val="2"/>
            <w:tcMar>
              <w:top w:w="57" w:type="dxa"/>
              <w:bottom w:w="57" w:type="dxa"/>
            </w:tcMar>
          </w:tcPr>
          <w:p w14:paraId="27B17BF9" w14:textId="6FD4A621" w:rsidR="00497C7B" w:rsidRPr="000C5D59" w:rsidRDefault="00497C7B" w:rsidP="00497C7B">
            <w:pPr>
              <w:rPr>
                <w:rFonts w:cs="Arial"/>
                <w:szCs w:val="19"/>
              </w:rPr>
            </w:pPr>
            <w:r w:rsidRPr="001735C6">
              <w:rPr>
                <w:rFonts w:cs="Arial"/>
                <w:szCs w:val="19"/>
              </w:rPr>
              <w:t>Insulin aspart biosimilar</w:t>
            </w:r>
            <w:r>
              <w:rPr>
                <w:rFonts w:cs="Arial"/>
                <w:szCs w:val="19"/>
              </w:rPr>
              <w:t xml:space="preserve"> (</w:t>
            </w:r>
            <w:proofErr w:type="spellStart"/>
            <w:r>
              <w:rPr>
                <w:rFonts w:cs="Arial"/>
                <w:i/>
                <w:iCs/>
                <w:szCs w:val="19"/>
              </w:rPr>
              <w:t>Dazparda</w:t>
            </w:r>
            <w:proofErr w:type="spellEnd"/>
            <w:r>
              <w:rPr>
                <w:rFonts w:cs="Arial"/>
                <w:szCs w:val="19"/>
              </w:rPr>
              <w:t>)</w:t>
            </w:r>
          </w:p>
        </w:tc>
        <w:tc>
          <w:tcPr>
            <w:tcW w:w="3640" w:type="pct"/>
            <w:tcMar>
              <w:top w:w="57" w:type="dxa"/>
              <w:bottom w:w="57" w:type="dxa"/>
            </w:tcMar>
          </w:tcPr>
          <w:p w14:paraId="5EEDDA0B" w14:textId="73EF63EC" w:rsidR="00497C7B" w:rsidRDefault="00497C7B" w:rsidP="00497C7B">
            <w:pPr>
              <w:tabs>
                <w:tab w:val="num" w:pos="720"/>
                <w:tab w:val="center" w:pos="3152"/>
              </w:tabs>
              <w:rPr>
                <w:rFonts w:cs="Arial"/>
                <w:szCs w:val="19"/>
                <w:lang w:val="en-US"/>
              </w:rPr>
            </w:pPr>
            <w:r w:rsidRPr="003920B8">
              <w:rPr>
                <w:rFonts w:cs="Arial"/>
                <w:szCs w:val="19"/>
                <w:lang w:val="en-US"/>
              </w:rPr>
              <w:t xml:space="preserve">Treatment of diabetes mellitus in adults, adolescents and children aged 1 year and </w:t>
            </w:r>
            <w:r>
              <w:rPr>
                <w:rFonts w:cs="Arial"/>
                <w:szCs w:val="19"/>
                <w:lang w:val="en-US"/>
              </w:rPr>
              <w:t xml:space="preserve">older </w:t>
            </w:r>
            <w:r w:rsidRPr="00230EAA">
              <w:rPr>
                <w:rFonts w:cs="Arial"/>
                <w:sz w:val="16"/>
                <w:szCs w:val="16"/>
                <w:lang w:val="en-US"/>
              </w:rPr>
              <w:t>[EU]</w:t>
            </w:r>
          </w:p>
        </w:tc>
      </w:tr>
      <w:tr w:rsidR="00497C7B" w14:paraId="04B8B370" w14:textId="77777777" w:rsidTr="003242EA">
        <w:tc>
          <w:tcPr>
            <w:tcW w:w="1360" w:type="pct"/>
            <w:gridSpan w:val="2"/>
            <w:tcMar>
              <w:top w:w="57" w:type="dxa"/>
              <w:bottom w:w="57" w:type="dxa"/>
            </w:tcMar>
          </w:tcPr>
          <w:p w14:paraId="62756873" w14:textId="3EF578C2" w:rsidR="00497C7B" w:rsidRPr="00251F54" w:rsidRDefault="00497C7B" w:rsidP="00497C7B">
            <w:pPr>
              <w:rPr>
                <w:rFonts w:cs="Arial"/>
                <w:szCs w:val="19"/>
              </w:rPr>
            </w:pPr>
            <w:r>
              <w:rPr>
                <w:rFonts w:cs="Arial"/>
                <w:szCs w:val="19"/>
              </w:rPr>
              <w:t>Insulin lispro biosimilar (</w:t>
            </w:r>
            <w:proofErr w:type="spellStart"/>
            <w:r>
              <w:rPr>
                <w:rFonts w:cs="Arial"/>
                <w:i/>
                <w:iCs/>
                <w:szCs w:val="19"/>
              </w:rPr>
              <w:t>Bysumlog</w:t>
            </w:r>
            <w:proofErr w:type="spellEnd"/>
            <w:r>
              <w:rPr>
                <w:rFonts w:cs="Arial"/>
                <w:szCs w:val="19"/>
              </w:rPr>
              <w:t>)</w:t>
            </w:r>
          </w:p>
        </w:tc>
        <w:tc>
          <w:tcPr>
            <w:tcW w:w="3640" w:type="pct"/>
            <w:tcMar>
              <w:top w:w="57" w:type="dxa"/>
              <w:bottom w:w="57" w:type="dxa"/>
            </w:tcMar>
          </w:tcPr>
          <w:p w14:paraId="4D34FC1D" w14:textId="30A3412F" w:rsidR="00497C7B" w:rsidRDefault="00786902" w:rsidP="00497C7B">
            <w:pPr>
              <w:tabs>
                <w:tab w:val="num" w:pos="720"/>
                <w:tab w:val="center" w:pos="3152"/>
              </w:tabs>
              <w:rPr>
                <w:rFonts w:cs="Arial"/>
                <w:szCs w:val="19"/>
                <w:lang w:val="en-US"/>
              </w:rPr>
            </w:pPr>
            <w:r>
              <w:rPr>
                <w:rFonts w:cs="Arial"/>
                <w:szCs w:val="19"/>
                <w:lang w:val="en-US"/>
              </w:rPr>
              <w:t>T</w:t>
            </w:r>
            <w:r w:rsidR="00497C7B" w:rsidRPr="008961E7">
              <w:rPr>
                <w:rFonts w:cs="Arial"/>
                <w:szCs w:val="19"/>
                <w:lang w:val="en-US"/>
              </w:rPr>
              <w:t>reatment of adults and children with diabetes mellitus who require insulin for the maintenance of normal glucose homeostasis</w:t>
            </w:r>
            <w:r w:rsidR="00497C7B">
              <w:rPr>
                <w:rFonts w:cs="Arial"/>
                <w:szCs w:val="19"/>
                <w:lang w:val="en-US"/>
              </w:rPr>
              <w:t xml:space="preserve">, and </w:t>
            </w:r>
            <w:r w:rsidR="00497C7B" w:rsidRPr="008961E7">
              <w:rPr>
                <w:rFonts w:cs="Arial"/>
                <w:szCs w:val="19"/>
                <w:lang w:val="en-US"/>
              </w:rPr>
              <w:t xml:space="preserve">for the initial </w:t>
            </w:r>
            <w:proofErr w:type="spellStart"/>
            <w:r w:rsidR="00497C7B" w:rsidRPr="008961E7">
              <w:rPr>
                <w:rFonts w:cs="Arial"/>
                <w:szCs w:val="19"/>
                <w:lang w:val="en-US"/>
              </w:rPr>
              <w:t>stabilisation</w:t>
            </w:r>
            <w:proofErr w:type="spellEnd"/>
            <w:r w:rsidR="00497C7B" w:rsidRPr="008961E7">
              <w:rPr>
                <w:rFonts w:cs="Arial"/>
                <w:szCs w:val="19"/>
                <w:lang w:val="en-US"/>
              </w:rPr>
              <w:t xml:space="preserve"> of diabetes mellitus</w:t>
            </w:r>
            <w:r w:rsidR="00497C7B">
              <w:rPr>
                <w:rFonts w:cs="Arial"/>
                <w:szCs w:val="19"/>
                <w:lang w:val="en-US"/>
              </w:rPr>
              <w:t xml:space="preserve"> </w:t>
            </w:r>
            <w:r w:rsidR="00497C7B" w:rsidRPr="00230EAA">
              <w:rPr>
                <w:rFonts w:cs="Arial"/>
                <w:sz w:val="16"/>
                <w:szCs w:val="16"/>
                <w:lang w:val="en-US"/>
              </w:rPr>
              <w:t>[EU]</w:t>
            </w:r>
          </w:p>
        </w:tc>
      </w:tr>
      <w:tr w:rsidR="00497C7B" w14:paraId="4A1E35DF" w14:textId="77777777" w:rsidTr="003242EA">
        <w:tc>
          <w:tcPr>
            <w:tcW w:w="1360" w:type="pct"/>
            <w:gridSpan w:val="2"/>
            <w:tcMar>
              <w:top w:w="57" w:type="dxa"/>
              <w:bottom w:w="57" w:type="dxa"/>
            </w:tcMar>
          </w:tcPr>
          <w:p w14:paraId="3CC88D6E" w14:textId="16D737B6" w:rsidR="00497C7B" w:rsidRPr="00E411E8" w:rsidRDefault="00497C7B" w:rsidP="00497C7B">
            <w:pPr>
              <w:rPr>
                <w:rFonts w:cs="Arial"/>
                <w:szCs w:val="19"/>
              </w:rPr>
            </w:pPr>
            <w:r>
              <w:rPr>
                <w:rFonts w:cs="Arial"/>
                <w:szCs w:val="19"/>
              </w:rPr>
              <w:t>Levodopa + carbidopa (</w:t>
            </w:r>
            <w:proofErr w:type="spellStart"/>
            <w:r>
              <w:rPr>
                <w:rFonts w:cs="Arial"/>
                <w:i/>
                <w:iCs/>
                <w:szCs w:val="19"/>
              </w:rPr>
              <w:t>Onerji</w:t>
            </w:r>
            <w:proofErr w:type="spellEnd"/>
            <w:r>
              <w:rPr>
                <w:rFonts w:cs="Arial"/>
                <w:szCs w:val="19"/>
              </w:rPr>
              <w:t>)</w:t>
            </w:r>
          </w:p>
        </w:tc>
        <w:tc>
          <w:tcPr>
            <w:tcW w:w="3640" w:type="pct"/>
            <w:tcMar>
              <w:top w:w="57" w:type="dxa"/>
              <w:bottom w:w="57" w:type="dxa"/>
            </w:tcMar>
          </w:tcPr>
          <w:p w14:paraId="74E68236" w14:textId="4259C6B8" w:rsidR="00497C7B" w:rsidRDefault="00497C7B" w:rsidP="00497C7B">
            <w:pPr>
              <w:tabs>
                <w:tab w:val="num" w:pos="720"/>
                <w:tab w:val="center" w:pos="3152"/>
              </w:tabs>
              <w:rPr>
                <w:rFonts w:cs="Arial"/>
                <w:szCs w:val="19"/>
                <w:lang w:val="en-US"/>
              </w:rPr>
            </w:pPr>
            <w:r w:rsidRPr="00372392">
              <w:rPr>
                <w:rFonts w:cs="Arial"/>
                <w:szCs w:val="19"/>
                <w:lang w:val="en-US"/>
              </w:rPr>
              <w:t>Treatment of motor fluctuations in patients with advanced Parkinson's disease which are not sufficiently controlled by oral anti-Parkinson medicinal products</w:t>
            </w:r>
            <w:r>
              <w:rPr>
                <w:rFonts w:cs="Arial"/>
                <w:szCs w:val="19"/>
                <w:lang w:val="en-US"/>
              </w:rPr>
              <w:t xml:space="preserve"> </w:t>
            </w:r>
            <w:r w:rsidRPr="00230EAA">
              <w:rPr>
                <w:rFonts w:cs="Arial"/>
                <w:sz w:val="16"/>
                <w:szCs w:val="16"/>
                <w:lang w:val="en-US"/>
              </w:rPr>
              <w:t>[EU]</w:t>
            </w:r>
          </w:p>
        </w:tc>
      </w:tr>
      <w:tr w:rsidR="00497C7B" w:rsidRPr="000F19E1" w14:paraId="3A3461DD" w14:textId="77777777" w:rsidTr="003242EA">
        <w:tc>
          <w:tcPr>
            <w:tcW w:w="1360" w:type="pct"/>
            <w:gridSpan w:val="2"/>
            <w:tcMar>
              <w:top w:w="0" w:type="dxa"/>
              <w:bottom w:w="0" w:type="dxa"/>
            </w:tcMar>
          </w:tcPr>
          <w:p w14:paraId="6CF41F41" w14:textId="77777777" w:rsidR="00497C7B" w:rsidRPr="000F19E1" w:rsidRDefault="00497C7B" w:rsidP="00497C7B">
            <w:pPr>
              <w:rPr>
                <w:rFonts w:cs="Arial"/>
                <w:bCs/>
                <w:sz w:val="8"/>
                <w:szCs w:val="8"/>
              </w:rPr>
            </w:pPr>
          </w:p>
        </w:tc>
        <w:tc>
          <w:tcPr>
            <w:tcW w:w="3640" w:type="pct"/>
            <w:tcMar>
              <w:top w:w="0" w:type="dxa"/>
              <w:bottom w:w="0" w:type="dxa"/>
            </w:tcMar>
          </w:tcPr>
          <w:p w14:paraId="6C6001DD" w14:textId="77777777" w:rsidR="00497C7B" w:rsidRPr="000F19E1" w:rsidRDefault="00497C7B" w:rsidP="00497C7B">
            <w:pPr>
              <w:tabs>
                <w:tab w:val="center" w:pos="3152"/>
              </w:tabs>
              <w:rPr>
                <w:rFonts w:cs="Arial"/>
                <w:sz w:val="8"/>
                <w:szCs w:val="8"/>
                <w:lang w:val="en-US"/>
              </w:rPr>
            </w:pPr>
          </w:p>
        </w:tc>
      </w:tr>
      <w:tr w:rsidR="00497C7B" w:rsidRPr="000F19E1" w14:paraId="24079197" w14:textId="77777777" w:rsidTr="00D6452A">
        <w:tc>
          <w:tcPr>
            <w:tcW w:w="1152" w:type="pct"/>
            <w:shd w:val="clear" w:color="auto" w:fill="DAEEF3"/>
            <w:tcMar>
              <w:top w:w="0" w:type="dxa"/>
              <w:bottom w:w="0" w:type="dxa"/>
            </w:tcMar>
          </w:tcPr>
          <w:p w14:paraId="069B2864" w14:textId="77777777" w:rsidR="00497C7B" w:rsidRPr="000F19E1" w:rsidRDefault="00497C7B" w:rsidP="00497C7B">
            <w:pPr>
              <w:rPr>
                <w:rFonts w:cs="Arial"/>
                <w:bCs/>
                <w:sz w:val="8"/>
                <w:szCs w:val="8"/>
              </w:rPr>
            </w:pPr>
          </w:p>
        </w:tc>
        <w:tc>
          <w:tcPr>
            <w:tcW w:w="3848" w:type="pct"/>
            <w:gridSpan w:val="2"/>
            <w:shd w:val="clear" w:color="auto" w:fill="DAEEF3"/>
            <w:tcMar>
              <w:top w:w="0" w:type="dxa"/>
              <w:bottom w:w="0" w:type="dxa"/>
            </w:tcMar>
          </w:tcPr>
          <w:p w14:paraId="09693449" w14:textId="77777777" w:rsidR="00497C7B" w:rsidRPr="000F19E1" w:rsidRDefault="00497C7B" w:rsidP="00497C7B">
            <w:pPr>
              <w:tabs>
                <w:tab w:val="center" w:pos="3152"/>
              </w:tabs>
              <w:rPr>
                <w:rFonts w:cs="Arial"/>
                <w:sz w:val="8"/>
                <w:szCs w:val="8"/>
                <w:lang w:val="en-US"/>
              </w:rPr>
            </w:pPr>
          </w:p>
        </w:tc>
      </w:tr>
    </w:tbl>
    <w:p w14:paraId="516902C1" w14:textId="77777777" w:rsidR="0048777D" w:rsidRDefault="0048777D"/>
    <w:p w14:paraId="449B8918" w14:textId="77777777" w:rsidR="0048777D" w:rsidRDefault="0048777D">
      <w:r>
        <w:br w:type="page"/>
      </w:r>
    </w:p>
    <w:p w14:paraId="1DE7358A" w14:textId="77777777" w:rsidR="0048777D" w:rsidRDefault="0048777D"/>
    <w:p w14:paraId="49FD9E1D" w14:textId="77777777" w:rsidR="00CB5BC1" w:rsidRDefault="00CB5BC1"/>
    <w:tbl>
      <w:tblPr>
        <w:tblW w:w="5170" w:type="pct"/>
        <w:tblInd w:w="-176" w:type="dxa"/>
        <w:tblLayout w:type="fixed"/>
        <w:tblLook w:val="01E0" w:firstRow="1" w:lastRow="1" w:firstColumn="1" w:lastColumn="1" w:noHBand="0" w:noVBand="0"/>
      </w:tblPr>
      <w:tblGrid>
        <w:gridCol w:w="2431"/>
        <w:gridCol w:w="439"/>
        <w:gridCol w:w="7681"/>
      </w:tblGrid>
      <w:tr w:rsidR="0021490D" w:rsidRPr="00862949" w14:paraId="34E993EB" w14:textId="77777777" w:rsidTr="00D6452A">
        <w:tc>
          <w:tcPr>
            <w:tcW w:w="5000" w:type="pct"/>
            <w:gridSpan w:val="3"/>
            <w:shd w:val="clear" w:color="auto" w:fill="0070C0"/>
            <w:tcMar>
              <w:top w:w="85" w:type="dxa"/>
              <w:bottom w:w="85" w:type="dxa"/>
            </w:tcMar>
            <w:vAlign w:val="bottom"/>
          </w:tcPr>
          <w:p w14:paraId="21A7941B" w14:textId="77777777" w:rsidR="0021490D" w:rsidRPr="00862949" w:rsidRDefault="0021490D" w:rsidP="00D6452A">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1C3A55" w:rsidRPr="000F19E1" w14:paraId="4AA6611D" w14:textId="77777777" w:rsidTr="00155BD9">
        <w:tc>
          <w:tcPr>
            <w:tcW w:w="1152" w:type="pct"/>
            <w:shd w:val="clear" w:color="auto" w:fill="DAEEF3"/>
            <w:tcMar>
              <w:top w:w="0" w:type="dxa"/>
              <w:bottom w:w="0" w:type="dxa"/>
            </w:tcMar>
          </w:tcPr>
          <w:p w14:paraId="7FDC7C7A" w14:textId="77777777" w:rsidR="001C3A55" w:rsidRPr="000F19E1" w:rsidRDefault="001C3A55" w:rsidP="00510003">
            <w:pPr>
              <w:rPr>
                <w:rFonts w:cs="Arial"/>
                <w:bCs/>
                <w:sz w:val="8"/>
                <w:szCs w:val="8"/>
              </w:rPr>
            </w:pPr>
          </w:p>
        </w:tc>
        <w:tc>
          <w:tcPr>
            <w:tcW w:w="3848" w:type="pct"/>
            <w:gridSpan w:val="2"/>
            <w:shd w:val="clear" w:color="auto" w:fill="DAEEF3"/>
            <w:tcMar>
              <w:top w:w="0" w:type="dxa"/>
              <w:bottom w:w="0" w:type="dxa"/>
            </w:tcMar>
          </w:tcPr>
          <w:p w14:paraId="48A059EB" w14:textId="77777777" w:rsidR="001C3A55" w:rsidRPr="000F19E1" w:rsidRDefault="001C3A55" w:rsidP="00510003">
            <w:pPr>
              <w:tabs>
                <w:tab w:val="center" w:pos="3152"/>
              </w:tabs>
              <w:rPr>
                <w:rFonts w:cs="Arial"/>
                <w:sz w:val="8"/>
                <w:szCs w:val="8"/>
                <w:lang w:val="en-US"/>
              </w:rPr>
            </w:pPr>
          </w:p>
        </w:tc>
      </w:tr>
      <w:tr w:rsidR="001C3A55" w:rsidRPr="00433D3E" w14:paraId="51868AB5" w14:textId="77777777" w:rsidTr="00562CE4">
        <w:tc>
          <w:tcPr>
            <w:tcW w:w="5000" w:type="pct"/>
            <w:gridSpan w:val="3"/>
            <w:shd w:val="clear" w:color="auto" w:fill="008232"/>
            <w:tcMar>
              <w:top w:w="57" w:type="dxa"/>
              <w:bottom w:w="57" w:type="dxa"/>
            </w:tcMar>
          </w:tcPr>
          <w:p w14:paraId="6BE88015" w14:textId="77777777" w:rsidR="001C3A55" w:rsidRPr="0021490D" w:rsidRDefault="001C3A55" w:rsidP="00B94311">
            <w:pPr>
              <w:rPr>
                <w:rFonts w:cs="Arial"/>
                <w:noProof/>
                <w:color w:val="FFFFFF"/>
                <w:sz w:val="16"/>
                <w:szCs w:val="16"/>
              </w:rPr>
            </w:pPr>
            <w:proofErr w:type="gramStart"/>
            <w:r>
              <w:rPr>
                <w:rFonts w:cs="Arial"/>
                <w:b/>
                <w:bCs/>
                <w:i/>
                <w:iCs/>
                <w:color w:val="FFFFFF"/>
                <w:sz w:val="22"/>
                <w:szCs w:val="20"/>
                <w:lang w:val="en-US"/>
              </w:rPr>
              <w:t>Recommended for</w:t>
            </w:r>
            <w:proofErr w:type="gramEnd"/>
            <w:r>
              <w:rPr>
                <w:rFonts w:cs="Arial"/>
                <w:b/>
                <w:bCs/>
                <w:i/>
                <w:iCs/>
                <w:color w:val="FFFFFF"/>
                <w:sz w:val="22"/>
                <w:szCs w:val="20"/>
                <w:lang w:val="en-US"/>
              </w:rPr>
              <w:t xml:space="preserve"> approval in </w:t>
            </w:r>
            <w:r w:rsidRPr="00433D3E">
              <w:rPr>
                <w:rFonts w:cs="Arial"/>
                <w:b/>
                <w:bCs/>
                <w:i/>
                <w:iCs/>
                <w:color w:val="FFFFFF"/>
                <w:sz w:val="22"/>
                <w:szCs w:val="20"/>
                <w:lang w:val="en-US"/>
              </w:rPr>
              <w:t xml:space="preserve">the </w:t>
            </w:r>
            <w:r w:rsidR="0048777D">
              <w:rPr>
                <w:rFonts w:cs="Arial"/>
                <w:b/>
                <w:bCs/>
                <w:i/>
                <w:iCs/>
                <w:color w:val="FFFFFF"/>
                <w:sz w:val="22"/>
                <w:szCs w:val="20"/>
                <w:lang w:val="en-US"/>
              </w:rPr>
              <w:t>UK</w:t>
            </w:r>
            <w:r w:rsidR="00B94311">
              <w:rPr>
                <w:rFonts w:cs="Arial"/>
                <w:b/>
                <w:bCs/>
                <w:i/>
                <w:iCs/>
                <w:color w:val="FFFFFF"/>
                <w:sz w:val="22"/>
                <w:szCs w:val="20"/>
                <w:lang w:val="en-US"/>
              </w:rPr>
              <w:t xml:space="preserve"> or </w:t>
            </w:r>
            <w:r w:rsidRPr="00433D3E">
              <w:rPr>
                <w:rFonts w:cs="Arial"/>
                <w:b/>
                <w:bCs/>
                <w:i/>
                <w:iCs/>
                <w:color w:val="FFFFFF"/>
                <w:sz w:val="22"/>
                <w:szCs w:val="20"/>
                <w:lang w:val="en-US"/>
              </w:rPr>
              <w:t>EU</w:t>
            </w:r>
            <w:r w:rsidR="0021490D">
              <w:rPr>
                <w:rFonts w:cs="Arial"/>
                <w:b/>
                <w:bCs/>
                <w:i/>
                <w:iCs/>
                <w:color w:val="FFFFFF"/>
                <w:sz w:val="22"/>
                <w:szCs w:val="20"/>
                <w:lang w:val="en-US"/>
              </w:rPr>
              <w:t xml:space="preserve"> </w:t>
            </w:r>
            <w:r w:rsidR="0021490D" w:rsidRPr="0021490D">
              <w:rPr>
                <w:rFonts w:cs="Arial"/>
                <w:b/>
                <w:bCs/>
                <w:color w:val="FFFFFF"/>
                <w:sz w:val="16"/>
                <w:szCs w:val="14"/>
                <w:lang w:val="en-US"/>
              </w:rPr>
              <w:t>(continued)</w:t>
            </w:r>
          </w:p>
        </w:tc>
      </w:tr>
      <w:tr w:rsidR="00514694" w:rsidRPr="00A075A3" w14:paraId="1481D587" w14:textId="77777777" w:rsidTr="003242EA">
        <w:tc>
          <w:tcPr>
            <w:tcW w:w="1360" w:type="pct"/>
            <w:gridSpan w:val="2"/>
            <w:tcMar>
              <w:top w:w="57" w:type="dxa"/>
              <w:bottom w:w="57" w:type="dxa"/>
            </w:tcMar>
          </w:tcPr>
          <w:p w14:paraId="202DBB1F" w14:textId="11102275" w:rsidR="00514694" w:rsidRDefault="00514694" w:rsidP="00514694">
            <w:pPr>
              <w:rPr>
                <w:rFonts w:cs="Arial"/>
                <w:szCs w:val="19"/>
              </w:rPr>
            </w:pPr>
            <w:proofErr w:type="spellStart"/>
            <w:r w:rsidRPr="00B81008">
              <w:rPr>
                <w:rFonts w:cs="Arial"/>
                <w:szCs w:val="19"/>
              </w:rPr>
              <w:t>Mavorixafor</w:t>
            </w:r>
            <w:proofErr w:type="spellEnd"/>
            <w:r w:rsidRPr="00B81008">
              <w:rPr>
                <w:rFonts w:cs="Arial"/>
                <w:szCs w:val="19"/>
              </w:rPr>
              <w:t xml:space="preserve"> (</w:t>
            </w:r>
            <w:proofErr w:type="spellStart"/>
            <w:r w:rsidRPr="00B81008">
              <w:rPr>
                <w:rFonts w:cs="Arial"/>
                <w:i/>
                <w:iCs/>
                <w:szCs w:val="19"/>
              </w:rPr>
              <w:t>Xolremdi</w:t>
            </w:r>
            <w:proofErr w:type="spellEnd"/>
            <w:r w:rsidRPr="00B81008">
              <w:rPr>
                <w:rFonts w:cs="Arial"/>
                <w:szCs w:val="19"/>
              </w:rPr>
              <w:t>)</w:t>
            </w:r>
          </w:p>
        </w:tc>
        <w:tc>
          <w:tcPr>
            <w:tcW w:w="3640" w:type="pct"/>
            <w:tcMar>
              <w:top w:w="57" w:type="dxa"/>
              <w:bottom w:w="57" w:type="dxa"/>
            </w:tcMar>
          </w:tcPr>
          <w:p w14:paraId="1570693C" w14:textId="20DC7707" w:rsidR="00514694" w:rsidRDefault="00514694" w:rsidP="00514694">
            <w:pPr>
              <w:tabs>
                <w:tab w:val="center" w:pos="3152"/>
              </w:tabs>
              <w:rPr>
                <w:rFonts w:cs="Arial"/>
                <w:szCs w:val="19"/>
                <w:lang w:val="en-US"/>
              </w:rPr>
            </w:pPr>
            <w:r>
              <w:rPr>
                <w:rFonts w:cs="Arial"/>
                <w:szCs w:val="19"/>
                <w:lang w:val="en-US"/>
              </w:rPr>
              <w:t xml:space="preserve">Use </w:t>
            </w:r>
            <w:r w:rsidRPr="000F6349">
              <w:rPr>
                <w:rFonts w:cs="Arial"/>
                <w:szCs w:val="19"/>
                <w:lang w:val="en-US"/>
              </w:rPr>
              <w:t xml:space="preserve">in patients </w:t>
            </w:r>
            <w:r>
              <w:rPr>
                <w:rFonts w:cs="Arial"/>
                <w:szCs w:val="19"/>
                <w:lang w:val="en-US"/>
              </w:rPr>
              <w:t xml:space="preserve">aged </w:t>
            </w:r>
            <w:r w:rsidRPr="000F6349">
              <w:rPr>
                <w:rFonts w:cs="Arial"/>
                <w:szCs w:val="19"/>
                <w:lang w:val="en-US"/>
              </w:rPr>
              <w:t xml:space="preserve">12 years and older for the treatment of WHIM syndrome (warts, hypogammaglobulinemia, infections and </w:t>
            </w:r>
            <w:proofErr w:type="spellStart"/>
            <w:r w:rsidRPr="000F6349">
              <w:rPr>
                <w:rFonts w:cs="Arial"/>
                <w:szCs w:val="19"/>
                <w:lang w:val="en-US"/>
              </w:rPr>
              <w:t>myelokathexis</w:t>
            </w:r>
            <w:proofErr w:type="spellEnd"/>
            <w:r w:rsidRPr="000F6349">
              <w:rPr>
                <w:rFonts w:cs="Arial"/>
                <w:szCs w:val="19"/>
                <w:lang w:val="en-US"/>
              </w:rPr>
              <w:t>) to increase the number of circulating mature neutrophils and lymphocytes</w:t>
            </w:r>
            <w:r>
              <w:rPr>
                <w:rFonts w:cs="Arial"/>
                <w:szCs w:val="19"/>
                <w:lang w:val="en-US"/>
              </w:rPr>
              <w:t xml:space="preserve"> </w:t>
            </w:r>
            <w:r w:rsidRPr="00230EAA">
              <w:rPr>
                <w:rFonts w:cs="Arial"/>
                <w:sz w:val="16"/>
                <w:szCs w:val="16"/>
                <w:lang w:val="en-US"/>
              </w:rPr>
              <w:t>[EU]</w:t>
            </w:r>
          </w:p>
        </w:tc>
      </w:tr>
      <w:tr w:rsidR="00514694" w:rsidRPr="00A075A3" w14:paraId="6ED3F8F0" w14:textId="77777777" w:rsidTr="003242EA">
        <w:tc>
          <w:tcPr>
            <w:tcW w:w="1360" w:type="pct"/>
            <w:gridSpan w:val="2"/>
            <w:tcMar>
              <w:top w:w="57" w:type="dxa"/>
              <w:bottom w:w="57" w:type="dxa"/>
            </w:tcMar>
          </w:tcPr>
          <w:p w14:paraId="53E94E65" w14:textId="44CF08F5" w:rsidR="00514694" w:rsidRDefault="00514694" w:rsidP="00514694">
            <w:pPr>
              <w:rPr>
                <w:rFonts w:cs="Arial"/>
                <w:szCs w:val="19"/>
              </w:rPr>
            </w:pPr>
            <w:proofErr w:type="spellStart"/>
            <w:r w:rsidRPr="00862061">
              <w:rPr>
                <w:rFonts w:cs="Arial"/>
                <w:szCs w:val="19"/>
              </w:rPr>
              <w:t>Paltusotine</w:t>
            </w:r>
            <w:proofErr w:type="spellEnd"/>
            <w:r w:rsidRPr="00862061">
              <w:rPr>
                <w:rFonts w:cs="Arial"/>
                <w:szCs w:val="19"/>
              </w:rPr>
              <w:t xml:space="preserve"> (</w:t>
            </w:r>
            <w:proofErr w:type="spellStart"/>
            <w:r w:rsidRPr="00862061">
              <w:rPr>
                <w:rFonts w:cs="Arial"/>
                <w:i/>
                <w:iCs/>
                <w:szCs w:val="19"/>
              </w:rPr>
              <w:t>Palsonify</w:t>
            </w:r>
            <w:proofErr w:type="spellEnd"/>
            <w:r w:rsidRPr="00862061">
              <w:rPr>
                <w:rFonts w:cs="Arial"/>
                <w:szCs w:val="19"/>
              </w:rPr>
              <w:t>)</w:t>
            </w:r>
          </w:p>
        </w:tc>
        <w:tc>
          <w:tcPr>
            <w:tcW w:w="3640" w:type="pct"/>
            <w:tcMar>
              <w:top w:w="57" w:type="dxa"/>
              <w:bottom w:w="57" w:type="dxa"/>
            </w:tcMar>
          </w:tcPr>
          <w:p w14:paraId="387154EE" w14:textId="2C8E4477" w:rsidR="00514694" w:rsidRDefault="00514694" w:rsidP="00514694">
            <w:pPr>
              <w:tabs>
                <w:tab w:val="center" w:pos="3152"/>
              </w:tabs>
              <w:rPr>
                <w:rFonts w:cs="Arial"/>
                <w:szCs w:val="19"/>
                <w:lang w:val="en-US"/>
              </w:rPr>
            </w:pPr>
            <w:r w:rsidRPr="00201A2F">
              <w:rPr>
                <w:rFonts w:cs="Arial"/>
                <w:szCs w:val="19"/>
                <w:lang w:val="en-US"/>
              </w:rPr>
              <w:t>Medical treatment of adults with acromegaly</w:t>
            </w:r>
            <w:r>
              <w:rPr>
                <w:rFonts w:cs="Arial"/>
                <w:szCs w:val="19"/>
                <w:lang w:val="en-US"/>
              </w:rPr>
              <w:t xml:space="preserve"> </w:t>
            </w:r>
            <w:r w:rsidRPr="00230EAA">
              <w:rPr>
                <w:rFonts w:cs="Arial"/>
                <w:sz w:val="16"/>
                <w:szCs w:val="16"/>
                <w:lang w:val="en-US"/>
              </w:rPr>
              <w:t>[EU]</w:t>
            </w:r>
          </w:p>
        </w:tc>
      </w:tr>
      <w:tr w:rsidR="00514694" w:rsidRPr="00A075A3" w14:paraId="0ACC6867" w14:textId="77777777" w:rsidTr="003242EA">
        <w:tc>
          <w:tcPr>
            <w:tcW w:w="1360" w:type="pct"/>
            <w:gridSpan w:val="2"/>
            <w:tcMar>
              <w:top w:w="57" w:type="dxa"/>
              <w:bottom w:w="57" w:type="dxa"/>
            </w:tcMar>
          </w:tcPr>
          <w:p w14:paraId="5BA12413" w14:textId="251F57BF" w:rsidR="00514694" w:rsidRPr="0075149A" w:rsidRDefault="00514694" w:rsidP="00514694">
            <w:pPr>
              <w:rPr>
                <w:rFonts w:cs="Arial"/>
                <w:szCs w:val="19"/>
              </w:rPr>
            </w:pPr>
            <w:r>
              <w:rPr>
                <w:rFonts w:cs="Arial"/>
                <w:szCs w:val="19"/>
              </w:rPr>
              <w:t>Pembrolizumab (</w:t>
            </w:r>
            <w:r>
              <w:rPr>
                <w:rFonts w:cs="Arial"/>
                <w:i/>
                <w:iCs/>
                <w:szCs w:val="19"/>
              </w:rPr>
              <w:t>Keytruda</w:t>
            </w:r>
            <w:r>
              <w:rPr>
                <w:rFonts w:cs="Arial"/>
                <w:szCs w:val="19"/>
              </w:rPr>
              <w:t>)</w:t>
            </w:r>
          </w:p>
        </w:tc>
        <w:tc>
          <w:tcPr>
            <w:tcW w:w="3640" w:type="pct"/>
            <w:tcMar>
              <w:top w:w="57" w:type="dxa"/>
              <w:bottom w:w="57" w:type="dxa"/>
            </w:tcMar>
          </w:tcPr>
          <w:p w14:paraId="4FF1D02F" w14:textId="5E080055" w:rsidR="00514694" w:rsidRPr="0078190B" w:rsidRDefault="00514694" w:rsidP="00514694">
            <w:pPr>
              <w:tabs>
                <w:tab w:val="center" w:pos="3152"/>
              </w:tabs>
              <w:rPr>
                <w:rFonts w:cs="Arial"/>
                <w:szCs w:val="19"/>
                <w:lang w:val="en-US"/>
              </w:rPr>
            </w:pPr>
            <w:r>
              <w:rPr>
                <w:rFonts w:cs="Arial"/>
                <w:szCs w:val="19"/>
                <w:lang w:val="en-US"/>
              </w:rPr>
              <w:t xml:space="preserve">Use </w:t>
            </w:r>
            <w:r w:rsidRPr="0075149A">
              <w:rPr>
                <w:rFonts w:cs="Arial"/>
                <w:szCs w:val="19"/>
                <w:lang w:val="en-US"/>
              </w:rPr>
              <w:t xml:space="preserve">in combination with paclitaxel, with or without bevacizumab, for the treatment of platinum resistant epithelial ovarian, fallopian tube, or primary peritoneal carcinoma in adults whose </w:t>
            </w:r>
            <w:proofErr w:type="spellStart"/>
            <w:r w:rsidRPr="0075149A">
              <w:rPr>
                <w:rFonts w:cs="Arial"/>
                <w:szCs w:val="19"/>
                <w:lang w:val="en-US"/>
              </w:rPr>
              <w:t>tumours</w:t>
            </w:r>
            <w:proofErr w:type="spellEnd"/>
            <w:r w:rsidRPr="0075149A">
              <w:rPr>
                <w:rFonts w:cs="Arial"/>
                <w:szCs w:val="19"/>
                <w:lang w:val="en-US"/>
              </w:rPr>
              <w:t xml:space="preserve"> express PDL1 with a CPS </w:t>
            </w:r>
            <w:r>
              <w:rPr>
                <w:rFonts w:cs="Arial"/>
                <w:szCs w:val="19"/>
                <w:lang w:val="en-US"/>
              </w:rPr>
              <w:t xml:space="preserve">of </w:t>
            </w:r>
            <w:r w:rsidRPr="0075149A">
              <w:rPr>
                <w:rFonts w:cs="Arial"/>
                <w:szCs w:val="19"/>
                <w:lang w:val="en-US"/>
              </w:rPr>
              <w:t xml:space="preserve">1 </w:t>
            </w:r>
            <w:r>
              <w:rPr>
                <w:rFonts w:cs="Arial"/>
                <w:szCs w:val="19"/>
                <w:lang w:val="en-US"/>
              </w:rPr>
              <w:t xml:space="preserve">or higher </w:t>
            </w:r>
            <w:r w:rsidRPr="0075149A">
              <w:rPr>
                <w:rFonts w:cs="Arial"/>
                <w:szCs w:val="19"/>
                <w:lang w:val="en-US"/>
              </w:rPr>
              <w:t>and who have received one or two prior systemic treatment regimens</w:t>
            </w:r>
            <w:r>
              <w:rPr>
                <w:rFonts w:cs="Arial"/>
                <w:szCs w:val="19"/>
                <w:lang w:val="en-US"/>
              </w:rPr>
              <w:t xml:space="preserve"> </w:t>
            </w:r>
            <w:r w:rsidRPr="0075149A">
              <w:rPr>
                <w:rFonts w:cs="Arial"/>
                <w:sz w:val="16"/>
                <w:szCs w:val="16"/>
                <w:lang w:val="en-US"/>
              </w:rPr>
              <w:t>[EU] [new indication]</w:t>
            </w:r>
          </w:p>
        </w:tc>
      </w:tr>
      <w:tr w:rsidR="00514694" w:rsidRPr="00A075A3" w14:paraId="296DD50B" w14:textId="77777777" w:rsidTr="003242EA">
        <w:tc>
          <w:tcPr>
            <w:tcW w:w="1360" w:type="pct"/>
            <w:gridSpan w:val="2"/>
            <w:tcMar>
              <w:top w:w="57" w:type="dxa"/>
              <w:bottom w:w="57" w:type="dxa"/>
            </w:tcMar>
          </w:tcPr>
          <w:p w14:paraId="1CF62939" w14:textId="14D9D2DA" w:rsidR="00514694" w:rsidRPr="00B144B4" w:rsidRDefault="00514694" w:rsidP="00514694">
            <w:pPr>
              <w:rPr>
                <w:rFonts w:cs="Arial"/>
                <w:szCs w:val="19"/>
              </w:rPr>
            </w:pPr>
            <w:r>
              <w:rPr>
                <w:rFonts w:cs="Arial"/>
                <w:szCs w:val="19"/>
              </w:rPr>
              <w:t>Pertuzumab biosimilar (</w:t>
            </w:r>
            <w:proofErr w:type="spellStart"/>
            <w:r>
              <w:rPr>
                <w:rFonts w:cs="Arial"/>
                <w:i/>
                <w:iCs/>
                <w:szCs w:val="19"/>
              </w:rPr>
              <w:t>Poherdy</w:t>
            </w:r>
            <w:proofErr w:type="spellEnd"/>
            <w:r>
              <w:rPr>
                <w:rFonts w:cs="Arial"/>
                <w:szCs w:val="19"/>
              </w:rPr>
              <w:t>)</w:t>
            </w:r>
          </w:p>
        </w:tc>
        <w:tc>
          <w:tcPr>
            <w:tcW w:w="3640" w:type="pct"/>
            <w:tcMar>
              <w:top w:w="57" w:type="dxa"/>
              <w:bottom w:w="57" w:type="dxa"/>
            </w:tcMar>
          </w:tcPr>
          <w:p w14:paraId="2A98226F" w14:textId="1277CDBD" w:rsidR="00514694" w:rsidRPr="00A075A3" w:rsidRDefault="00514694" w:rsidP="00514694">
            <w:pPr>
              <w:tabs>
                <w:tab w:val="center" w:pos="3152"/>
              </w:tabs>
              <w:rPr>
                <w:rFonts w:cs="Arial"/>
                <w:szCs w:val="19"/>
                <w:lang w:val="en-US"/>
              </w:rPr>
            </w:pPr>
            <w:r w:rsidRPr="0078190B">
              <w:rPr>
                <w:rFonts w:cs="Arial"/>
                <w:szCs w:val="19"/>
                <w:lang w:val="en-US"/>
              </w:rPr>
              <w:t>Early breast cancer</w:t>
            </w:r>
            <w:r>
              <w:rPr>
                <w:rFonts w:cs="Arial"/>
                <w:szCs w:val="19"/>
                <w:lang w:val="en-US"/>
              </w:rPr>
              <w:t xml:space="preserve">: </w:t>
            </w:r>
            <w:r w:rsidRPr="0078190B">
              <w:rPr>
                <w:rFonts w:cs="Arial"/>
                <w:szCs w:val="19"/>
                <w:lang w:val="en-US"/>
              </w:rPr>
              <w:t>use in combination with trastuzumab and chemotherapy in</w:t>
            </w:r>
            <w:r>
              <w:rPr>
                <w:rFonts w:cs="Arial"/>
                <w:szCs w:val="19"/>
                <w:lang w:val="en-US"/>
              </w:rPr>
              <w:t xml:space="preserve"> </w:t>
            </w:r>
            <w:r w:rsidRPr="0078190B">
              <w:rPr>
                <w:rFonts w:cs="Arial"/>
                <w:szCs w:val="19"/>
                <w:lang w:val="en-US"/>
              </w:rPr>
              <w:t>the neoadjuvant treatment of adults with HER2-positive, locally advanced, inflammatory, or early stage breast cancer at high risk of recurrence</w:t>
            </w:r>
            <w:r>
              <w:rPr>
                <w:rFonts w:cs="Arial"/>
                <w:szCs w:val="19"/>
                <w:lang w:val="en-US"/>
              </w:rPr>
              <w:t xml:space="preserve">, and </w:t>
            </w:r>
            <w:r w:rsidRPr="0078190B">
              <w:rPr>
                <w:rFonts w:cs="Arial"/>
                <w:szCs w:val="19"/>
                <w:lang w:val="en-US"/>
              </w:rPr>
              <w:t>the adjuvant treatment of adults with HER2-positive early breast cancer at high risk of recurrence</w:t>
            </w:r>
            <w:r>
              <w:rPr>
                <w:rFonts w:cs="Arial"/>
                <w:szCs w:val="19"/>
                <w:lang w:val="en-US"/>
              </w:rPr>
              <w:t xml:space="preserve">; </w:t>
            </w:r>
            <w:r w:rsidRPr="0078190B">
              <w:rPr>
                <w:rFonts w:cs="Arial"/>
                <w:szCs w:val="19"/>
                <w:lang w:val="en-US"/>
              </w:rPr>
              <w:t>Metastatic breast cancer</w:t>
            </w:r>
            <w:r>
              <w:rPr>
                <w:rFonts w:cs="Arial"/>
                <w:szCs w:val="19"/>
                <w:lang w:val="en-US"/>
              </w:rPr>
              <w:t>:</w:t>
            </w:r>
            <w:r w:rsidRPr="0078190B">
              <w:rPr>
                <w:rFonts w:cs="Arial"/>
                <w:szCs w:val="19"/>
                <w:lang w:val="en-US"/>
              </w:rPr>
              <w:t xml:space="preserve"> use in combination with trastuzumab and docetaxel in adults with HER2-positive metastatic or locally recurrent unresectable breast cancer, who have not received previous anti-HER2 therapy or chemotherapy for their metastatic disease</w:t>
            </w:r>
            <w:r>
              <w:rPr>
                <w:rFonts w:cs="Arial"/>
                <w:szCs w:val="19"/>
                <w:lang w:val="en-US"/>
              </w:rPr>
              <w:t xml:space="preserve"> </w:t>
            </w:r>
            <w:r w:rsidRPr="00230EAA">
              <w:rPr>
                <w:rFonts w:cs="Arial"/>
                <w:sz w:val="16"/>
                <w:szCs w:val="16"/>
                <w:lang w:val="en-US"/>
              </w:rPr>
              <w:t>[EU]</w:t>
            </w:r>
          </w:p>
        </w:tc>
      </w:tr>
      <w:tr w:rsidR="00514694" w:rsidRPr="00A075A3" w14:paraId="3FC88787" w14:textId="77777777" w:rsidTr="003242EA">
        <w:tc>
          <w:tcPr>
            <w:tcW w:w="1360" w:type="pct"/>
            <w:gridSpan w:val="2"/>
            <w:tcMar>
              <w:top w:w="57" w:type="dxa"/>
              <w:bottom w:w="57" w:type="dxa"/>
            </w:tcMar>
          </w:tcPr>
          <w:p w14:paraId="7592BCDE" w14:textId="406A79D5" w:rsidR="00514694" w:rsidRPr="00272180" w:rsidRDefault="00514694" w:rsidP="00514694">
            <w:pPr>
              <w:rPr>
                <w:rFonts w:cs="Arial"/>
                <w:szCs w:val="19"/>
              </w:rPr>
            </w:pPr>
            <w:r>
              <w:rPr>
                <w:rFonts w:cs="Arial"/>
                <w:szCs w:val="19"/>
              </w:rPr>
              <w:t>Ranibizumab biosimilar (</w:t>
            </w:r>
            <w:proofErr w:type="spellStart"/>
            <w:r>
              <w:rPr>
                <w:rFonts w:cs="Arial"/>
                <w:i/>
                <w:iCs/>
                <w:szCs w:val="19"/>
              </w:rPr>
              <w:t>Byooviz</w:t>
            </w:r>
            <w:proofErr w:type="spellEnd"/>
            <w:r>
              <w:rPr>
                <w:rFonts w:cs="Arial"/>
                <w:szCs w:val="19"/>
              </w:rPr>
              <w:t>)</w:t>
            </w:r>
          </w:p>
        </w:tc>
        <w:tc>
          <w:tcPr>
            <w:tcW w:w="3640" w:type="pct"/>
            <w:tcMar>
              <w:top w:w="57" w:type="dxa"/>
              <w:bottom w:w="57" w:type="dxa"/>
            </w:tcMar>
          </w:tcPr>
          <w:p w14:paraId="1964817E" w14:textId="0518DE39" w:rsidR="00514694" w:rsidRDefault="00514694" w:rsidP="00514694">
            <w:pPr>
              <w:tabs>
                <w:tab w:val="num" w:pos="720"/>
                <w:tab w:val="center" w:pos="3152"/>
              </w:tabs>
              <w:rPr>
                <w:rFonts w:cs="Arial"/>
                <w:szCs w:val="19"/>
                <w:lang w:val="en-US"/>
              </w:rPr>
            </w:pPr>
            <w:r>
              <w:rPr>
                <w:rFonts w:cs="Arial"/>
                <w:szCs w:val="19"/>
                <w:lang w:val="en-US"/>
              </w:rPr>
              <w:t xml:space="preserve">Use </w:t>
            </w:r>
            <w:r w:rsidRPr="006A33A8">
              <w:rPr>
                <w:rFonts w:cs="Arial"/>
                <w:szCs w:val="19"/>
                <w:lang w:val="en-US"/>
              </w:rPr>
              <w:t>in adults for treatment of neovascular (wet) age-related macular degeneration, treatment of visual impairment due to diabetic macular oedema, treatment of proliferative diabetic retinopathy, treatment of visual impairment due to macular oedema secondary to retinal vein occlusion (branch RVO or central RVO) and treatment of visual impairment due to choroida</w:t>
            </w:r>
            <w:r w:rsidRPr="004033EA">
              <w:rPr>
                <w:rFonts w:cs="Arial"/>
                <w:szCs w:val="19"/>
                <w:lang w:val="en-US"/>
              </w:rPr>
              <w:t xml:space="preserve">l </w:t>
            </w:r>
            <w:proofErr w:type="spellStart"/>
            <w:r w:rsidRPr="004033EA">
              <w:rPr>
                <w:rFonts w:cs="Arial"/>
                <w:szCs w:val="19"/>
                <w:lang w:val="en-US"/>
              </w:rPr>
              <w:t>neovasculari</w:t>
            </w:r>
            <w:r w:rsidR="00190A2E">
              <w:rPr>
                <w:rFonts w:cs="Arial"/>
                <w:szCs w:val="19"/>
                <w:lang w:val="en-US"/>
              </w:rPr>
              <w:t>s</w:t>
            </w:r>
            <w:r w:rsidRPr="004033EA">
              <w:rPr>
                <w:rFonts w:cs="Arial"/>
                <w:szCs w:val="19"/>
                <w:lang w:val="en-US"/>
              </w:rPr>
              <w:t>ation</w:t>
            </w:r>
            <w:proofErr w:type="spellEnd"/>
            <w:r w:rsidRPr="004033EA">
              <w:rPr>
                <w:rFonts w:cs="Arial"/>
                <w:szCs w:val="19"/>
                <w:lang w:val="en-US"/>
              </w:rPr>
              <w:t xml:space="preserve"> </w:t>
            </w:r>
            <w:r w:rsidRPr="00F92355">
              <w:rPr>
                <w:rFonts w:cs="Arial"/>
                <w:sz w:val="16"/>
                <w:szCs w:val="16"/>
                <w:lang w:val="en-US"/>
              </w:rPr>
              <w:t>[EU] [new prefilled syringe formulation]</w:t>
            </w:r>
          </w:p>
        </w:tc>
      </w:tr>
      <w:tr w:rsidR="00514694" w14:paraId="01C27071" w14:textId="77777777" w:rsidTr="003242EA">
        <w:tc>
          <w:tcPr>
            <w:tcW w:w="1360" w:type="pct"/>
            <w:gridSpan w:val="2"/>
            <w:tcMar>
              <w:top w:w="57" w:type="dxa"/>
              <w:bottom w:w="57" w:type="dxa"/>
            </w:tcMar>
          </w:tcPr>
          <w:p w14:paraId="0B042E32" w14:textId="3998C8D4" w:rsidR="00514694" w:rsidRPr="006276AF" w:rsidRDefault="00514694" w:rsidP="00514694">
            <w:pPr>
              <w:rPr>
                <w:rFonts w:cs="Arial"/>
                <w:szCs w:val="19"/>
              </w:rPr>
            </w:pPr>
            <w:proofErr w:type="spellStart"/>
            <w:r w:rsidRPr="00272C8C">
              <w:rPr>
                <w:rFonts w:cs="Arial"/>
                <w:szCs w:val="19"/>
              </w:rPr>
              <w:t>Remibrutinib</w:t>
            </w:r>
            <w:proofErr w:type="spellEnd"/>
            <w:r w:rsidRPr="00272C8C">
              <w:rPr>
                <w:rFonts w:cs="Arial"/>
                <w:szCs w:val="19"/>
              </w:rPr>
              <w:t xml:space="preserve"> (</w:t>
            </w:r>
            <w:proofErr w:type="spellStart"/>
            <w:r w:rsidRPr="00272C8C">
              <w:rPr>
                <w:rFonts w:cs="Arial"/>
                <w:i/>
                <w:iCs/>
                <w:szCs w:val="19"/>
              </w:rPr>
              <w:t>Rhapsido</w:t>
            </w:r>
            <w:proofErr w:type="spellEnd"/>
            <w:r w:rsidRPr="00272C8C">
              <w:rPr>
                <w:rFonts w:cs="Arial"/>
                <w:szCs w:val="19"/>
              </w:rPr>
              <w:t>)</w:t>
            </w:r>
          </w:p>
        </w:tc>
        <w:tc>
          <w:tcPr>
            <w:tcW w:w="3640" w:type="pct"/>
            <w:tcMar>
              <w:top w:w="57" w:type="dxa"/>
              <w:bottom w:w="57" w:type="dxa"/>
            </w:tcMar>
          </w:tcPr>
          <w:p w14:paraId="3A6CFA13" w14:textId="27EC273A" w:rsidR="00514694" w:rsidRDefault="00514694" w:rsidP="00514694">
            <w:pPr>
              <w:tabs>
                <w:tab w:val="center" w:pos="3152"/>
              </w:tabs>
              <w:rPr>
                <w:rFonts w:cs="Arial"/>
                <w:szCs w:val="19"/>
                <w:lang w:val="en-US"/>
              </w:rPr>
            </w:pPr>
            <w:r w:rsidRPr="001D06AE">
              <w:rPr>
                <w:rFonts w:cs="Arial"/>
                <w:szCs w:val="19"/>
                <w:lang w:val="en-US"/>
              </w:rPr>
              <w:t>Treatment of chronic spontaneous urticaria in adults with inadequate response to H1 antihistamine treatment</w:t>
            </w:r>
            <w:r>
              <w:rPr>
                <w:rFonts w:cs="Arial"/>
                <w:szCs w:val="19"/>
                <w:lang w:val="en-US"/>
              </w:rPr>
              <w:t xml:space="preserve"> </w:t>
            </w:r>
            <w:r w:rsidRPr="00F92355">
              <w:rPr>
                <w:rFonts w:cs="Arial"/>
                <w:sz w:val="16"/>
                <w:szCs w:val="16"/>
                <w:lang w:val="en-US"/>
              </w:rPr>
              <w:t>[EU]</w:t>
            </w:r>
          </w:p>
        </w:tc>
      </w:tr>
      <w:tr w:rsidR="00514694" w:rsidRPr="00A075A3" w14:paraId="15FED5F2" w14:textId="77777777" w:rsidTr="003242EA">
        <w:tc>
          <w:tcPr>
            <w:tcW w:w="1360" w:type="pct"/>
            <w:gridSpan w:val="2"/>
            <w:tcMar>
              <w:top w:w="57" w:type="dxa"/>
              <w:bottom w:w="57" w:type="dxa"/>
            </w:tcMar>
          </w:tcPr>
          <w:p w14:paraId="4B57D794" w14:textId="2238366A" w:rsidR="00514694" w:rsidRPr="00265F3B" w:rsidRDefault="00514694" w:rsidP="00514694">
            <w:pPr>
              <w:rPr>
                <w:rFonts w:cs="Arial"/>
                <w:i/>
                <w:iCs/>
                <w:szCs w:val="19"/>
              </w:rPr>
            </w:pPr>
            <w:r w:rsidRPr="00A54DDA">
              <w:rPr>
                <w:rFonts w:cs="Arial"/>
                <w:color w:val="000000" w:themeColor="text1"/>
                <w:szCs w:val="19"/>
              </w:rPr>
              <w:t>Teriparatide biosimilar (</w:t>
            </w:r>
            <w:proofErr w:type="spellStart"/>
            <w:r w:rsidRPr="00A54DDA">
              <w:rPr>
                <w:rFonts w:cs="Arial"/>
                <w:i/>
                <w:iCs/>
                <w:color w:val="000000" w:themeColor="text1"/>
                <w:szCs w:val="19"/>
              </w:rPr>
              <w:t>Zandoriah</w:t>
            </w:r>
            <w:proofErr w:type="spellEnd"/>
            <w:r w:rsidRPr="00A54DDA">
              <w:rPr>
                <w:rFonts w:cs="Arial"/>
                <w:color w:val="000000" w:themeColor="text1"/>
                <w:szCs w:val="19"/>
              </w:rPr>
              <w:t>)</w:t>
            </w:r>
          </w:p>
        </w:tc>
        <w:tc>
          <w:tcPr>
            <w:tcW w:w="3640" w:type="pct"/>
            <w:tcMar>
              <w:top w:w="57" w:type="dxa"/>
              <w:bottom w:w="57" w:type="dxa"/>
            </w:tcMar>
          </w:tcPr>
          <w:p w14:paraId="03F62BE6" w14:textId="792437A4" w:rsidR="00514694" w:rsidRPr="00D07630" w:rsidRDefault="00514694" w:rsidP="00514694">
            <w:pPr>
              <w:tabs>
                <w:tab w:val="num" w:pos="720"/>
                <w:tab w:val="center" w:pos="3152"/>
              </w:tabs>
              <w:rPr>
                <w:rFonts w:cs="Arial"/>
                <w:szCs w:val="19"/>
                <w:lang w:val="en-US"/>
              </w:rPr>
            </w:pPr>
            <w:r>
              <w:rPr>
                <w:rFonts w:cs="Arial"/>
                <w:szCs w:val="19"/>
                <w:lang w:val="en-US"/>
              </w:rPr>
              <w:t>T</w:t>
            </w:r>
            <w:r w:rsidRPr="002A76AB">
              <w:rPr>
                <w:rFonts w:cs="Arial"/>
                <w:szCs w:val="19"/>
                <w:lang w:val="en-US"/>
              </w:rPr>
              <w:t>reatment of osteoporosis in postmenopausal women and in men at increased risk of fracture</w:t>
            </w:r>
            <w:r>
              <w:rPr>
                <w:rFonts w:cs="Arial"/>
                <w:szCs w:val="19"/>
                <w:lang w:val="en-US"/>
              </w:rPr>
              <w:t>,</w:t>
            </w:r>
            <w:r w:rsidRPr="002A76AB">
              <w:rPr>
                <w:rFonts w:cs="Arial"/>
                <w:szCs w:val="19"/>
                <w:lang w:val="en-US"/>
              </w:rPr>
              <w:t xml:space="preserve"> </w:t>
            </w:r>
            <w:r>
              <w:rPr>
                <w:rFonts w:cs="Arial"/>
                <w:szCs w:val="19"/>
                <w:lang w:val="en-US"/>
              </w:rPr>
              <w:t>and t</w:t>
            </w:r>
            <w:r w:rsidRPr="002A76AB">
              <w:rPr>
                <w:rFonts w:cs="Arial"/>
                <w:szCs w:val="19"/>
                <w:lang w:val="en-US"/>
              </w:rPr>
              <w:t>reatment of osteoporosis associated with sustained systemic glucocorticoid therapy in women and men at increased risk for fracture</w:t>
            </w:r>
            <w:r>
              <w:rPr>
                <w:rFonts w:cs="Arial"/>
                <w:szCs w:val="19"/>
                <w:lang w:val="en-US"/>
              </w:rPr>
              <w:t xml:space="preserve"> </w:t>
            </w:r>
            <w:r w:rsidRPr="00F92355">
              <w:rPr>
                <w:rFonts w:cs="Arial"/>
                <w:sz w:val="16"/>
                <w:szCs w:val="16"/>
                <w:lang w:val="en-US"/>
              </w:rPr>
              <w:t>[EU]</w:t>
            </w:r>
          </w:p>
        </w:tc>
      </w:tr>
      <w:tr w:rsidR="00514694" w:rsidRPr="00A075A3" w14:paraId="2D437214" w14:textId="77777777" w:rsidTr="003242EA">
        <w:tc>
          <w:tcPr>
            <w:tcW w:w="1360" w:type="pct"/>
            <w:gridSpan w:val="2"/>
            <w:tcMar>
              <w:top w:w="57" w:type="dxa"/>
              <w:bottom w:w="57" w:type="dxa"/>
            </w:tcMar>
          </w:tcPr>
          <w:p w14:paraId="5428FBA6" w14:textId="4474AFD6" w:rsidR="00514694" w:rsidRPr="00525F86" w:rsidRDefault="00514694" w:rsidP="00514694">
            <w:pPr>
              <w:rPr>
                <w:rFonts w:cs="Arial"/>
                <w:szCs w:val="19"/>
              </w:rPr>
            </w:pPr>
            <w:r>
              <w:rPr>
                <w:rFonts w:cs="Arial"/>
                <w:szCs w:val="19"/>
              </w:rPr>
              <w:t>Tocilizumab biosimilar (</w:t>
            </w:r>
            <w:proofErr w:type="spellStart"/>
            <w:r>
              <w:rPr>
                <w:rFonts w:cs="Arial"/>
                <w:i/>
                <w:iCs/>
                <w:szCs w:val="19"/>
              </w:rPr>
              <w:t>Tuyory</w:t>
            </w:r>
            <w:proofErr w:type="spellEnd"/>
            <w:r>
              <w:rPr>
                <w:rFonts w:cs="Arial"/>
                <w:szCs w:val="19"/>
              </w:rPr>
              <w:t>)</w:t>
            </w:r>
          </w:p>
        </w:tc>
        <w:tc>
          <w:tcPr>
            <w:tcW w:w="3640" w:type="pct"/>
            <w:tcMar>
              <w:top w:w="57" w:type="dxa"/>
              <w:bottom w:w="57" w:type="dxa"/>
            </w:tcMar>
          </w:tcPr>
          <w:p w14:paraId="434AF26F" w14:textId="6B8CE265" w:rsidR="00514694" w:rsidRPr="006D66A8" w:rsidRDefault="00514694" w:rsidP="00514694">
            <w:pPr>
              <w:tabs>
                <w:tab w:val="num" w:pos="720"/>
                <w:tab w:val="center" w:pos="3152"/>
              </w:tabs>
              <w:rPr>
                <w:rFonts w:cs="Arial"/>
                <w:szCs w:val="19"/>
                <w:highlight w:val="yellow"/>
                <w:lang w:val="en-US"/>
              </w:rPr>
            </w:pPr>
            <w:r w:rsidRPr="00331C06">
              <w:rPr>
                <w:rFonts w:cs="Arial"/>
                <w:szCs w:val="19"/>
                <w:lang w:val="en-US"/>
              </w:rPr>
              <w:t>Rheumatoid arthritis (RA): use in combination with methotrexate (MTX), for the treatment of severe, active and progressive RA in adults not previously treated with MTX, and the treatment of moderate to severe active RA in adults who have either responded inadequately to, or who were intolerant to, previous therapy with one or more disease</w:t>
            </w:r>
            <w:r w:rsidRPr="00331C06">
              <w:rPr>
                <w:rFonts w:ascii="Cambria Math" w:hAnsi="Cambria Math" w:cs="Cambria Math"/>
                <w:szCs w:val="19"/>
                <w:lang w:val="en-US"/>
              </w:rPr>
              <w:t>‑</w:t>
            </w:r>
            <w:r w:rsidRPr="00331C06">
              <w:rPr>
                <w:rFonts w:cs="Arial"/>
                <w:szCs w:val="19"/>
                <w:lang w:val="en-US"/>
              </w:rPr>
              <w:t xml:space="preserve">modifying anti-rheumatic drugs or tumour necrosis factor antagonists (can be given as </w:t>
            </w:r>
            <w:r w:rsidRPr="00637837">
              <w:rPr>
                <w:rFonts w:cs="Arial"/>
                <w:szCs w:val="19"/>
                <w:lang w:val="en-US"/>
              </w:rPr>
              <w:t>monotherapy in case of intolerance to MTX or where continued treatment with MTX is inappropriate); Coronavirus disease 2019 (COVID-19): treatment of COVID-19 in adults who are receiving systemic corticosteroids and require supplemental oxygen or mechanical ventilation; Systemic</w:t>
            </w:r>
            <w:r w:rsidRPr="00D34D3C">
              <w:rPr>
                <w:rFonts w:cs="Arial"/>
                <w:szCs w:val="19"/>
                <w:lang w:val="en-US"/>
              </w:rPr>
              <w:t xml:space="preserve"> juvenile idiopathic arthritis (</w:t>
            </w:r>
            <w:proofErr w:type="spellStart"/>
            <w:r w:rsidRPr="00D34D3C">
              <w:rPr>
                <w:rFonts w:cs="Arial"/>
                <w:szCs w:val="19"/>
                <w:lang w:val="en-US"/>
              </w:rPr>
              <w:t>sJIA</w:t>
            </w:r>
            <w:proofErr w:type="spellEnd"/>
            <w:r w:rsidRPr="00D34D3C">
              <w:rPr>
                <w:rFonts w:cs="Arial"/>
                <w:szCs w:val="19"/>
                <w:lang w:val="en-US"/>
              </w:rPr>
              <w:t xml:space="preserve">): treatment of active </w:t>
            </w:r>
            <w:proofErr w:type="spellStart"/>
            <w:r w:rsidRPr="00D34D3C">
              <w:rPr>
                <w:rFonts w:cs="Arial"/>
                <w:szCs w:val="19"/>
                <w:lang w:val="en-US"/>
              </w:rPr>
              <w:t>sJIA</w:t>
            </w:r>
            <w:proofErr w:type="spellEnd"/>
            <w:r w:rsidRPr="00D34D3C">
              <w:rPr>
                <w:rFonts w:cs="Arial"/>
                <w:szCs w:val="19"/>
                <w:lang w:val="en-US"/>
              </w:rPr>
              <w:t xml:space="preserve"> in patients aged 2 years and older, who have responded inadequately to previous therapy with non-steroidal anti-inflammatory drugs and systemic corticosteroids (can be given as monotherapy in case of intolerance to MTX or where treatment with MTX is inappropriate, or in combination with MTX); </w:t>
            </w:r>
            <w:r w:rsidRPr="00D82524">
              <w:rPr>
                <w:rFonts w:cs="Arial"/>
                <w:szCs w:val="19"/>
                <w:lang w:val="en-US"/>
              </w:rPr>
              <w:t>Polyarticular juvenile idiopathic arthritis (</w:t>
            </w:r>
            <w:proofErr w:type="spellStart"/>
            <w:r w:rsidRPr="00D82524">
              <w:rPr>
                <w:rFonts w:cs="Arial"/>
                <w:szCs w:val="19"/>
                <w:lang w:val="en-US"/>
              </w:rPr>
              <w:t>pJIA</w:t>
            </w:r>
            <w:proofErr w:type="spellEnd"/>
            <w:r w:rsidRPr="00D82524">
              <w:rPr>
                <w:rFonts w:cs="Arial"/>
                <w:szCs w:val="19"/>
                <w:lang w:val="en-US"/>
              </w:rPr>
              <w:t xml:space="preserve">); use in combination with MTX for the treatment of </w:t>
            </w:r>
            <w:proofErr w:type="spellStart"/>
            <w:r w:rsidRPr="00D82524">
              <w:rPr>
                <w:rFonts w:cs="Arial"/>
                <w:szCs w:val="19"/>
                <w:lang w:val="en-US"/>
              </w:rPr>
              <w:t>pJIA</w:t>
            </w:r>
            <w:proofErr w:type="spellEnd"/>
            <w:r w:rsidRPr="00D82524">
              <w:rPr>
                <w:rFonts w:cs="Arial"/>
                <w:szCs w:val="19"/>
                <w:lang w:val="en-US"/>
              </w:rPr>
              <w:t xml:space="preserve"> (rheumatoid factor positive or negative and extended oligoarthritis) in patients aged 2 years and older, who have </w:t>
            </w:r>
            <w:r w:rsidRPr="00466156">
              <w:rPr>
                <w:rFonts w:cs="Arial"/>
                <w:szCs w:val="19"/>
                <w:lang w:val="en-US"/>
              </w:rPr>
              <w:t xml:space="preserve">responded inadequately to previous therapy with MTX (can be given as monotherapy in case of intolerance to MTX or where continued treatment with MTX is inappropriate); Cytokine release syndrome (CRS): treatment of chimeric antigen receptor (CAR) T cell-induced severe or life-threatening CRS in adults and paediatric patients aged 2 years and older </w:t>
            </w:r>
            <w:r w:rsidRPr="00466156">
              <w:rPr>
                <w:rFonts w:cs="Arial"/>
                <w:sz w:val="16"/>
                <w:szCs w:val="16"/>
                <w:lang w:val="en-US"/>
              </w:rPr>
              <w:t>[EU] [vial formulation]</w:t>
            </w:r>
          </w:p>
        </w:tc>
      </w:tr>
      <w:tr w:rsidR="00514694" w:rsidRPr="000F19E1" w14:paraId="7FF364BE" w14:textId="77777777" w:rsidTr="003242EA">
        <w:tc>
          <w:tcPr>
            <w:tcW w:w="1360" w:type="pct"/>
            <w:gridSpan w:val="2"/>
            <w:tcMar>
              <w:top w:w="0" w:type="dxa"/>
              <w:bottom w:w="0" w:type="dxa"/>
            </w:tcMar>
          </w:tcPr>
          <w:p w14:paraId="60AD3D7E" w14:textId="77777777" w:rsidR="00514694" w:rsidRPr="000F19E1" w:rsidRDefault="00514694" w:rsidP="00514694">
            <w:pPr>
              <w:rPr>
                <w:rFonts w:cs="Arial"/>
                <w:bCs/>
                <w:sz w:val="8"/>
                <w:szCs w:val="8"/>
              </w:rPr>
            </w:pPr>
          </w:p>
        </w:tc>
        <w:tc>
          <w:tcPr>
            <w:tcW w:w="3640" w:type="pct"/>
            <w:tcMar>
              <w:top w:w="0" w:type="dxa"/>
              <w:bottom w:w="0" w:type="dxa"/>
            </w:tcMar>
          </w:tcPr>
          <w:p w14:paraId="711CFBC3" w14:textId="77777777" w:rsidR="00514694" w:rsidRPr="006D66A8" w:rsidRDefault="00514694" w:rsidP="00514694">
            <w:pPr>
              <w:tabs>
                <w:tab w:val="center" w:pos="3152"/>
              </w:tabs>
              <w:rPr>
                <w:rFonts w:cs="Arial"/>
                <w:sz w:val="8"/>
                <w:szCs w:val="8"/>
                <w:highlight w:val="yellow"/>
                <w:lang w:val="en-US"/>
              </w:rPr>
            </w:pPr>
          </w:p>
        </w:tc>
      </w:tr>
      <w:tr w:rsidR="00514694" w:rsidRPr="000F19E1" w14:paraId="21735CA8" w14:textId="77777777" w:rsidTr="00155BD9">
        <w:tc>
          <w:tcPr>
            <w:tcW w:w="1152" w:type="pct"/>
            <w:shd w:val="clear" w:color="auto" w:fill="DAEEF3"/>
            <w:tcMar>
              <w:top w:w="0" w:type="dxa"/>
              <w:bottom w:w="0" w:type="dxa"/>
            </w:tcMar>
          </w:tcPr>
          <w:p w14:paraId="376CC56F" w14:textId="77777777" w:rsidR="00514694" w:rsidRPr="000F19E1" w:rsidRDefault="00514694" w:rsidP="00514694">
            <w:pPr>
              <w:rPr>
                <w:rFonts w:cs="Arial"/>
                <w:bCs/>
                <w:sz w:val="8"/>
                <w:szCs w:val="8"/>
              </w:rPr>
            </w:pPr>
          </w:p>
        </w:tc>
        <w:tc>
          <w:tcPr>
            <w:tcW w:w="3848" w:type="pct"/>
            <w:gridSpan w:val="2"/>
            <w:shd w:val="clear" w:color="auto" w:fill="DAEEF3"/>
            <w:tcMar>
              <w:top w:w="0" w:type="dxa"/>
              <w:bottom w:w="0" w:type="dxa"/>
            </w:tcMar>
          </w:tcPr>
          <w:p w14:paraId="62DF0944" w14:textId="77777777" w:rsidR="00514694" w:rsidRPr="006D66A8" w:rsidRDefault="00514694" w:rsidP="00514694">
            <w:pPr>
              <w:tabs>
                <w:tab w:val="center" w:pos="3152"/>
              </w:tabs>
              <w:rPr>
                <w:rFonts w:cs="Arial"/>
                <w:sz w:val="8"/>
                <w:szCs w:val="8"/>
                <w:highlight w:val="yellow"/>
                <w:lang w:val="en-US"/>
              </w:rPr>
            </w:pPr>
          </w:p>
        </w:tc>
      </w:tr>
    </w:tbl>
    <w:p w14:paraId="5A1F91F5" w14:textId="77777777" w:rsidR="008E718D" w:rsidRDefault="008E718D">
      <w:r>
        <w:br w:type="page"/>
      </w:r>
    </w:p>
    <w:p w14:paraId="6A0B852F" w14:textId="77777777" w:rsidR="001A42CE" w:rsidRDefault="001A42CE">
      <w:pPr>
        <w:rPr>
          <w:sz w:val="18"/>
        </w:rPr>
      </w:pPr>
    </w:p>
    <w:p w14:paraId="43EA6634" w14:textId="77777777" w:rsidR="006825BB" w:rsidRDefault="006825BB" w:rsidP="003D16EF">
      <w:pPr>
        <w:rPr>
          <w:sz w:val="8"/>
          <w:szCs w:val="8"/>
        </w:rPr>
      </w:pPr>
    </w:p>
    <w:p w14:paraId="23E5513F" w14:textId="77777777" w:rsidR="006B12CF" w:rsidRDefault="006B12CF" w:rsidP="003D16EF">
      <w:pPr>
        <w:rPr>
          <w:sz w:val="8"/>
          <w:szCs w:val="8"/>
        </w:rPr>
      </w:pPr>
    </w:p>
    <w:tbl>
      <w:tblPr>
        <w:tblW w:w="5170" w:type="pct"/>
        <w:tblInd w:w="-176" w:type="dxa"/>
        <w:tblLayout w:type="fixed"/>
        <w:tblLook w:val="01E0" w:firstRow="1" w:lastRow="1" w:firstColumn="1" w:lastColumn="1" w:noHBand="0" w:noVBand="0"/>
      </w:tblPr>
      <w:tblGrid>
        <w:gridCol w:w="2431"/>
        <w:gridCol w:w="439"/>
        <w:gridCol w:w="7681"/>
      </w:tblGrid>
      <w:tr w:rsidR="006B12CF" w:rsidRPr="00862949" w14:paraId="081A876A" w14:textId="77777777" w:rsidTr="00390FEB">
        <w:tc>
          <w:tcPr>
            <w:tcW w:w="5000" w:type="pct"/>
            <w:gridSpan w:val="3"/>
            <w:shd w:val="clear" w:color="auto" w:fill="0070C0"/>
            <w:tcMar>
              <w:top w:w="85" w:type="dxa"/>
              <w:bottom w:w="85" w:type="dxa"/>
            </w:tcMar>
            <w:vAlign w:val="bottom"/>
          </w:tcPr>
          <w:p w14:paraId="1C8A7E43" w14:textId="77777777" w:rsidR="006B12CF" w:rsidRPr="00862949" w:rsidRDefault="006B12CF" w:rsidP="00390FEB">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6B12CF" w:rsidRPr="000F19E1" w14:paraId="453F207D" w14:textId="77777777" w:rsidTr="00390FEB">
        <w:tc>
          <w:tcPr>
            <w:tcW w:w="1152" w:type="pct"/>
            <w:shd w:val="clear" w:color="auto" w:fill="DAEEF3"/>
            <w:tcMar>
              <w:top w:w="0" w:type="dxa"/>
              <w:bottom w:w="0" w:type="dxa"/>
            </w:tcMar>
          </w:tcPr>
          <w:p w14:paraId="7CC9B463" w14:textId="77777777" w:rsidR="006B12CF" w:rsidRPr="000F19E1" w:rsidRDefault="006B12CF" w:rsidP="00390FEB">
            <w:pPr>
              <w:rPr>
                <w:rFonts w:cs="Arial"/>
                <w:bCs/>
                <w:sz w:val="8"/>
                <w:szCs w:val="8"/>
              </w:rPr>
            </w:pPr>
          </w:p>
        </w:tc>
        <w:tc>
          <w:tcPr>
            <w:tcW w:w="3848" w:type="pct"/>
            <w:gridSpan w:val="2"/>
            <w:shd w:val="clear" w:color="auto" w:fill="DAEEF3"/>
            <w:tcMar>
              <w:top w:w="0" w:type="dxa"/>
              <w:bottom w:w="0" w:type="dxa"/>
            </w:tcMar>
          </w:tcPr>
          <w:p w14:paraId="611A33B9" w14:textId="77777777" w:rsidR="006B12CF" w:rsidRPr="000F19E1" w:rsidRDefault="006B12CF" w:rsidP="00390FEB">
            <w:pPr>
              <w:tabs>
                <w:tab w:val="center" w:pos="3152"/>
              </w:tabs>
              <w:rPr>
                <w:rFonts w:cs="Arial"/>
                <w:sz w:val="8"/>
                <w:szCs w:val="8"/>
                <w:lang w:val="en-US"/>
              </w:rPr>
            </w:pPr>
          </w:p>
        </w:tc>
      </w:tr>
      <w:tr w:rsidR="006B12CF" w:rsidRPr="00433D3E" w14:paraId="01366EE6" w14:textId="77777777" w:rsidTr="00390FEB">
        <w:tc>
          <w:tcPr>
            <w:tcW w:w="5000" w:type="pct"/>
            <w:gridSpan w:val="3"/>
            <w:shd w:val="clear" w:color="auto" w:fill="008232"/>
            <w:tcMar>
              <w:top w:w="57" w:type="dxa"/>
              <w:bottom w:w="57" w:type="dxa"/>
            </w:tcMar>
          </w:tcPr>
          <w:p w14:paraId="21CE44E9" w14:textId="77777777" w:rsidR="006B12CF" w:rsidRPr="0021490D" w:rsidRDefault="006B12CF" w:rsidP="00390FEB">
            <w:pPr>
              <w:rPr>
                <w:rFonts w:cs="Arial"/>
                <w:noProof/>
                <w:color w:val="FFFFFF"/>
                <w:sz w:val="16"/>
                <w:szCs w:val="16"/>
              </w:rPr>
            </w:pPr>
            <w:proofErr w:type="gramStart"/>
            <w:r>
              <w:rPr>
                <w:rFonts w:cs="Arial"/>
                <w:b/>
                <w:bCs/>
                <w:i/>
                <w:iCs/>
                <w:color w:val="FFFFFF"/>
                <w:sz w:val="22"/>
                <w:szCs w:val="20"/>
                <w:lang w:val="en-US"/>
              </w:rPr>
              <w:t>Recommended for</w:t>
            </w:r>
            <w:proofErr w:type="gramEnd"/>
            <w:r>
              <w:rPr>
                <w:rFonts w:cs="Arial"/>
                <w:b/>
                <w:bCs/>
                <w:i/>
                <w:iCs/>
                <w:color w:val="FFFFFF"/>
                <w:sz w:val="22"/>
                <w:szCs w:val="20"/>
                <w:lang w:val="en-US"/>
              </w:rPr>
              <w:t xml:space="preserve"> approval in </w:t>
            </w:r>
            <w:r w:rsidRPr="00433D3E">
              <w:rPr>
                <w:rFonts w:cs="Arial"/>
                <w:b/>
                <w:bCs/>
                <w:i/>
                <w:iCs/>
                <w:color w:val="FFFFFF"/>
                <w:sz w:val="22"/>
                <w:szCs w:val="20"/>
                <w:lang w:val="en-US"/>
              </w:rPr>
              <w:t xml:space="preserve">the </w:t>
            </w:r>
            <w:r>
              <w:rPr>
                <w:rFonts w:cs="Arial"/>
                <w:b/>
                <w:bCs/>
                <w:i/>
                <w:iCs/>
                <w:color w:val="FFFFFF"/>
                <w:sz w:val="22"/>
                <w:szCs w:val="20"/>
                <w:lang w:val="en-US"/>
              </w:rPr>
              <w:t xml:space="preserve">UK or </w:t>
            </w:r>
            <w:r w:rsidRPr="00433D3E">
              <w:rPr>
                <w:rFonts w:cs="Arial"/>
                <w:b/>
                <w:bCs/>
                <w:i/>
                <w:iCs/>
                <w:color w:val="FFFFFF"/>
                <w:sz w:val="22"/>
                <w:szCs w:val="20"/>
                <w:lang w:val="en-US"/>
              </w:rPr>
              <w:t>EU</w:t>
            </w:r>
            <w:r>
              <w:rPr>
                <w:rFonts w:cs="Arial"/>
                <w:b/>
                <w:bCs/>
                <w:i/>
                <w:iCs/>
                <w:color w:val="FFFFFF"/>
                <w:sz w:val="22"/>
                <w:szCs w:val="20"/>
                <w:lang w:val="en-US"/>
              </w:rPr>
              <w:t xml:space="preserve"> </w:t>
            </w:r>
            <w:r w:rsidRPr="0021490D">
              <w:rPr>
                <w:rFonts w:cs="Arial"/>
                <w:b/>
                <w:bCs/>
                <w:color w:val="FFFFFF"/>
                <w:sz w:val="16"/>
                <w:szCs w:val="14"/>
                <w:lang w:val="en-US"/>
              </w:rPr>
              <w:t>(continued)</w:t>
            </w:r>
          </w:p>
        </w:tc>
      </w:tr>
      <w:tr w:rsidR="006B12CF" w:rsidRPr="00A075A3" w14:paraId="7BFBBCC9" w14:textId="77777777" w:rsidTr="00390FEB">
        <w:tc>
          <w:tcPr>
            <w:tcW w:w="1360" w:type="pct"/>
            <w:gridSpan w:val="2"/>
            <w:tcMar>
              <w:top w:w="57" w:type="dxa"/>
              <w:bottom w:w="57" w:type="dxa"/>
            </w:tcMar>
          </w:tcPr>
          <w:p w14:paraId="71CB349A" w14:textId="77777777" w:rsidR="006B12CF" w:rsidRPr="00F209E9" w:rsidRDefault="006B12CF" w:rsidP="00390FEB">
            <w:pPr>
              <w:rPr>
                <w:rFonts w:cs="Arial"/>
                <w:szCs w:val="19"/>
              </w:rPr>
            </w:pPr>
            <w:r>
              <w:rPr>
                <w:rFonts w:cs="Arial"/>
                <w:szCs w:val="19"/>
              </w:rPr>
              <w:t>Tocilizumab biosimilar (</w:t>
            </w:r>
            <w:proofErr w:type="spellStart"/>
            <w:r>
              <w:rPr>
                <w:rFonts w:cs="Arial"/>
                <w:i/>
                <w:iCs/>
                <w:szCs w:val="19"/>
              </w:rPr>
              <w:t>Tuyory</w:t>
            </w:r>
            <w:proofErr w:type="spellEnd"/>
            <w:r>
              <w:rPr>
                <w:rFonts w:cs="Arial"/>
                <w:szCs w:val="19"/>
              </w:rPr>
              <w:t>)</w:t>
            </w:r>
          </w:p>
        </w:tc>
        <w:tc>
          <w:tcPr>
            <w:tcW w:w="3640" w:type="pct"/>
            <w:tcMar>
              <w:top w:w="57" w:type="dxa"/>
              <w:bottom w:w="57" w:type="dxa"/>
            </w:tcMar>
          </w:tcPr>
          <w:p w14:paraId="1BADF77A" w14:textId="77777777" w:rsidR="006B12CF" w:rsidRPr="00A4316A" w:rsidRDefault="006B12CF" w:rsidP="00390FEB">
            <w:pPr>
              <w:tabs>
                <w:tab w:val="num" w:pos="720"/>
                <w:tab w:val="center" w:pos="3152"/>
              </w:tabs>
              <w:rPr>
                <w:rFonts w:cs="Arial"/>
                <w:szCs w:val="19"/>
                <w:highlight w:val="yellow"/>
                <w:lang w:val="en-US"/>
              </w:rPr>
            </w:pPr>
            <w:r w:rsidRPr="00875D54">
              <w:rPr>
                <w:rFonts w:cs="Arial"/>
                <w:szCs w:val="19"/>
                <w:lang w:val="en-US"/>
              </w:rPr>
              <w:t>Rheumatoid arthritis (RA): use in combination with methotrexate (MTX), for the treatment of severe, active and progressive RA in adults not previously treated with MTX, and the treatment of moderate to severe active RA in adults who have either responded inadequately to, or who were intolerant to, previous therapy with one or more disease</w:t>
            </w:r>
            <w:r w:rsidRPr="00875D54">
              <w:rPr>
                <w:rFonts w:ascii="Cambria Math" w:hAnsi="Cambria Math" w:cs="Cambria Math"/>
                <w:szCs w:val="19"/>
                <w:lang w:val="en-US"/>
              </w:rPr>
              <w:t>‑</w:t>
            </w:r>
            <w:r w:rsidRPr="00875D54">
              <w:rPr>
                <w:rFonts w:cs="Arial"/>
                <w:szCs w:val="19"/>
                <w:lang w:val="en-US"/>
              </w:rPr>
              <w:t>modifying anti-rheumatic drugs or tumour necrosis factor antagonists (can be given as monotherapy in case of intolerance to MTX or where continued treatment with MTX is inappropriate); Systemic juvenile idiopathic arthritis (</w:t>
            </w:r>
            <w:proofErr w:type="spellStart"/>
            <w:r w:rsidRPr="00875D54">
              <w:rPr>
                <w:rFonts w:cs="Arial"/>
                <w:szCs w:val="19"/>
                <w:lang w:val="en-US"/>
              </w:rPr>
              <w:t>sJIA</w:t>
            </w:r>
            <w:proofErr w:type="spellEnd"/>
            <w:r w:rsidRPr="00875D54">
              <w:rPr>
                <w:rFonts w:cs="Arial"/>
                <w:szCs w:val="19"/>
                <w:lang w:val="en-US"/>
              </w:rPr>
              <w:t xml:space="preserve">): treatment of active </w:t>
            </w:r>
            <w:proofErr w:type="spellStart"/>
            <w:r w:rsidRPr="00875D54">
              <w:rPr>
                <w:rFonts w:cs="Arial"/>
                <w:szCs w:val="19"/>
                <w:lang w:val="en-US"/>
              </w:rPr>
              <w:t>sJIA</w:t>
            </w:r>
            <w:proofErr w:type="spellEnd"/>
            <w:r w:rsidRPr="00875D54">
              <w:rPr>
                <w:rFonts w:cs="Arial"/>
                <w:szCs w:val="19"/>
                <w:lang w:val="en-US"/>
              </w:rPr>
              <w:t xml:space="preserve"> in patients aged 1 year and older, who have responded inadequately to previous therapy with non-steroidal anti-inflammatory drugs and systemic corticosteroids (can be given as monotherapy in case of intolerance to MTX or where treatment with MTX is inappropriate, or in combination with MTX); Polyarticular juvenile idiopathic arthritis (</w:t>
            </w:r>
            <w:proofErr w:type="spellStart"/>
            <w:r w:rsidRPr="00875D54">
              <w:rPr>
                <w:rFonts w:cs="Arial"/>
                <w:szCs w:val="19"/>
                <w:lang w:val="en-US"/>
              </w:rPr>
              <w:t>pJIA</w:t>
            </w:r>
            <w:proofErr w:type="spellEnd"/>
            <w:r w:rsidRPr="00875D54">
              <w:rPr>
                <w:rFonts w:cs="Arial"/>
                <w:szCs w:val="19"/>
                <w:lang w:val="en-US"/>
              </w:rPr>
              <w:t xml:space="preserve">); use in combination with MTX for the treatment of </w:t>
            </w:r>
            <w:proofErr w:type="spellStart"/>
            <w:r w:rsidRPr="00875D54">
              <w:rPr>
                <w:rFonts w:cs="Arial"/>
                <w:szCs w:val="19"/>
                <w:lang w:val="en-US"/>
              </w:rPr>
              <w:t>pJIA</w:t>
            </w:r>
            <w:proofErr w:type="spellEnd"/>
            <w:r w:rsidRPr="00875D54">
              <w:rPr>
                <w:rFonts w:cs="Arial"/>
                <w:szCs w:val="19"/>
                <w:lang w:val="en-US"/>
              </w:rPr>
              <w:t xml:space="preserve"> (rheumatoid factor positive or negative and extended oligoarthritis) in patients aged 2 years and older, who have responded inadequately to previous therapy with MTX (can be given as monotherapy in case of intolerance to MTX or where continued treatment with MTX is inappropriate); Giant cell arteritis (GCA): treatment of GCA in adults </w:t>
            </w:r>
            <w:r w:rsidRPr="00875D54">
              <w:rPr>
                <w:rFonts w:cs="Arial"/>
                <w:sz w:val="16"/>
                <w:szCs w:val="16"/>
                <w:lang w:val="en-US"/>
              </w:rPr>
              <w:t>[EU] [prefilled syringe formulation]</w:t>
            </w:r>
          </w:p>
        </w:tc>
      </w:tr>
      <w:tr w:rsidR="006B12CF" w:rsidRPr="00A075A3" w14:paraId="2AE9FD8C" w14:textId="77777777" w:rsidTr="00390FEB">
        <w:tc>
          <w:tcPr>
            <w:tcW w:w="1360" w:type="pct"/>
            <w:gridSpan w:val="2"/>
            <w:tcMar>
              <w:top w:w="57" w:type="dxa"/>
              <w:bottom w:w="57" w:type="dxa"/>
            </w:tcMar>
          </w:tcPr>
          <w:p w14:paraId="03867770" w14:textId="77777777" w:rsidR="006B12CF" w:rsidRPr="00F209E9" w:rsidRDefault="006B12CF" w:rsidP="00390FEB">
            <w:pPr>
              <w:rPr>
                <w:rFonts w:cs="Arial"/>
                <w:szCs w:val="19"/>
              </w:rPr>
            </w:pPr>
            <w:r>
              <w:rPr>
                <w:rFonts w:cs="Arial"/>
                <w:szCs w:val="19"/>
              </w:rPr>
              <w:t>Tocilizumab biosimilar (</w:t>
            </w:r>
            <w:proofErr w:type="spellStart"/>
            <w:r>
              <w:rPr>
                <w:rFonts w:cs="Arial"/>
                <w:i/>
                <w:iCs/>
                <w:szCs w:val="19"/>
              </w:rPr>
              <w:t>Tuyory</w:t>
            </w:r>
            <w:proofErr w:type="spellEnd"/>
            <w:r>
              <w:rPr>
                <w:rFonts w:cs="Arial"/>
                <w:szCs w:val="19"/>
              </w:rPr>
              <w:t>)</w:t>
            </w:r>
          </w:p>
        </w:tc>
        <w:tc>
          <w:tcPr>
            <w:tcW w:w="3640" w:type="pct"/>
            <w:tcMar>
              <w:top w:w="57" w:type="dxa"/>
              <w:bottom w:w="57" w:type="dxa"/>
            </w:tcMar>
          </w:tcPr>
          <w:p w14:paraId="58A0C673" w14:textId="77777777" w:rsidR="006B12CF" w:rsidRDefault="006B12CF" w:rsidP="00390FEB">
            <w:pPr>
              <w:tabs>
                <w:tab w:val="num" w:pos="720"/>
                <w:tab w:val="center" w:pos="3152"/>
              </w:tabs>
              <w:rPr>
                <w:rFonts w:cs="Arial"/>
                <w:szCs w:val="19"/>
                <w:lang w:val="en-US"/>
              </w:rPr>
            </w:pPr>
            <w:r w:rsidRPr="00D07630">
              <w:rPr>
                <w:rFonts w:cs="Arial"/>
                <w:szCs w:val="19"/>
                <w:lang w:val="en-US"/>
              </w:rPr>
              <w:t>Rheumatoid arthritis (RA)</w:t>
            </w:r>
            <w:r>
              <w:rPr>
                <w:rFonts w:cs="Arial"/>
                <w:szCs w:val="19"/>
                <w:lang w:val="en-US"/>
              </w:rPr>
              <w:t>: use</w:t>
            </w:r>
            <w:r w:rsidRPr="00D07630">
              <w:rPr>
                <w:rFonts w:cs="Arial"/>
                <w:szCs w:val="19"/>
                <w:lang w:val="en-US"/>
              </w:rPr>
              <w:t xml:space="preserve"> in combination with methotrexate (MTX), for</w:t>
            </w:r>
            <w:r>
              <w:rPr>
                <w:rFonts w:cs="Arial"/>
                <w:szCs w:val="19"/>
                <w:lang w:val="en-US"/>
              </w:rPr>
              <w:t xml:space="preserve"> </w:t>
            </w:r>
            <w:r w:rsidRPr="00D07630">
              <w:rPr>
                <w:rFonts w:cs="Arial"/>
                <w:szCs w:val="19"/>
                <w:lang w:val="en-US"/>
              </w:rPr>
              <w:t>the treatment of severe, active and progressive RA in adults not previously treated with MTX</w:t>
            </w:r>
            <w:r>
              <w:rPr>
                <w:rFonts w:cs="Arial"/>
                <w:szCs w:val="19"/>
                <w:lang w:val="en-US"/>
              </w:rPr>
              <w:t xml:space="preserve">, and </w:t>
            </w:r>
            <w:r w:rsidRPr="00D07630">
              <w:rPr>
                <w:rFonts w:cs="Arial"/>
                <w:szCs w:val="19"/>
                <w:lang w:val="en-US"/>
              </w:rPr>
              <w:t>the treatment of moderate to severe active RA in adults who have either responded inadequately to, or who were intolerant to, previous therapy with one or more disease-modifying anti-rheumatic drugs or tumour necrosis factor antagonists</w:t>
            </w:r>
            <w:r>
              <w:rPr>
                <w:rFonts w:cs="Arial"/>
                <w:szCs w:val="19"/>
                <w:lang w:val="en-US"/>
              </w:rPr>
              <w:t xml:space="preserve"> (</w:t>
            </w:r>
            <w:r w:rsidRPr="00D07630">
              <w:rPr>
                <w:rFonts w:cs="Arial"/>
                <w:szCs w:val="19"/>
                <w:lang w:val="en-US"/>
              </w:rPr>
              <w:t>can be given as monotherapy in case of intolerance to MTX or where continued treatment with MTX is inappropriate</w:t>
            </w:r>
            <w:r>
              <w:rPr>
                <w:rFonts w:cs="Arial"/>
                <w:szCs w:val="19"/>
                <w:lang w:val="en-US"/>
              </w:rPr>
              <w:t xml:space="preserve">); </w:t>
            </w:r>
            <w:r w:rsidRPr="00D07630">
              <w:rPr>
                <w:rFonts w:cs="Arial"/>
                <w:szCs w:val="19"/>
                <w:lang w:val="en-US"/>
              </w:rPr>
              <w:t>Systemic juvenile idiopathic arthritis (</w:t>
            </w:r>
            <w:proofErr w:type="spellStart"/>
            <w:r w:rsidRPr="00D07630">
              <w:rPr>
                <w:rFonts w:cs="Arial"/>
                <w:szCs w:val="19"/>
                <w:lang w:val="en-US"/>
              </w:rPr>
              <w:t>sJIA</w:t>
            </w:r>
            <w:proofErr w:type="spellEnd"/>
            <w:r w:rsidRPr="00D07630">
              <w:rPr>
                <w:rFonts w:cs="Arial"/>
                <w:szCs w:val="19"/>
                <w:lang w:val="en-US"/>
              </w:rPr>
              <w:t>)</w:t>
            </w:r>
            <w:r>
              <w:rPr>
                <w:rFonts w:cs="Arial"/>
                <w:szCs w:val="19"/>
                <w:lang w:val="en-US"/>
              </w:rPr>
              <w:t xml:space="preserve">: </w:t>
            </w:r>
            <w:r w:rsidRPr="00D07630">
              <w:rPr>
                <w:rFonts w:cs="Arial"/>
                <w:szCs w:val="19"/>
                <w:lang w:val="en-US"/>
              </w:rPr>
              <w:t xml:space="preserve">treatment of active </w:t>
            </w:r>
            <w:proofErr w:type="spellStart"/>
            <w:r w:rsidRPr="00D07630">
              <w:rPr>
                <w:rFonts w:cs="Arial"/>
                <w:szCs w:val="19"/>
                <w:lang w:val="en-US"/>
              </w:rPr>
              <w:t>sJIA</w:t>
            </w:r>
            <w:proofErr w:type="spellEnd"/>
            <w:r w:rsidRPr="00D07630">
              <w:rPr>
                <w:rFonts w:cs="Arial"/>
                <w:szCs w:val="19"/>
                <w:lang w:val="en-US"/>
              </w:rPr>
              <w:t xml:space="preserve"> in patients </w:t>
            </w:r>
            <w:r>
              <w:rPr>
                <w:rFonts w:cs="Arial"/>
                <w:szCs w:val="19"/>
                <w:lang w:val="en-US"/>
              </w:rPr>
              <w:t xml:space="preserve">aged </w:t>
            </w:r>
            <w:r w:rsidRPr="00D07630">
              <w:rPr>
                <w:rFonts w:cs="Arial"/>
                <w:szCs w:val="19"/>
                <w:lang w:val="en-US"/>
              </w:rPr>
              <w:t>12 years and older, who have responded inadequately to previous therapy with non-steroidal anti-inflammatory drugs and systemic corticosteroids</w:t>
            </w:r>
            <w:r>
              <w:rPr>
                <w:rFonts w:cs="Arial"/>
                <w:szCs w:val="19"/>
                <w:lang w:val="en-US"/>
              </w:rPr>
              <w:t xml:space="preserve"> (</w:t>
            </w:r>
            <w:r w:rsidRPr="00D07630">
              <w:rPr>
                <w:rFonts w:cs="Arial"/>
                <w:szCs w:val="19"/>
                <w:lang w:val="en-US"/>
              </w:rPr>
              <w:t>can be given as monotherapy in case of intolerance to MTX or where treatment with MTX is inappropriate</w:t>
            </w:r>
            <w:r>
              <w:rPr>
                <w:rFonts w:cs="Arial"/>
                <w:szCs w:val="19"/>
                <w:lang w:val="en-US"/>
              </w:rPr>
              <w:t xml:space="preserve">, </w:t>
            </w:r>
            <w:r w:rsidRPr="00D07630">
              <w:rPr>
                <w:rFonts w:cs="Arial"/>
                <w:szCs w:val="19"/>
                <w:lang w:val="en-US"/>
              </w:rPr>
              <w:t>or in combination with MTX</w:t>
            </w:r>
            <w:r>
              <w:rPr>
                <w:rFonts w:cs="Arial"/>
                <w:szCs w:val="19"/>
                <w:lang w:val="en-US"/>
              </w:rPr>
              <w:t xml:space="preserve">); </w:t>
            </w:r>
            <w:r w:rsidRPr="00D07630">
              <w:rPr>
                <w:rFonts w:cs="Arial"/>
                <w:szCs w:val="19"/>
                <w:lang w:val="en-US"/>
              </w:rPr>
              <w:t>Polyarticular juvenile idiopathic arthritis (</w:t>
            </w:r>
            <w:proofErr w:type="spellStart"/>
            <w:r w:rsidRPr="00D07630">
              <w:rPr>
                <w:rFonts w:cs="Arial"/>
                <w:szCs w:val="19"/>
                <w:lang w:val="en-US"/>
              </w:rPr>
              <w:t>pJIA</w:t>
            </w:r>
            <w:proofErr w:type="spellEnd"/>
            <w:r w:rsidRPr="00D07630">
              <w:rPr>
                <w:rFonts w:cs="Arial"/>
                <w:szCs w:val="19"/>
                <w:lang w:val="en-US"/>
              </w:rPr>
              <w:t>)</w:t>
            </w:r>
            <w:r>
              <w:rPr>
                <w:rFonts w:cs="Arial"/>
                <w:szCs w:val="19"/>
                <w:lang w:val="en-US"/>
              </w:rPr>
              <w:t>: use</w:t>
            </w:r>
            <w:r w:rsidRPr="00D07630">
              <w:rPr>
                <w:rFonts w:cs="Arial"/>
                <w:szCs w:val="19"/>
                <w:lang w:val="en-US"/>
              </w:rPr>
              <w:t xml:space="preserve"> in combination with MTX</w:t>
            </w:r>
            <w:r>
              <w:rPr>
                <w:rFonts w:cs="Arial"/>
                <w:szCs w:val="19"/>
                <w:lang w:val="en-US"/>
              </w:rPr>
              <w:t xml:space="preserve"> f</w:t>
            </w:r>
            <w:r w:rsidRPr="00D07630">
              <w:rPr>
                <w:rFonts w:cs="Arial"/>
                <w:szCs w:val="19"/>
                <w:lang w:val="en-US"/>
              </w:rPr>
              <w:t xml:space="preserve">or the treatment of </w:t>
            </w:r>
            <w:proofErr w:type="spellStart"/>
            <w:r w:rsidRPr="00D07630">
              <w:rPr>
                <w:rFonts w:cs="Arial"/>
                <w:szCs w:val="19"/>
                <w:lang w:val="en-US"/>
              </w:rPr>
              <w:t>pJIA</w:t>
            </w:r>
            <w:proofErr w:type="spellEnd"/>
            <w:r w:rsidRPr="00D07630">
              <w:rPr>
                <w:rFonts w:cs="Arial"/>
                <w:szCs w:val="19"/>
                <w:lang w:val="en-US"/>
              </w:rPr>
              <w:t xml:space="preserve"> (rheumatoid factor positive or negative and extended oligoarthritis) in patients </w:t>
            </w:r>
            <w:r>
              <w:rPr>
                <w:rFonts w:cs="Arial"/>
                <w:szCs w:val="19"/>
                <w:lang w:val="en-US"/>
              </w:rPr>
              <w:t xml:space="preserve">aged </w:t>
            </w:r>
            <w:r w:rsidRPr="00D07630">
              <w:rPr>
                <w:rFonts w:cs="Arial"/>
                <w:szCs w:val="19"/>
                <w:lang w:val="en-US"/>
              </w:rPr>
              <w:t>12 years and older, who have responded inadequately to previous therapy with MTX</w:t>
            </w:r>
            <w:r>
              <w:rPr>
                <w:rFonts w:cs="Arial"/>
                <w:szCs w:val="19"/>
                <w:lang w:val="en-US"/>
              </w:rPr>
              <w:t xml:space="preserve"> (</w:t>
            </w:r>
            <w:r w:rsidRPr="00D07630">
              <w:rPr>
                <w:rFonts w:cs="Arial"/>
                <w:szCs w:val="19"/>
                <w:lang w:val="en-US"/>
              </w:rPr>
              <w:t>can be given as monotherapy in case of intolerance to MTX or where continued treatment with MTX is inappropriate</w:t>
            </w:r>
            <w:r>
              <w:rPr>
                <w:rFonts w:cs="Arial"/>
                <w:szCs w:val="19"/>
                <w:lang w:val="en-US"/>
              </w:rPr>
              <w:t xml:space="preserve">); </w:t>
            </w:r>
            <w:r w:rsidRPr="00D07630">
              <w:rPr>
                <w:rFonts w:cs="Arial"/>
                <w:szCs w:val="19"/>
                <w:lang w:val="en-US"/>
              </w:rPr>
              <w:t>Giant cell arteritis (GCA)</w:t>
            </w:r>
            <w:r>
              <w:rPr>
                <w:rFonts w:cs="Arial"/>
                <w:szCs w:val="19"/>
                <w:lang w:val="en-US"/>
              </w:rPr>
              <w:t xml:space="preserve">: </w:t>
            </w:r>
            <w:r w:rsidRPr="00D07630">
              <w:rPr>
                <w:rFonts w:cs="Arial"/>
                <w:szCs w:val="19"/>
                <w:lang w:val="en-US"/>
              </w:rPr>
              <w:t>treatment of GCA in adults</w:t>
            </w:r>
            <w:r>
              <w:rPr>
                <w:rFonts w:cs="Arial"/>
                <w:szCs w:val="19"/>
                <w:lang w:val="en-US"/>
              </w:rPr>
              <w:t xml:space="preserve"> </w:t>
            </w:r>
            <w:r w:rsidRPr="006D2CAA">
              <w:rPr>
                <w:rFonts w:cs="Arial"/>
                <w:sz w:val="16"/>
                <w:szCs w:val="16"/>
                <w:lang w:val="en-US"/>
              </w:rPr>
              <w:t>[EU] [</w:t>
            </w:r>
            <w:r>
              <w:rPr>
                <w:rFonts w:cs="Arial"/>
                <w:sz w:val="16"/>
                <w:szCs w:val="16"/>
                <w:lang w:val="en-US"/>
              </w:rPr>
              <w:t>prefilled pen</w:t>
            </w:r>
            <w:r w:rsidRPr="006D2CAA">
              <w:rPr>
                <w:rFonts w:cs="Arial"/>
                <w:sz w:val="16"/>
                <w:szCs w:val="16"/>
                <w:lang w:val="en-US"/>
              </w:rPr>
              <w:t xml:space="preserve"> formulation]</w:t>
            </w:r>
          </w:p>
        </w:tc>
      </w:tr>
      <w:tr w:rsidR="006B12CF" w:rsidRPr="00A075A3" w14:paraId="57A75D43" w14:textId="77777777" w:rsidTr="00390FEB">
        <w:tc>
          <w:tcPr>
            <w:tcW w:w="1360" w:type="pct"/>
            <w:gridSpan w:val="2"/>
            <w:tcMar>
              <w:top w:w="57" w:type="dxa"/>
              <w:bottom w:w="57" w:type="dxa"/>
            </w:tcMar>
          </w:tcPr>
          <w:p w14:paraId="6DB0C08B" w14:textId="77777777" w:rsidR="006B12CF" w:rsidRPr="00B75D12" w:rsidRDefault="006B12CF" w:rsidP="00390FEB">
            <w:pPr>
              <w:rPr>
                <w:rFonts w:cs="Arial"/>
                <w:szCs w:val="19"/>
              </w:rPr>
            </w:pPr>
            <w:proofErr w:type="spellStart"/>
            <w:r w:rsidRPr="00F209E9">
              <w:rPr>
                <w:rFonts w:cs="Arial"/>
                <w:szCs w:val="19"/>
              </w:rPr>
              <w:t>Tovorafenib</w:t>
            </w:r>
            <w:proofErr w:type="spellEnd"/>
            <w:r w:rsidRPr="00F209E9">
              <w:rPr>
                <w:rFonts w:cs="Arial"/>
                <w:szCs w:val="19"/>
              </w:rPr>
              <w:t xml:space="preserve"> (</w:t>
            </w:r>
            <w:proofErr w:type="spellStart"/>
            <w:r w:rsidRPr="00F209E9">
              <w:rPr>
                <w:rFonts w:cs="Arial"/>
                <w:i/>
                <w:iCs/>
                <w:szCs w:val="19"/>
              </w:rPr>
              <w:t>Ojemda</w:t>
            </w:r>
            <w:proofErr w:type="spellEnd"/>
            <w:r w:rsidRPr="00F209E9">
              <w:rPr>
                <w:rFonts w:cs="Arial"/>
                <w:szCs w:val="19"/>
              </w:rPr>
              <w:t>)</w:t>
            </w:r>
          </w:p>
        </w:tc>
        <w:tc>
          <w:tcPr>
            <w:tcW w:w="3640" w:type="pct"/>
            <w:tcMar>
              <w:top w:w="57" w:type="dxa"/>
              <w:bottom w:w="57" w:type="dxa"/>
            </w:tcMar>
          </w:tcPr>
          <w:p w14:paraId="30D788C9" w14:textId="77777777" w:rsidR="006B12CF" w:rsidRDefault="006B12CF" w:rsidP="00390FEB">
            <w:pPr>
              <w:tabs>
                <w:tab w:val="num" w:pos="720"/>
                <w:tab w:val="center" w:pos="3152"/>
              </w:tabs>
              <w:rPr>
                <w:rFonts w:cs="Arial"/>
                <w:szCs w:val="19"/>
                <w:lang w:val="en-US"/>
              </w:rPr>
            </w:pPr>
            <w:r>
              <w:rPr>
                <w:rFonts w:cs="Arial"/>
                <w:szCs w:val="19"/>
                <w:lang w:val="en-US"/>
              </w:rPr>
              <w:t xml:space="preserve">Use </w:t>
            </w:r>
            <w:r w:rsidRPr="004033EA">
              <w:rPr>
                <w:rFonts w:cs="Arial"/>
                <w:szCs w:val="19"/>
                <w:lang w:val="en-US"/>
              </w:rPr>
              <w:t xml:space="preserve">as monotherapy for the treatment of patients </w:t>
            </w:r>
            <w:r>
              <w:rPr>
                <w:rFonts w:cs="Arial"/>
                <w:szCs w:val="19"/>
                <w:lang w:val="en-US"/>
              </w:rPr>
              <w:t xml:space="preserve">aged </w:t>
            </w:r>
            <w:r w:rsidRPr="004033EA">
              <w:rPr>
                <w:rFonts w:cs="Arial"/>
                <w:szCs w:val="19"/>
                <w:lang w:val="en-US"/>
              </w:rPr>
              <w:t xml:space="preserve">6 months and older with </w:t>
            </w:r>
            <w:proofErr w:type="spellStart"/>
            <w:r w:rsidRPr="004033EA">
              <w:rPr>
                <w:rFonts w:cs="Arial"/>
                <w:szCs w:val="19"/>
                <w:lang w:val="en-US"/>
              </w:rPr>
              <w:t>paediatric</w:t>
            </w:r>
            <w:proofErr w:type="spellEnd"/>
            <w:r w:rsidRPr="004033EA">
              <w:rPr>
                <w:rFonts w:cs="Arial"/>
                <w:szCs w:val="19"/>
                <w:lang w:val="en-US"/>
              </w:rPr>
              <w:t xml:space="preserve"> low</w:t>
            </w:r>
            <w:r w:rsidRPr="004033EA">
              <w:rPr>
                <w:rFonts w:ascii="Cambria Math" w:hAnsi="Cambria Math" w:cs="Cambria Math"/>
                <w:szCs w:val="19"/>
                <w:lang w:val="en-US"/>
              </w:rPr>
              <w:t>‑</w:t>
            </w:r>
            <w:r w:rsidRPr="004033EA">
              <w:rPr>
                <w:rFonts w:cs="Arial"/>
                <w:szCs w:val="19"/>
                <w:lang w:val="en-US"/>
              </w:rPr>
              <w:t xml:space="preserve">grade glioma </w:t>
            </w:r>
            <w:proofErr w:type="spellStart"/>
            <w:r w:rsidRPr="004033EA">
              <w:rPr>
                <w:rFonts w:cs="Arial"/>
                <w:szCs w:val="19"/>
                <w:lang w:val="en-US"/>
              </w:rPr>
              <w:t>harbouring</w:t>
            </w:r>
            <w:proofErr w:type="spellEnd"/>
            <w:r w:rsidRPr="004033EA">
              <w:rPr>
                <w:rFonts w:cs="Arial"/>
                <w:szCs w:val="19"/>
                <w:lang w:val="en-US"/>
              </w:rPr>
              <w:t xml:space="preserve"> a BRAF fusion or rearrangement, or BRAF V600 mutation, who have progressed after one or more prior systemic therapies</w:t>
            </w:r>
            <w:r>
              <w:rPr>
                <w:rFonts w:cs="Arial"/>
                <w:szCs w:val="19"/>
                <w:lang w:val="en-US"/>
              </w:rPr>
              <w:t xml:space="preserve"> </w:t>
            </w:r>
            <w:r w:rsidRPr="00F92355">
              <w:rPr>
                <w:rFonts w:cs="Arial"/>
                <w:sz w:val="16"/>
                <w:szCs w:val="16"/>
                <w:lang w:val="en-US"/>
              </w:rPr>
              <w:t>[EU]</w:t>
            </w:r>
          </w:p>
        </w:tc>
      </w:tr>
      <w:tr w:rsidR="006B12CF" w:rsidRPr="00A075A3" w14:paraId="734A8498" w14:textId="77777777" w:rsidTr="00390FEB">
        <w:tc>
          <w:tcPr>
            <w:tcW w:w="1360" w:type="pct"/>
            <w:gridSpan w:val="2"/>
            <w:tcMar>
              <w:top w:w="57" w:type="dxa"/>
              <w:bottom w:w="57" w:type="dxa"/>
            </w:tcMar>
          </w:tcPr>
          <w:p w14:paraId="4AB1AFCD" w14:textId="77777777" w:rsidR="006B12CF" w:rsidRPr="002B2AA4" w:rsidRDefault="006B12CF" w:rsidP="00390FEB">
            <w:pPr>
              <w:rPr>
                <w:rFonts w:cs="Arial"/>
                <w:szCs w:val="19"/>
              </w:rPr>
            </w:pPr>
            <w:r>
              <w:rPr>
                <w:rFonts w:cs="Arial"/>
                <w:szCs w:val="19"/>
              </w:rPr>
              <w:t>Ustekinumab (</w:t>
            </w:r>
            <w:r>
              <w:rPr>
                <w:rFonts w:cs="Arial"/>
                <w:i/>
                <w:iCs/>
                <w:szCs w:val="19"/>
              </w:rPr>
              <w:t>Stelara</w:t>
            </w:r>
            <w:r>
              <w:rPr>
                <w:rFonts w:cs="Arial"/>
                <w:szCs w:val="19"/>
              </w:rPr>
              <w:t>)</w:t>
            </w:r>
          </w:p>
        </w:tc>
        <w:tc>
          <w:tcPr>
            <w:tcW w:w="3640" w:type="pct"/>
            <w:tcMar>
              <w:top w:w="57" w:type="dxa"/>
              <w:bottom w:w="57" w:type="dxa"/>
            </w:tcMar>
          </w:tcPr>
          <w:p w14:paraId="1DB22ADC" w14:textId="77777777" w:rsidR="006B12CF" w:rsidRDefault="006B12CF" w:rsidP="00390FEB">
            <w:pPr>
              <w:tabs>
                <w:tab w:val="num" w:pos="720"/>
                <w:tab w:val="center" w:pos="3152"/>
              </w:tabs>
              <w:rPr>
                <w:rFonts w:cs="Arial"/>
                <w:sz w:val="16"/>
                <w:szCs w:val="16"/>
                <w:lang w:val="en-US"/>
              </w:rPr>
            </w:pPr>
            <w:r w:rsidRPr="004E4972">
              <w:rPr>
                <w:rFonts w:cs="Arial"/>
                <w:szCs w:val="19"/>
                <w:lang w:val="en-US"/>
              </w:rPr>
              <w:t xml:space="preserve">Treatment of moderately to severely active Crohn’s disease in paediatric patients </w:t>
            </w:r>
            <w:r>
              <w:rPr>
                <w:rFonts w:cs="Arial"/>
                <w:szCs w:val="19"/>
                <w:lang w:val="en-US"/>
              </w:rPr>
              <w:t>aged</w:t>
            </w:r>
            <w:r w:rsidRPr="004E4972">
              <w:rPr>
                <w:rFonts w:cs="Arial"/>
                <w:szCs w:val="19"/>
                <w:lang w:val="en-US"/>
              </w:rPr>
              <w:t xml:space="preserve"> 2 years and older, who have had an inadequate response to, or were intolerant to either conventional or biologic therapy </w:t>
            </w:r>
            <w:r w:rsidRPr="00CD6799">
              <w:rPr>
                <w:rFonts w:cs="Arial"/>
                <w:sz w:val="16"/>
                <w:szCs w:val="16"/>
                <w:lang w:val="en-US"/>
              </w:rPr>
              <w:t xml:space="preserve">[EU] </w:t>
            </w:r>
          </w:p>
          <w:p w14:paraId="5722F62A" w14:textId="77777777" w:rsidR="006B12CF" w:rsidRDefault="006B12CF" w:rsidP="00390FEB">
            <w:pPr>
              <w:tabs>
                <w:tab w:val="num" w:pos="720"/>
                <w:tab w:val="center" w:pos="3152"/>
              </w:tabs>
              <w:rPr>
                <w:rFonts w:cs="Arial"/>
                <w:szCs w:val="19"/>
                <w:lang w:val="en-US"/>
              </w:rPr>
            </w:pPr>
            <w:r w:rsidRPr="00CD6799">
              <w:rPr>
                <w:rFonts w:cs="Arial"/>
                <w:sz w:val="16"/>
                <w:szCs w:val="16"/>
                <w:lang w:val="en-US"/>
              </w:rPr>
              <w:t>[licence change from use only in adults and paediatric patients weighing at least 40kg]</w:t>
            </w:r>
          </w:p>
        </w:tc>
      </w:tr>
      <w:tr w:rsidR="006B12CF" w:rsidRPr="000F19E1" w14:paraId="48A456E3" w14:textId="77777777" w:rsidTr="00390FEB">
        <w:tc>
          <w:tcPr>
            <w:tcW w:w="1360" w:type="pct"/>
            <w:gridSpan w:val="2"/>
            <w:tcMar>
              <w:top w:w="0" w:type="dxa"/>
              <w:bottom w:w="0" w:type="dxa"/>
            </w:tcMar>
          </w:tcPr>
          <w:p w14:paraId="0CCDA52C" w14:textId="77777777" w:rsidR="006B12CF" w:rsidRPr="000F19E1" w:rsidRDefault="006B12CF" w:rsidP="00390FEB">
            <w:pPr>
              <w:rPr>
                <w:rFonts w:cs="Arial"/>
                <w:bCs/>
                <w:sz w:val="8"/>
                <w:szCs w:val="8"/>
              </w:rPr>
            </w:pPr>
          </w:p>
        </w:tc>
        <w:tc>
          <w:tcPr>
            <w:tcW w:w="3640" w:type="pct"/>
            <w:tcMar>
              <w:top w:w="0" w:type="dxa"/>
              <w:bottom w:w="0" w:type="dxa"/>
            </w:tcMar>
          </w:tcPr>
          <w:p w14:paraId="48463677" w14:textId="77777777" w:rsidR="006B12CF" w:rsidRPr="000F19E1" w:rsidRDefault="006B12CF" w:rsidP="00390FEB">
            <w:pPr>
              <w:tabs>
                <w:tab w:val="center" w:pos="3152"/>
              </w:tabs>
              <w:rPr>
                <w:rFonts w:cs="Arial"/>
                <w:sz w:val="8"/>
                <w:szCs w:val="8"/>
                <w:lang w:val="en-US"/>
              </w:rPr>
            </w:pPr>
          </w:p>
        </w:tc>
      </w:tr>
      <w:tr w:rsidR="006B12CF" w:rsidRPr="000F19E1" w14:paraId="2B7BD784" w14:textId="77777777" w:rsidTr="00390FEB">
        <w:tc>
          <w:tcPr>
            <w:tcW w:w="1152" w:type="pct"/>
            <w:shd w:val="clear" w:color="auto" w:fill="DAEEF3"/>
            <w:tcMar>
              <w:top w:w="0" w:type="dxa"/>
              <w:bottom w:w="0" w:type="dxa"/>
            </w:tcMar>
          </w:tcPr>
          <w:p w14:paraId="63A60C44" w14:textId="77777777" w:rsidR="006B12CF" w:rsidRPr="000F19E1" w:rsidRDefault="006B12CF" w:rsidP="00390FEB">
            <w:pPr>
              <w:rPr>
                <w:rFonts w:cs="Arial"/>
                <w:bCs/>
                <w:sz w:val="8"/>
                <w:szCs w:val="8"/>
              </w:rPr>
            </w:pPr>
          </w:p>
        </w:tc>
        <w:tc>
          <w:tcPr>
            <w:tcW w:w="3848" w:type="pct"/>
            <w:gridSpan w:val="2"/>
            <w:shd w:val="clear" w:color="auto" w:fill="DAEEF3"/>
            <w:tcMar>
              <w:top w:w="0" w:type="dxa"/>
              <w:bottom w:w="0" w:type="dxa"/>
            </w:tcMar>
          </w:tcPr>
          <w:p w14:paraId="743189AE" w14:textId="77777777" w:rsidR="006B12CF" w:rsidRPr="000F19E1" w:rsidRDefault="006B12CF" w:rsidP="00390FEB">
            <w:pPr>
              <w:tabs>
                <w:tab w:val="center" w:pos="3152"/>
              </w:tabs>
              <w:rPr>
                <w:rFonts w:cs="Arial"/>
                <w:sz w:val="8"/>
                <w:szCs w:val="8"/>
                <w:lang w:val="en-US"/>
              </w:rPr>
            </w:pPr>
          </w:p>
        </w:tc>
      </w:tr>
      <w:tr w:rsidR="006B12CF" w:rsidRPr="00433D3E" w14:paraId="46A3A348" w14:textId="77777777" w:rsidTr="00390FEB">
        <w:tc>
          <w:tcPr>
            <w:tcW w:w="5000" w:type="pct"/>
            <w:gridSpan w:val="3"/>
            <w:shd w:val="clear" w:color="auto" w:fill="008232"/>
            <w:tcMar>
              <w:top w:w="57" w:type="dxa"/>
              <w:bottom w:w="57" w:type="dxa"/>
            </w:tcMar>
          </w:tcPr>
          <w:p w14:paraId="4907ADCE" w14:textId="77777777" w:rsidR="006B12CF" w:rsidRPr="00433D3E" w:rsidRDefault="006B12CF" w:rsidP="00390FEB">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6B12CF" w:rsidRPr="00A075A3" w14:paraId="35D2DBA1" w14:textId="77777777" w:rsidTr="00390FEB">
        <w:tc>
          <w:tcPr>
            <w:tcW w:w="1360" w:type="pct"/>
            <w:gridSpan w:val="2"/>
            <w:tcMar>
              <w:top w:w="57" w:type="dxa"/>
              <w:bottom w:w="57" w:type="dxa"/>
            </w:tcMar>
          </w:tcPr>
          <w:p w14:paraId="0EBBED22" w14:textId="77777777" w:rsidR="006B12CF" w:rsidRPr="00C466BC" w:rsidRDefault="006B12CF" w:rsidP="00390FEB">
            <w:pPr>
              <w:rPr>
                <w:rFonts w:cs="Arial"/>
                <w:szCs w:val="19"/>
              </w:rPr>
            </w:pPr>
            <w:proofErr w:type="spellStart"/>
            <w:r w:rsidRPr="003D40EE">
              <w:rPr>
                <w:rFonts w:cs="Arial"/>
                <w:szCs w:val="19"/>
              </w:rPr>
              <w:t>Orforglipron</w:t>
            </w:r>
            <w:proofErr w:type="spellEnd"/>
          </w:p>
        </w:tc>
        <w:tc>
          <w:tcPr>
            <w:tcW w:w="3640" w:type="pct"/>
            <w:tcMar>
              <w:top w:w="57" w:type="dxa"/>
              <w:bottom w:w="57" w:type="dxa"/>
            </w:tcMar>
          </w:tcPr>
          <w:p w14:paraId="5A84DB03" w14:textId="77777777" w:rsidR="006B12CF" w:rsidRPr="00A075A3" w:rsidRDefault="006B12CF" w:rsidP="00390FEB">
            <w:pPr>
              <w:tabs>
                <w:tab w:val="center" w:pos="3152"/>
              </w:tabs>
              <w:rPr>
                <w:rFonts w:cs="Arial"/>
                <w:szCs w:val="19"/>
                <w:lang w:val="en-US"/>
              </w:rPr>
            </w:pPr>
            <w:r w:rsidRPr="00CF6B1B">
              <w:rPr>
                <w:rFonts w:cs="Arial"/>
                <w:szCs w:val="19"/>
                <w:lang w:val="en-US"/>
              </w:rPr>
              <w:t>Obesity or overweight, for weight management, in adults with at least one weight-related comorbidity</w:t>
            </w:r>
            <w:r>
              <w:rPr>
                <w:rFonts w:cs="Arial"/>
                <w:szCs w:val="19"/>
                <w:lang w:val="en-US"/>
              </w:rPr>
              <w:t>,</w:t>
            </w:r>
            <w:r w:rsidRPr="00CF6B1B">
              <w:rPr>
                <w:rFonts w:cs="Arial"/>
                <w:szCs w:val="19"/>
                <w:lang w:val="en-US"/>
              </w:rPr>
              <w:t xml:space="preserve"> as an adjunct to a reduced-calorie diet and increased physical activity</w:t>
            </w:r>
            <w:r>
              <w:rPr>
                <w:rFonts w:cs="Arial"/>
                <w:szCs w:val="19"/>
                <w:lang w:val="en-US"/>
              </w:rPr>
              <w:t xml:space="preserve"> </w:t>
            </w:r>
            <w:r w:rsidRPr="00CF6B1B">
              <w:rPr>
                <w:rFonts w:cs="Arial"/>
                <w:sz w:val="16"/>
                <w:szCs w:val="16"/>
                <w:lang w:val="en-US"/>
              </w:rPr>
              <w:t>[EU]</w:t>
            </w:r>
          </w:p>
        </w:tc>
      </w:tr>
      <w:tr w:rsidR="006B12CF" w:rsidRPr="00A075A3" w14:paraId="7F163682" w14:textId="77777777" w:rsidTr="00390FEB">
        <w:tc>
          <w:tcPr>
            <w:tcW w:w="1360" w:type="pct"/>
            <w:gridSpan w:val="2"/>
            <w:tcMar>
              <w:top w:w="57" w:type="dxa"/>
              <w:bottom w:w="57" w:type="dxa"/>
            </w:tcMar>
          </w:tcPr>
          <w:p w14:paraId="75408BA6" w14:textId="77777777" w:rsidR="006B12CF" w:rsidRDefault="006B12CF" w:rsidP="00390FEB">
            <w:pPr>
              <w:rPr>
                <w:rFonts w:cs="Arial"/>
                <w:szCs w:val="19"/>
              </w:rPr>
            </w:pPr>
            <w:proofErr w:type="spellStart"/>
            <w:r>
              <w:rPr>
                <w:rFonts w:cs="Arial"/>
                <w:szCs w:val="19"/>
              </w:rPr>
              <w:t>Orforglipron</w:t>
            </w:r>
            <w:proofErr w:type="spellEnd"/>
          </w:p>
        </w:tc>
        <w:tc>
          <w:tcPr>
            <w:tcW w:w="3640" w:type="pct"/>
            <w:tcMar>
              <w:top w:w="57" w:type="dxa"/>
              <w:bottom w:w="57" w:type="dxa"/>
            </w:tcMar>
          </w:tcPr>
          <w:p w14:paraId="483A492E" w14:textId="77777777" w:rsidR="006B12CF" w:rsidRPr="00460B68" w:rsidRDefault="006B12CF" w:rsidP="00390FEB">
            <w:pPr>
              <w:tabs>
                <w:tab w:val="center" w:pos="3152"/>
              </w:tabs>
              <w:rPr>
                <w:rFonts w:cs="Arial"/>
                <w:szCs w:val="19"/>
                <w:lang w:val="en-US"/>
              </w:rPr>
            </w:pPr>
            <w:r w:rsidRPr="00B260F1">
              <w:rPr>
                <w:rFonts w:cs="Arial"/>
                <w:szCs w:val="19"/>
                <w:lang w:val="en-US"/>
              </w:rPr>
              <w:t>T</w:t>
            </w:r>
            <w:r>
              <w:rPr>
                <w:rFonts w:cs="Arial"/>
                <w:szCs w:val="19"/>
                <w:lang w:val="en-US"/>
              </w:rPr>
              <w:t>reatment of adults with insufficiently controlled t</w:t>
            </w:r>
            <w:r w:rsidRPr="00B260F1">
              <w:rPr>
                <w:rFonts w:cs="Arial"/>
                <w:szCs w:val="19"/>
                <w:lang w:val="en-US"/>
              </w:rPr>
              <w:t>ype 2 diabetes mellitus</w:t>
            </w:r>
            <w:r>
              <w:rPr>
                <w:rFonts w:cs="Arial"/>
                <w:szCs w:val="19"/>
                <w:lang w:val="en-US"/>
              </w:rPr>
              <w:t>,</w:t>
            </w:r>
            <w:r w:rsidRPr="00B260F1">
              <w:rPr>
                <w:rFonts w:cs="Arial"/>
                <w:szCs w:val="19"/>
                <w:lang w:val="en-US"/>
              </w:rPr>
              <w:t xml:space="preserve"> as an adjunct to diet and exercise, as monotherapy when metformin is considered inappropriate due to intolerance or contraindications and in addition to other medicinal products for the treatment of diabetes</w:t>
            </w:r>
            <w:r>
              <w:rPr>
                <w:rFonts w:cs="Arial"/>
                <w:szCs w:val="19"/>
                <w:lang w:val="en-US"/>
              </w:rPr>
              <w:t xml:space="preserve"> </w:t>
            </w:r>
            <w:r w:rsidRPr="00CF6B1B">
              <w:rPr>
                <w:rFonts w:cs="Arial"/>
                <w:sz w:val="16"/>
                <w:szCs w:val="16"/>
                <w:lang w:val="en-US"/>
              </w:rPr>
              <w:t>[EU]</w:t>
            </w:r>
          </w:p>
        </w:tc>
      </w:tr>
      <w:tr w:rsidR="006B12CF" w:rsidRPr="00A075A3" w14:paraId="41BB3213" w14:textId="77777777" w:rsidTr="00390FEB">
        <w:tc>
          <w:tcPr>
            <w:tcW w:w="1360" w:type="pct"/>
            <w:gridSpan w:val="2"/>
            <w:tcMar>
              <w:top w:w="57" w:type="dxa"/>
              <w:bottom w:w="57" w:type="dxa"/>
            </w:tcMar>
          </w:tcPr>
          <w:p w14:paraId="12362066" w14:textId="77777777" w:rsidR="006B12CF" w:rsidRPr="004910AC" w:rsidRDefault="006B12CF" w:rsidP="00390FEB">
            <w:pPr>
              <w:rPr>
                <w:rFonts w:cs="Arial"/>
                <w:szCs w:val="19"/>
              </w:rPr>
            </w:pPr>
            <w:r w:rsidRPr="004D2456">
              <w:rPr>
                <w:rFonts w:cs="Arial"/>
                <w:szCs w:val="19"/>
              </w:rPr>
              <w:t>Ruxolitinib (</w:t>
            </w:r>
            <w:proofErr w:type="spellStart"/>
            <w:r w:rsidRPr="004D2456">
              <w:rPr>
                <w:rFonts w:cs="Arial"/>
                <w:i/>
                <w:iCs/>
                <w:szCs w:val="19"/>
              </w:rPr>
              <w:t>Opzelura</w:t>
            </w:r>
            <w:proofErr w:type="spellEnd"/>
            <w:r w:rsidRPr="004D2456">
              <w:rPr>
                <w:rFonts w:cs="Arial"/>
                <w:szCs w:val="19"/>
              </w:rPr>
              <w:t>)</w:t>
            </w:r>
          </w:p>
        </w:tc>
        <w:tc>
          <w:tcPr>
            <w:tcW w:w="3640" w:type="pct"/>
            <w:tcMar>
              <w:top w:w="57" w:type="dxa"/>
              <w:bottom w:w="57" w:type="dxa"/>
            </w:tcMar>
          </w:tcPr>
          <w:p w14:paraId="4185B69B" w14:textId="77777777" w:rsidR="006B12CF" w:rsidRPr="00460B68" w:rsidRDefault="006B12CF" w:rsidP="00390FEB">
            <w:pPr>
              <w:tabs>
                <w:tab w:val="center" w:pos="3152"/>
              </w:tabs>
              <w:rPr>
                <w:rFonts w:cs="Arial"/>
                <w:szCs w:val="19"/>
                <w:lang w:val="en-US"/>
              </w:rPr>
            </w:pPr>
            <w:r w:rsidRPr="00587DF3">
              <w:rPr>
                <w:rFonts w:cs="Arial"/>
                <w:szCs w:val="19"/>
                <w:lang w:val="en-US"/>
              </w:rPr>
              <w:t xml:space="preserve">Treatment of adults with moderate </w:t>
            </w:r>
            <w:r>
              <w:rPr>
                <w:rFonts w:cs="Arial"/>
                <w:szCs w:val="19"/>
                <w:lang w:val="en-US"/>
              </w:rPr>
              <w:t xml:space="preserve">atopic dermatitis </w:t>
            </w:r>
            <w:r w:rsidRPr="00587DF3">
              <w:rPr>
                <w:rFonts w:cs="Arial"/>
                <w:sz w:val="16"/>
                <w:szCs w:val="16"/>
                <w:lang w:val="en-US"/>
              </w:rPr>
              <w:t>[EU] [new indication]</w:t>
            </w:r>
          </w:p>
        </w:tc>
      </w:tr>
      <w:tr w:rsidR="006B12CF" w:rsidRPr="00A075A3" w14:paraId="7C74B259" w14:textId="77777777" w:rsidTr="00390FEB">
        <w:tc>
          <w:tcPr>
            <w:tcW w:w="1360" w:type="pct"/>
            <w:gridSpan w:val="2"/>
            <w:tcMar>
              <w:top w:w="57" w:type="dxa"/>
              <w:bottom w:w="57" w:type="dxa"/>
            </w:tcMar>
          </w:tcPr>
          <w:p w14:paraId="457CCD9B" w14:textId="77777777" w:rsidR="006B12CF" w:rsidRPr="00EC2C61" w:rsidRDefault="006B12CF" w:rsidP="00390FEB">
            <w:pPr>
              <w:rPr>
                <w:rFonts w:cs="Arial"/>
                <w:szCs w:val="19"/>
              </w:rPr>
            </w:pPr>
            <w:r>
              <w:rPr>
                <w:rFonts w:cs="Arial"/>
                <w:szCs w:val="19"/>
              </w:rPr>
              <w:t>Upadacitinib (</w:t>
            </w:r>
            <w:r>
              <w:rPr>
                <w:rFonts w:cs="Arial"/>
                <w:i/>
                <w:iCs/>
                <w:szCs w:val="19"/>
              </w:rPr>
              <w:t>Rinvoq</w:t>
            </w:r>
            <w:r>
              <w:rPr>
                <w:rFonts w:cs="Arial"/>
                <w:szCs w:val="19"/>
              </w:rPr>
              <w:t>)</w:t>
            </w:r>
          </w:p>
        </w:tc>
        <w:tc>
          <w:tcPr>
            <w:tcW w:w="3640" w:type="pct"/>
            <w:tcMar>
              <w:top w:w="57" w:type="dxa"/>
              <w:bottom w:w="57" w:type="dxa"/>
            </w:tcMar>
          </w:tcPr>
          <w:p w14:paraId="5FE890D1" w14:textId="77777777" w:rsidR="006B12CF" w:rsidRDefault="006B12CF" w:rsidP="00390FEB">
            <w:pPr>
              <w:tabs>
                <w:tab w:val="center" w:pos="3152"/>
              </w:tabs>
              <w:rPr>
                <w:rFonts w:cs="Arial"/>
                <w:sz w:val="16"/>
                <w:szCs w:val="16"/>
                <w:lang w:val="en-US"/>
              </w:rPr>
            </w:pPr>
            <w:r w:rsidRPr="00D962AF">
              <w:rPr>
                <w:rFonts w:cs="Arial"/>
                <w:szCs w:val="19"/>
                <w:lang w:val="en-US"/>
              </w:rPr>
              <w:t>Treatment of adult and adolescent patients living with non-segmental vitiligo</w:t>
            </w:r>
            <w:r>
              <w:rPr>
                <w:rFonts w:cs="Arial"/>
                <w:szCs w:val="19"/>
                <w:lang w:val="en-US"/>
              </w:rPr>
              <w:t xml:space="preserve"> </w:t>
            </w:r>
            <w:r w:rsidRPr="00D962AF">
              <w:rPr>
                <w:rFonts w:cs="Arial"/>
                <w:sz w:val="16"/>
                <w:szCs w:val="16"/>
                <w:lang w:val="en-US"/>
              </w:rPr>
              <w:t xml:space="preserve">[EU] </w:t>
            </w:r>
          </w:p>
          <w:p w14:paraId="78089623" w14:textId="77777777" w:rsidR="006B12CF" w:rsidRPr="00272180" w:rsidRDefault="006B12CF" w:rsidP="00390FEB">
            <w:pPr>
              <w:tabs>
                <w:tab w:val="center" w:pos="3152"/>
              </w:tabs>
              <w:rPr>
                <w:rFonts w:cs="Arial"/>
                <w:szCs w:val="19"/>
                <w:lang w:val="en-US"/>
              </w:rPr>
            </w:pPr>
            <w:r w:rsidRPr="00D962AF">
              <w:rPr>
                <w:rFonts w:cs="Arial"/>
                <w:sz w:val="16"/>
                <w:szCs w:val="16"/>
                <w:lang w:val="en-US"/>
              </w:rPr>
              <w:t>[new indication]</w:t>
            </w:r>
          </w:p>
        </w:tc>
      </w:tr>
      <w:tr w:rsidR="006B12CF" w:rsidRPr="000F19E1" w14:paraId="3D450B41" w14:textId="77777777" w:rsidTr="00390FEB">
        <w:tc>
          <w:tcPr>
            <w:tcW w:w="1360" w:type="pct"/>
            <w:gridSpan w:val="2"/>
            <w:tcMar>
              <w:top w:w="0" w:type="dxa"/>
              <w:bottom w:w="0" w:type="dxa"/>
            </w:tcMar>
          </w:tcPr>
          <w:p w14:paraId="23EB076E" w14:textId="77777777" w:rsidR="006B12CF" w:rsidRPr="000F19E1" w:rsidRDefault="006B12CF" w:rsidP="00390FEB">
            <w:pPr>
              <w:rPr>
                <w:rFonts w:cs="Arial"/>
                <w:bCs/>
                <w:sz w:val="8"/>
                <w:szCs w:val="8"/>
              </w:rPr>
            </w:pPr>
          </w:p>
        </w:tc>
        <w:tc>
          <w:tcPr>
            <w:tcW w:w="3640" w:type="pct"/>
            <w:tcMar>
              <w:top w:w="0" w:type="dxa"/>
              <w:bottom w:w="0" w:type="dxa"/>
            </w:tcMar>
          </w:tcPr>
          <w:p w14:paraId="0A88CD9F" w14:textId="77777777" w:rsidR="006B12CF" w:rsidRPr="000F19E1" w:rsidRDefault="006B12CF" w:rsidP="00390FEB">
            <w:pPr>
              <w:tabs>
                <w:tab w:val="center" w:pos="3152"/>
              </w:tabs>
              <w:rPr>
                <w:rFonts w:cs="Arial"/>
                <w:sz w:val="8"/>
                <w:szCs w:val="8"/>
                <w:lang w:val="en-US"/>
              </w:rPr>
            </w:pPr>
          </w:p>
        </w:tc>
      </w:tr>
      <w:tr w:rsidR="006B12CF" w:rsidRPr="000F19E1" w14:paraId="63CEF299" w14:textId="77777777" w:rsidTr="00390FEB">
        <w:tc>
          <w:tcPr>
            <w:tcW w:w="1152" w:type="pct"/>
            <w:shd w:val="clear" w:color="auto" w:fill="DAEEF3"/>
            <w:tcMar>
              <w:top w:w="0" w:type="dxa"/>
              <w:bottom w:w="0" w:type="dxa"/>
            </w:tcMar>
          </w:tcPr>
          <w:p w14:paraId="1CCD82D3" w14:textId="77777777" w:rsidR="006B12CF" w:rsidRPr="000F19E1" w:rsidRDefault="006B12CF" w:rsidP="00390FEB">
            <w:pPr>
              <w:rPr>
                <w:rFonts w:cs="Arial"/>
                <w:bCs/>
                <w:sz w:val="8"/>
                <w:szCs w:val="8"/>
              </w:rPr>
            </w:pPr>
          </w:p>
        </w:tc>
        <w:tc>
          <w:tcPr>
            <w:tcW w:w="3848" w:type="pct"/>
            <w:gridSpan w:val="2"/>
            <w:shd w:val="clear" w:color="auto" w:fill="DAEEF3"/>
            <w:tcMar>
              <w:top w:w="0" w:type="dxa"/>
              <w:bottom w:w="0" w:type="dxa"/>
            </w:tcMar>
          </w:tcPr>
          <w:p w14:paraId="132093B3" w14:textId="77777777" w:rsidR="006B12CF" w:rsidRPr="000F19E1" w:rsidRDefault="006B12CF" w:rsidP="00390FEB">
            <w:pPr>
              <w:tabs>
                <w:tab w:val="center" w:pos="3152"/>
              </w:tabs>
              <w:rPr>
                <w:rFonts w:cs="Arial"/>
                <w:sz w:val="8"/>
                <w:szCs w:val="8"/>
                <w:lang w:val="en-US"/>
              </w:rPr>
            </w:pPr>
          </w:p>
        </w:tc>
      </w:tr>
    </w:tbl>
    <w:p w14:paraId="27F27BF7" w14:textId="05C7EBE8" w:rsidR="00C448B0" w:rsidRDefault="00C448B0" w:rsidP="003D16EF">
      <w:pPr>
        <w:rPr>
          <w:sz w:val="8"/>
          <w:szCs w:val="8"/>
        </w:rPr>
      </w:pPr>
    </w:p>
    <w:p w14:paraId="61B1E358" w14:textId="77777777" w:rsidR="00C448B0" w:rsidRDefault="00C448B0">
      <w:pPr>
        <w:rPr>
          <w:sz w:val="8"/>
          <w:szCs w:val="8"/>
        </w:rPr>
      </w:pPr>
      <w:r>
        <w:rPr>
          <w:sz w:val="8"/>
          <w:szCs w:val="8"/>
        </w:rPr>
        <w:br w:type="page"/>
      </w:r>
    </w:p>
    <w:p w14:paraId="4011CBE5" w14:textId="77777777" w:rsidR="006B12CF" w:rsidRDefault="006B12CF" w:rsidP="003D16EF">
      <w:pPr>
        <w:rPr>
          <w:sz w:val="8"/>
          <w:szCs w:val="8"/>
        </w:rPr>
      </w:pPr>
    </w:p>
    <w:p w14:paraId="38F6E2D4" w14:textId="77777777" w:rsidR="00C448B0" w:rsidRDefault="00C448B0" w:rsidP="003D16EF">
      <w:pPr>
        <w:rPr>
          <w:sz w:val="8"/>
          <w:szCs w:val="8"/>
        </w:rPr>
      </w:pPr>
    </w:p>
    <w:p w14:paraId="32BA1289" w14:textId="77777777" w:rsidR="00C448B0" w:rsidRDefault="00C448B0" w:rsidP="003D16EF">
      <w:pPr>
        <w:rPr>
          <w:sz w:val="8"/>
          <w:szCs w:val="8"/>
        </w:rPr>
      </w:pPr>
    </w:p>
    <w:p w14:paraId="5E65A306" w14:textId="77777777" w:rsidR="007B262B" w:rsidRDefault="007B262B" w:rsidP="003D16EF">
      <w:pPr>
        <w:rPr>
          <w:sz w:val="8"/>
          <w:szCs w:val="8"/>
        </w:rPr>
      </w:pPr>
    </w:p>
    <w:p w14:paraId="41FA5B16" w14:textId="77777777" w:rsidR="007B262B" w:rsidRDefault="007B262B" w:rsidP="003D16EF">
      <w:pPr>
        <w:rPr>
          <w:sz w:val="8"/>
          <w:szCs w:val="8"/>
        </w:rPr>
      </w:pPr>
    </w:p>
    <w:tbl>
      <w:tblPr>
        <w:tblW w:w="5170" w:type="pct"/>
        <w:tblInd w:w="-176" w:type="dxa"/>
        <w:tblLayout w:type="fixed"/>
        <w:tblLook w:val="01E0" w:firstRow="1" w:lastRow="1" w:firstColumn="1" w:lastColumn="1" w:noHBand="0" w:noVBand="0"/>
      </w:tblPr>
      <w:tblGrid>
        <w:gridCol w:w="2431"/>
        <w:gridCol w:w="428"/>
        <w:gridCol w:w="11"/>
        <w:gridCol w:w="7681"/>
      </w:tblGrid>
      <w:tr w:rsidR="007B262B" w:rsidRPr="00862949" w14:paraId="4E7526E5" w14:textId="77777777" w:rsidTr="00390FEB">
        <w:tc>
          <w:tcPr>
            <w:tcW w:w="5000" w:type="pct"/>
            <w:gridSpan w:val="4"/>
            <w:shd w:val="clear" w:color="auto" w:fill="0070C0"/>
            <w:tcMar>
              <w:top w:w="85" w:type="dxa"/>
              <w:bottom w:w="85" w:type="dxa"/>
            </w:tcMar>
            <w:vAlign w:val="bottom"/>
          </w:tcPr>
          <w:p w14:paraId="6FBD5BBC" w14:textId="77777777" w:rsidR="007B262B" w:rsidRPr="00862949" w:rsidRDefault="007B262B" w:rsidP="00390FEB">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7B262B" w:rsidRPr="000F19E1" w14:paraId="74793D7D" w14:textId="77777777" w:rsidTr="00390FEB">
        <w:tc>
          <w:tcPr>
            <w:tcW w:w="1152" w:type="pct"/>
            <w:shd w:val="clear" w:color="auto" w:fill="DAEEF3"/>
            <w:tcMar>
              <w:top w:w="0" w:type="dxa"/>
              <w:bottom w:w="0" w:type="dxa"/>
            </w:tcMar>
          </w:tcPr>
          <w:p w14:paraId="7F61F2BC" w14:textId="77777777" w:rsidR="007B262B" w:rsidRPr="000F19E1" w:rsidRDefault="007B262B" w:rsidP="00390FEB">
            <w:pPr>
              <w:rPr>
                <w:rFonts w:cs="Arial"/>
                <w:bCs/>
                <w:sz w:val="8"/>
                <w:szCs w:val="8"/>
              </w:rPr>
            </w:pPr>
          </w:p>
        </w:tc>
        <w:tc>
          <w:tcPr>
            <w:tcW w:w="3848" w:type="pct"/>
            <w:gridSpan w:val="3"/>
            <w:shd w:val="clear" w:color="auto" w:fill="DAEEF3"/>
            <w:tcMar>
              <w:top w:w="0" w:type="dxa"/>
              <w:bottom w:w="0" w:type="dxa"/>
            </w:tcMar>
          </w:tcPr>
          <w:p w14:paraId="6BAA0470" w14:textId="77777777" w:rsidR="007B262B" w:rsidRPr="000F19E1" w:rsidRDefault="007B262B" w:rsidP="00390FEB">
            <w:pPr>
              <w:tabs>
                <w:tab w:val="center" w:pos="3152"/>
              </w:tabs>
              <w:rPr>
                <w:rFonts w:cs="Arial"/>
                <w:sz w:val="8"/>
                <w:szCs w:val="8"/>
                <w:lang w:val="en-US"/>
              </w:rPr>
            </w:pPr>
          </w:p>
        </w:tc>
      </w:tr>
      <w:tr w:rsidR="007B262B" w:rsidRPr="00126CCD" w14:paraId="2B849806" w14:textId="77777777" w:rsidTr="00390FEB">
        <w:tc>
          <w:tcPr>
            <w:tcW w:w="5000" w:type="pct"/>
            <w:gridSpan w:val="4"/>
            <w:shd w:val="clear" w:color="auto" w:fill="008232"/>
            <w:tcMar>
              <w:top w:w="57" w:type="dxa"/>
              <w:bottom w:w="57" w:type="dxa"/>
            </w:tcMar>
          </w:tcPr>
          <w:p w14:paraId="6E0AB311" w14:textId="77777777" w:rsidR="007B262B" w:rsidRPr="004642B4" w:rsidRDefault="007B262B" w:rsidP="00390FEB">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p>
        </w:tc>
      </w:tr>
      <w:tr w:rsidR="007B262B" w14:paraId="3E6A9D40" w14:textId="77777777" w:rsidTr="00390FEB">
        <w:tc>
          <w:tcPr>
            <w:tcW w:w="1360" w:type="pct"/>
            <w:gridSpan w:val="3"/>
            <w:tcMar>
              <w:top w:w="57" w:type="dxa"/>
              <w:bottom w:w="57" w:type="dxa"/>
            </w:tcMar>
          </w:tcPr>
          <w:p w14:paraId="51BD210B" w14:textId="77777777" w:rsidR="007B262B" w:rsidRDefault="007B262B" w:rsidP="00390FEB">
            <w:pPr>
              <w:rPr>
                <w:rFonts w:cs="Arial"/>
                <w:szCs w:val="19"/>
              </w:rPr>
            </w:pPr>
            <w:proofErr w:type="spellStart"/>
            <w:r w:rsidRPr="00CD2DE4">
              <w:rPr>
                <w:rFonts w:cs="Arial"/>
                <w:szCs w:val="19"/>
              </w:rPr>
              <w:t>Datopotamab</w:t>
            </w:r>
            <w:proofErr w:type="spellEnd"/>
            <w:r w:rsidRPr="00CD2DE4">
              <w:rPr>
                <w:rFonts w:cs="Arial"/>
                <w:szCs w:val="19"/>
              </w:rPr>
              <w:t xml:space="preserve"> deruxtecan </w:t>
            </w:r>
          </w:p>
          <w:p w14:paraId="5FA98D3F" w14:textId="77777777" w:rsidR="007B262B" w:rsidRPr="00AE1DA7" w:rsidRDefault="007B262B" w:rsidP="00390FEB">
            <w:pPr>
              <w:rPr>
                <w:rFonts w:cs="Arial"/>
                <w:szCs w:val="19"/>
              </w:rPr>
            </w:pPr>
            <w:r>
              <w:rPr>
                <w:rFonts w:cs="Arial"/>
                <w:szCs w:val="19"/>
              </w:rPr>
              <w:t>(</w:t>
            </w:r>
            <w:proofErr w:type="spellStart"/>
            <w:r>
              <w:rPr>
                <w:rFonts w:cs="Arial"/>
                <w:i/>
                <w:iCs/>
                <w:szCs w:val="19"/>
              </w:rPr>
              <w:t>Datroway</w:t>
            </w:r>
            <w:proofErr w:type="spellEnd"/>
            <w:r>
              <w:rPr>
                <w:rFonts w:cs="Arial"/>
                <w:szCs w:val="19"/>
              </w:rPr>
              <w:t>)</w:t>
            </w:r>
          </w:p>
        </w:tc>
        <w:tc>
          <w:tcPr>
            <w:tcW w:w="3640" w:type="pct"/>
            <w:tcMar>
              <w:top w:w="57" w:type="dxa"/>
              <w:bottom w:w="57" w:type="dxa"/>
            </w:tcMar>
          </w:tcPr>
          <w:p w14:paraId="49FF750D" w14:textId="77777777" w:rsidR="000D441B" w:rsidRDefault="007B262B" w:rsidP="00390FEB">
            <w:pPr>
              <w:tabs>
                <w:tab w:val="center" w:pos="3152"/>
              </w:tabs>
              <w:rPr>
                <w:rFonts w:cs="Arial"/>
                <w:szCs w:val="19"/>
                <w:lang w:val="en-US"/>
              </w:rPr>
            </w:pPr>
            <w:r>
              <w:rPr>
                <w:rFonts w:cs="Arial"/>
                <w:szCs w:val="19"/>
                <w:lang w:val="en-US"/>
              </w:rPr>
              <w:t>Early n</w:t>
            </w:r>
            <w:r w:rsidRPr="00CC6507">
              <w:rPr>
                <w:rFonts w:cs="Arial"/>
                <w:szCs w:val="19"/>
                <w:lang w:val="en-US"/>
              </w:rPr>
              <w:t>on-small cell lung cancer</w:t>
            </w:r>
            <w:r>
              <w:rPr>
                <w:rFonts w:cs="Arial"/>
                <w:szCs w:val="19"/>
                <w:lang w:val="en-US"/>
              </w:rPr>
              <w:t>,</w:t>
            </w:r>
            <w:r w:rsidRPr="00CC6507">
              <w:rPr>
                <w:rFonts w:cs="Arial"/>
                <w:szCs w:val="19"/>
                <w:lang w:val="en-US"/>
              </w:rPr>
              <w:t xml:space="preserve"> ctDNA-positive or with high-risk pathological features, in adults</w:t>
            </w:r>
            <w:r>
              <w:rPr>
                <w:rFonts w:cs="Arial"/>
                <w:szCs w:val="19"/>
                <w:lang w:val="en-US"/>
              </w:rPr>
              <w:t>,</w:t>
            </w:r>
            <w:r w:rsidRPr="00CC6507">
              <w:rPr>
                <w:rFonts w:cs="Arial"/>
                <w:szCs w:val="19"/>
                <w:lang w:val="en-US"/>
              </w:rPr>
              <w:t xml:space="preserve"> adjuvant therapy with </w:t>
            </w:r>
            <w:proofErr w:type="spellStart"/>
            <w:r w:rsidRPr="00CC6507">
              <w:rPr>
                <w:rFonts w:cs="Arial"/>
                <w:szCs w:val="19"/>
                <w:lang w:val="en-US"/>
              </w:rPr>
              <w:t>rilvegostomig</w:t>
            </w:r>
            <w:proofErr w:type="spellEnd"/>
            <w:r w:rsidRPr="00CC6507">
              <w:rPr>
                <w:rFonts w:cs="Arial"/>
                <w:szCs w:val="19"/>
                <w:lang w:val="en-US"/>
              </w:rPr>
              <w:t xml:space="preserve"> </w:t>
            </w:r>
            <w:r>
              <w:rPr>
                <w:rFonts w:cs="Arial"/>
                <w:szCs w:val="19"/>
                <w:lang w:val="en-US"/>
              </w:rPr>
              <w:t xml:space="preserve">– development discontinued </w:t>
            </w:r>
          </w:p>
          <w:p w14:paraId="069C8A19" w14:textId="734F7319" w:rsidR="007B262B" w:rsidRDefault="007B262B" w:rsidP="00390FEB">
            <w:pPr>
              <w:tabs>
                <w:tab w:val="center" w:pos="3152"/>
              </w:tabs>
              <w:rPr>
                <w:rFonts w:cs="Arial"/>
                <w:szCs w:val="19"/>
                <w:lang w:val="en-US"/>
              </w:rPr>
            </w:pPr>
            <w:r>
              <w:rPr>
                <w:rFonts w:cs="Arial"/>
                <w:szCs w:val="19"/>
                <w:lang w:val="en-US"/>
              </w:rPr>
              <w:t>(company decision)</w:t>
            </w:r>
          </w:p>
        </w:tc>
      </w:tr>
      <w:tr w:rsidR="007B262B" w14:paraId="76C331E9" w14:textId="77777777" w:rsidTr="00390FEB">
        <w:tc>
          <w:tcPr>
            <w:tcW w:w="1360" w:type="pct"/>
            <w:gridSpan w:val="3"/>
            <w:tcMar>
              <w:top w:w="57" w:type="dxa"/>
              <w:bottom w:w="57" w:type="dxa"/>
            </w:tcMar>
          </w:tcPr>
          <w:p w14:paraId="1B1F749F" w14:textId="77777777" w:rsidR="007B262B" w:rsidRPr="003D2915" w:rsidRDefault="007B262B" w:rsidP="00390FEB">
            <w:pPr>
              <w:rPr>
                <w:rFonts w:cs="Arial"/>
                <w:szCs w:val="19"/>
              </w:rPr>
            </w:pPr>
            <w:proofErr w:type="spellStart"/>
            <w:r w:rsidRPr="00396DD7">
              <w:rPr>
                <w:rFonts w:cs="Arial"/>
                <w:szCs w:val="19"/>
              </w:rPr>
              <w:t>Durcabtagene</w:t>
            </w:r>
            <w:proofErr w:type="spellEnd"/>
            <w:r w:rsidRPr="00396DD7">
              <w:rPr>
                <w:rFonts w:cs="Arial"/>
                <w:szCs w:val="19"/>
              </w:rPr>
              <w:t xml:space="preserve"> </w:t>
            </w:r>
            <w:proofErr w:type="spellStart"/>
            <w:r w:rsidRPr="00396DD7">
              <w:rPr>
                <w:rFonts w:cs="Arial"/>
                <w:szCs w:val="19"/>
              </w:rPr>
              <w:t>autoleucel</w:t>
            </w:r>
            <w:proofErr w:type="spellEnd"/>
          </w:p>
        </w:tc>
        <w:tc>
          <w:tcPr>
            <w:tcW w:w="3640" w:type="pct"/>
            <w:tcMar>
              <w:top w:w="57" w:type="dxa"/>
              <w:bottom w:w="57" w:type="dxa"/>
            </w:tcMar>
          </w:tcPr>
          <w:p w14:paraId="20C9BF78" w14:textId="77777777" w:rsidR="007B262B" w:rsidRPr="00C05FAF" w:rsidRDefault="007B262B" w:rsidP="00390FEB">
            <w:pPr>
              <w:tabs>
                <w:tab w:val="center" w:pos="3152"/>
              </w:tabs>
              <w:rPr>
                <w:rFonts w:cs="Arial"/>
                <w:szCs w:val="19"/>
                <w:lang w:val="en-US"/>
              </w:rPr>
            </w:pPr>
            <w:r w:rsidRPr="0054695C">
              <w:rPr>
                <w:rFonts w:cs="Arial"/>
                <w:szCs w:val="19"/>
                <w:lang w:val="en-US"/>
              </w:rPr>
              <w:t xml:space="preserve">Relapsed or refractory </w:t>
            </w:r>
            <w:r>
              <w:rPr>
                <w:rFonts w:cs="Arial"/>
                <w:szCs w:val="19"/>
                <w:lang w:val="en-US"/>
              </w:rPr>
              <w:t>mu</w:t>
            </w:r>
            <w:r w:rsidRPr="0054695C">
              <w:rPr>
                <w:rFonts w:cs="Arial"/>
                <w:szCs w:val="19"/>
                <w:lang w:val="en-US"/>
              </w:rPr>
              <w:t>ltiple myeloma in adults</w:t>
            </w:r>
            <w:r>
              <w:rPr>
                <w:rFonts w:cs="Arial"/>
                <w:szCs w:val="19"/>
                <w:lang w:val="en-US"/>
              </w:rPr>
              <w:t>,</w:t>
            </w:r>
            <w:r w:rsidRPr="0054695C">
              <w:rPr>
                <w:rFonts w:cs="Arial"/>
                <w:szCs w:val="19"/>
                <w:lang w:val="en-US"/>
              </w:rPr>
              <w:t xml:space="preserve"> fourth-line or later</w:t>
            </w:r>
            <w:r>
              <w:rPr>
                <w:rFonts w:cs="Arial"/>
                <w:szCs w:val="19"/>
                <w:lang w:val="en-US"/>
              </w:rPr>
              <w:t xml:space="preserve"> – development discontinued (company decision)</w:t>
            </w:r>
          </w:p>
        </w:tc>
      </w:tr>
      <w:tr w:rsidR="007B262B" w14:paraId="7C67431B" w14:textId="77777777" w:rsidTr="00390FEB">
        <w:tc>
          <w:tcPr>
            <w:tcW w:w="1360" w:type="pct"/>
            <w:gridSpan w:val="3"/>
            <w:tcMar>
              <w:top w:w="57" w:type="dxa"/>
              <w:bottom w:w="57" w:type="dxa"/>
            </w:tcMar>
          </w:tcPr>
          <w:p w14:paraId="395EB740" w14:textId="77777777" w:rsidR="007B262B" w:rsidRPr="00523A62" w:rsidRDefault="007B262B" w:rsidP="00390FEB">
            <w:pPr>
              <w:rPr>
                <w:rFonts w:cs="Arial"/>
                <w:szCs w:val="19"/>
              </w:rPr>
            </w:pPr>
            <w:proofErr w:type="spellStart"/>
            <w:r w:rsidRPr="003C4D59">
              <w:rPr>
                <w:rFonts w:cs="Arial"/>
                <w:szCs w:val="19"/>
              </w:rPr>
              <w:t>Entrectinib</w:t>
            </w:r>
            <w:proofErr w:type="spellEnd"/>
            <w:r>
              <w:rPr>
                <w:rFonts w:cs="Arial"/>
                <w:szCs w:val="19"/>
              </w:rPr>
              <w:t xml:space="preserve"> (</w:t>
            </w:r>
            <w:proofErr w:type="spellStart"/>
            <w:r>
              <w:rPr>
                <w:rFonts w:cs="Arial"/>
                <w:i/>
                <w:iCs/>
                <w:szCs w:val="19"/>
              </w:rPr>
              <w:t>Rozlytek</w:t>
            </w:r>
            <w:proofErr w:type="spellEnd"/>
            <w:r>
              <w:rPr>
                <w:rFonts w:cs="Arial"/>
                <w:szCs w:val="19"/>
              </w:rPr>
              <w:t>)</w:t>
            </w:r>
          </w:p>
        </w:tc>
        <w:tc>
          <w:tcPr>
            <w:tcW w:w="3640" w:type="pct"/>
            <w:tcMar>
              <w:top w:w="57" w:type="dxa"/>
              <w:bottom w:w="57" w:type="dxa"/>
            </w:tcMar>
          </w:tcPr>
          <w:p w14:paraId="44A4AC00" w14:textId="2870C783" w:rsidR="007B262B" w:rsidRDefault="007B262B" w:rsidP="00403E21">
            <w:pPr>
              <w:tabs>
                <w:tab w:val="center" w:pos="3152"/>
              </w:tabs>
              <w:rPr>
                <w:rFonts w:cs="Arial"/>
                <w:szCs w:val="19"/>
                <w:lang w:val="en-US"/>
              </w:rPr>
            </w:pPr>
            <w:r>
              <w:rPr>
                <w:rFonts w:cs="Arial"/>
                <w:szCs w:val="19"/>
                <w:lang w:val="en-US"/>
              </w:rPr>
              <w:t>Advanced unresectable n</w:t>
            </w:r>
            <w:r w:rsidRPr="00D61FB3">
              <w:rPr>
                <w:rFonts w:cs="Arial"/>
                <w:szCs w:val="19"/>
                <w:lang w:val="en-US"/>
              </w:rPr>
              <w:t>on-small cell lung cancer</w:t>
            </w:r>
            <w:r>
              <w:rPr>
                <w:rFonts w:cs="Arial"/>
                <w:szCs w:val="19"/>
                <w:lang w:val="en-US"/>
              </w:rPr>
              <w:t>,</w:t>
            </w:r>
            <w:r w:rsidRPr="00D61FB3">
              <w:rPr>
                <w:rFonts w:cs="Arial"/>
                <w:szCs w:val="19"/>
                <w:lang w:val="en-US"/>
              </w:rPr>
              <w:t xml:space="preserve"> ROS1-positive, in adults</w:t>
            </w:r>
            <w:r>
              <w:rPr>
                <w:rFonts w:cs="Arial"/>
                <w:szCs w:val="19"/>
                <w:lang w:val="en-US"/>
              </w:rPr>
              <w:t>,</w:t>
            </w:r>
            <w:r w:rsidRPr="00D61FB3">
              <w:rPr>
                <w:rFonts w:cs="Arial"/>
                <w:szCs w:val="19"/>
                <w:lang w:val="en-US"/>
              </w:rPr>
              <w:t xml:space="preserve"> adjuvant monotherapy after chemoradiotherapy </w:t>
            </w:r>
            <w:r>
              <w:rPr>
                <w:rFonts w:cs="Arial"/>
                <w:szCs w:val="19"/>
                <w:lang w:val="en-US"/>
              </w:rPr>
              <w:t>– development discontinued (company decision)</w:t>
            </w:r>
          </w:p>
        </w:tc>
      </w:tr>
      <w:tr w:rsidR="007B262B" w14:paraId="0308B741" w14:textId="77777777" w:rsidTr="00390FEB">
        <w:tc>
          <w:tcPr>
            <w:tcW w:w="1360" w:type="pct"/>
            <w:gridSpan w:val="3"/>
            <w:tcMar>
              <w:top w:w="57" w:type="dxa"/>
              <w:bottom w:w="57" w:type="dxa"/>
            </w:tcMar>
          </w:tcPr>
          <w:p w14:paraId="20865693" w14:textId="77777777" w:rsidR="007B262B" w:rsidRDefault="007B262B" w:rsidP="00390FEB">
            <w:pPr>
              <w:rPr>
                <w:rFonts w:cs="Arial"/>
                <w:szCs w:val="19"/>
              </w:rPr>
            </w:pPr>
            <w:proofErr w:type="spellStart"/>
            <w:r w:rsidRPr="007D038A">
              <w:rPr>
                <w:rFonts w:cs="Arial"/>
                <w:szCs w:val="19"/>
              </w:rPr>
              <w:t>Fidrisertib</w:t>
            </w:r>
            <w:proofErr w:type="spellEnd"/>
            <w:r>
              <w:rPr>
                <w:rFonts w:cs="Arial"/>
                <w:szCs w:val="19"/>
              </w:rPr>
              <w:t xml:space="preserve"> </w:t>
            </w:r>
          </w:p>
        </w:tc>
        <w:tc>
          <w:tcPr>
            <w:tcW w:w="3640" w:type="pct"/>
            <w:tcMar>
              <w:top w:w="57" w:type="dxa"/>
              <w:bottom w:w="57" w:type="dxa"/>
            </w:tcMar>
          </w:tcPr>
          <w:p w14:paraId="5CB4114E" w14:textId="77777777" w:rsidR="007B262B" w:rsidRDefault="007B262B" w:rsidP="00390FEB">
            <w:pPr>
              <w:tabs>
                <w:tab w:val="center" w:pos="3152"/>
              </w:tabs>
              <w:rPr>
                <w:rFonts w:cs="Arial"/>
                <w:szCs w:val="19"/>
                <w:lang w:val="en-US"/>
              </w:rPr>
            </w:pPr>
            <w:r w:rsidRPr="00152C01">
              <w:rPr>
                <w:rFonts w:cs="Arial"/>
                <w:szCs w:val="19"/>
                <w:lang w:val="en-US"/>
              </w:rPr>
              <w:t>Fibrodysplasia ossificans progressiva for reducing heterotopic ossification in adults and children aged 5 years</w:t>
            </w:r>
            <w:r>
              <w:rPr>
                <w:rFonts w:cs="Arial"/>
                <w:szCs w:val="19"/>
                <w:lang w:val="en-US"/>
              </w:rPr>
              <w:t xml:space="preserve"> and older – development discontinued (lack of efficacy)</w:t>
            </w:r>
          </w:p>
        </w:tc>
      </w:tr>
      <w:tr w:rsidR="007B262B" w14:paraId="4DD75EAE" w14:textId="77777777" w:rsidTr="00390FEB">
        <w:tc>
          <w:tcPr>
            <w:tcW w:w="1360" w:type="pct"/>
            <w:gridSpan w:val="3"/>
            <w:tcMar>
              <w:top w:w="57" w:type="dxa"/>
              <w:bottom w:w="57" w:type="dxa"/>
            </w:tcMar>
          </w:tcPr>
          <w:p w14:paraId="006AEAE5" w14:textId="77777777" w:rsidR="007B262B" w:rsidRPr="00075CFE" w:rsidRDefault="007B262B" w:rsidP="00390FEB">
            <w:pPr>
              <w:rPr>
                <w:rFonts w:cs="Arial"/>
                <w:szCs w:val="19"/>
              </w:rPr>
            </w:pPr>
            <w:r>
              <w:rPr>
                <w:rFonts w:cs="Arial"/>
                <w:szCs w:val="19"/>
              </w:rPr>
              <w:t>Iloperidone (</w:t>
            </w:r>
            <w:r w:rsidRPr="00672AC9">
              <w:rPr>
                <w:rFonts w:cs="Arial"/>
                <w:i/>
                <w:iCs/>
                <w:szCs w:val="19"/>
              </w:rPr>
              <w:t>Iloperidone Vanda Pharmaceuticals</w:t>
            </w:r>
            <w:r>
              <w:rPr>
                <w:rFonts w:cs="Arial"/>
                <w:szCs w:val="19"/>
              </w:rPr>
              <w:t>)</w:t>
            </w:r>
          </w:p>
        </w:tc>
        <w:tc>
          <w:tcPr>
            <w:tcW w:w="3640" w:type="pct"/>
            <w:tcMar>
              <w:top w:w="57" w:type="dxa"/>
              <w:bottom w:w="57" w:type="dxa"/>
            </w:tcMar>
          </w:tcPr>
          <w:p w14:paraId="20C2021A" w14:textId="07308381" w:rsidR="007B262B" w:rsidRDefault="007B262B" w:rsidP="00390FEB">
            <w:pPr>
              <w:tabs>
                <w:tab w:val="center" w:pos="3152"/>
              </w:tabs>
              <w:rPr>
                <w:rFonts w:cs="Arial"/>
                <w:szCs w:val="19"/>
                <w:lang w:val="en-US"/>
              </w:rPr>
            </w:pPr>
            <w:r w:rsidRPr="0024700F">
              <w:rPr>
                <w:rFonts w:cs="Arial"/>
                <w:szCs w:val="19"/>
                <w:lang w:val="en-US"/>
              </w:rPr>
              <w:t xml:space="preserve">Treatment of schizophrenia and </w:t>
            </w:r>
            <w:r w:rsidR="001448F8">
              <w:rPr>
                <w:rFonts w:cs="Arial"/>
                <w:szCs w:val="19"/>
                <w:lang w:val="en-US"/>
              </w:rPr>
              <w:t xml:space="preserve">acute treatment of </w:t>
            </w:r>
            <w:r w:rsidRPr="0024700F">
              <w:rPr>
                <w:rFonts w:cs="Arial"/>
                <w:szCs w:val="19"/>
                <w:lang w:val="en-US"/>
              </w:rPr>
              <w:t>manic or mixed episodes associated with bipolar I disorder</w:t>
            </w:r>
            <w:r>
              <w:rPr>
                <w:rFonts w:cs="Arial"/>
                <w:szCs w:val="19"/>
                <w:lang w:val="en-US"/>
              </w:rPr>
              <w:t xml:space="preserve"> in adults – not recommended for approval in EU</w:t>
            </w:r>
          </w:p>
        </w:tc>
      </w:tr>
      <w:tr w:rsidR="007B262B" w14:paraId="665F8306" w14:textId="77777777" w:rsidTr="00390FEB">
        <w:tc>
          <w:tcPr>
            <w:tcW w:w="1360" w:type="pct"/>
            <w:gridSpan w:val="3"/>
            <w:tcMar>
              <w:top w:w="57" w:type="dxa"/>
              <w:bottom w:w="57" w:type="dxa"/>
            </w:tcMar>
          </w:tcPr>
          <w:p w14:paraId="5A580B98" w14:textId="77777777" w:rsidR="007B262B" w:rsidRPr="00672A42" w:rsidRDefault="007B262B" w:rsidP="00390FEB">
            <w:pPr>
              <w:rPr>
                <w:rFonts w:cs="Arial"/>
                <w:szCs w:val="19"/>
              </w:rPr>
            </w:pPr>
            <w:proofErr w:type="spellStart"/>
            <w:r w:rsidRPr="00075CFE">
              <w:rPr>
                <w:rFonts w:cs="Arial"/>
                <w:szCs w:val="19"/>
              </w:rPr>
              <w:t>Lifileucel</w:t>
            </w:r>
            <w:proofErr w:type="spellEnd"/>
            <w:r w:rsidRPr="00075CFE">
              <w:rPr>
                <w:rFonts w:cs="Arial"/>
                <w:szCs w:val="19"/>
              </w:rPr>
              <w:t xml:space="preserve"> (</w:t>
            </w:r>
            <w:proofErr w:type="spellStart"/>
            <w:r w:rsidRPr="00075CFE">
              <w:rPr>
                <w:rFonts w:cs="Arial"/>
                <w:i/>
                <w:iCs/>
                <w:szCs w:val="19"/>
              </w:rPr>
              <w:t>Amtagvi</w:t>
            </w:r>
            <w:proofErr w:type="spellEnd"/>
            <w:r w:rsidRPr="00075CFE">
              <w:rPr>
                <w:rFonts w:cs="Arial"/>
                <w:szCs w:val="19"/>
              </w:rPr>
              <w:t>)</w:t>
            </w:r>
          </w:p>
        </w:tc>
        <w:tc>
          <w:tcPr>
            <w:tcW w:w="3640" w:type="pct"/>
            <w:tcMar>
              <w:top w:w="57" w:type="dxa"/>
              <w:bottom w:w="57" w:type="dxa"/>
            </w:tcMar>
          </w:tcPr>
          <w:p w14:paraId="7EC1A839" w14:textId="77777777" w:rsidR="007B262B" w:rsidRDefault="007B262B" w:rsidP="00390FEB">
            <w:pPr>
              <w:tabs>
                <w:tab w:val="center" w:pos="3152"/>
              </w:tabs>
              <w:rPr>
                <w:rFonts w:cs="Arial"/>
                <w:szCs w:val="19"/>
                <w:lang w:val="en-US"/>
              </w:rPr>
            </w:pPr>
            <w:r>
              <w:rPr>
                <w:rFonts w:cs="Arial"/>
                <w:szCs w:val="19"/>
                <w:lang w:val="en-US"/>
              </w:rPr>
              <w:t>Recurr</w:t>
            </w:r>
            <w:r w:rsidRPr="00532544">
              <w:rPr>
                <w:rFonts w:cs="Arial"/>
                <w:szCs w:val="19"/>
                <w:lang w:val="en-US"/>
              </w:rPr>
              <w:t>ent, metastatic or persistent</w:t>
            </w:r>
            <w:r>
              <w:rPr>
                <w:rFonts w:cs="Arial"/>
                <w:szCs w:val="19"/>
                <w:lang w:val="en-US"/>
              </w:rPr>
              <w:t xml:space="preserve"> cervical cancer</w:t>
            </w:r>
            <w:r w:rsidRPr="00532544">
              <w:rPr>
                <w:rFonts w:cs="Arial"/>
                <w:szCs w:val="19"/>
                <w:lang w:val="en-US"/>
              </w:rPr>
              <w:t xml:space="preserve"> in adults</w:t>
            </w:r>
            <w:r>
              <w:rPr>
                <w:rFonts w:cs="Arial"/>
                <w:szCs w:val="19"/>
                <w:lang w:val="en-US"/>
              </w:rPr>
              <w:t>,</w:t>
            </w:r>
            <w:r w:rsidRPr="00532544">
              <w:rPr>
                <w:rFonts w:cs="Arial"/>
                <w:szCs w:val="19"/>
                <w:lang w:val="en-US"/>
              </w:rPr>
              <w:t xml:space="preserve"> monotherapy or with pembrolizumab</w:t>
            </w:r>
            <w:r>
              <w:rPr>
                <w:rFonts w:cs="Arial"/>
                <w:szCs w:val="19"/>
                <w:lang w:val="en-US"/>
              </w:rPr>
              <w:t xml:space="preserve"> – development discontinued (company decision)</w:t>
            </w:r>
          </w:p>
        </w:tc>
      </w:tr>
      <w:tr w:rsidR="007B262B" w14:paraId="35F02135" w14:textId="77777777" w:rsidTr="00390FEB">
        <w:tc>
          <w:tcPr>
            <w:tcW w:w="1360" w:type="pct"/>
            <w:gridSpan w:val="3"/>
            <w:tcMar>
              <w:top w:w="57" w:type="dxa"/>
              <w:bottom w:w="57" w:type="dxa"/>
            </w:tcMar>
          </w:tcPr>
          <w:p w14:paraId="793261CE" w14:textId="77777777" w:rsidR="007B262B" w:rsidRPr="00660B05" w:rsidRDefault="007B262B" w:rsidP="00390FEB">
            <w:pPr>
              <w:rPr>
                <w:rFonts w:cs="Arial"/>
                <w:szCs w:val="19"/>
              </w:rPr>
            </w:pPr>
            <w:r>
              <w:rPr>
                <w:rFonts w:cs="Arial"/>
                <w:szCs w:val="19"/>
              </w:rPr>
              <w:t>PR006</w:t>
            </w:r>
          </w:p>
        </w:tc>
        <w:tc>
          <w:tcPr>
            <w:tcW w:w="3640" w:type="pct"/>
            <w:tcMar>
              <w:top w:w="57" w:type="dxa"/>
              <w:bottom w:w="57" w:type="dxa"/>
            </w:tcMar>
          </w:tcPr>
          <w:p w14:paraId="1CDF19DE" w14:textId="77777777" w:rsidR="007B262B" w:rsidRPr="008E641A" w:rsidRDefault="007B262B" w:rsidP="00390FEB">
            <w:pPr>
              <w:tabs>
                <w:tab w:val="center" w:pos="3152"/>
              </w:tabs>
              <w:rPr>
                <w:rFonts w:cs="Arial"/>
                <w:szCs w:val="19"/>
                <w:lang w:val="en-US"/>
              </w:rPr>
            </w:pPr>
            <w:r>
              <w:rPr>
                <w:rFonts w:cs="Arial"/>
                <w:szCs w:val="19"/>
                <w:lang w:val="en-US"/>
              </w:rPr>
              <w:t>F</w:t>
            </w:r>
            <w:r w:rsidRPr="006C4194">
              <w:rPr>
                <w:rFonts w:cs="Arial"/>
                <w:szCs w:val="19"/>
                <w:lang w:val="en-US"/>
              </w:rPr>
              <w:t>rontotemporal</w:t>
            </w:r>
            <w:r>
              <w:rPr>
                <w:rFonts w:cs="Arial"/>
                <w:szCs w:val="19"/>
                <w:lang w:val="en-US"/>
              </w:rPr>
              <w:t xml:space="preserve"> d</w:t>
            </w:r>
            <w:r w:rsidRPr="006C4194">
              <w:rPr>
                <w:rFonts w:cs="Arial"/>
                <w:szCs w:val="19"/>
                <w:lang w:val="en-US"/>
              </w:rPr>
              <w:t>ementia caused by mutations in the granulin gene in adults</w:t>
            </w:r>
            <w:r>
              <w:rPr>
                <w:rFonts w:cs="Arial"/>
                <w:szCs w:val="19"/>
                <w:lang w:val="en-US"/>
              </w:rPr>
              <w:t xml:space="preserve"> – development discontinued (lack of efficacy)</w:t>
            </w:r>
          </w:p>
        </w:tc>
      </w:tr>
      <w:tr w:rsidR="007B262B" w14:paraId="33627391" w14:textId="77777777" w:rsidTr="00390FEB">
        <w:tc>
          <w:tcPr>
            <w:tcW w:w="1360" w:type="pct"/>
            <w:gridSpan w:val="3"/>
            <w:tcMar>
              <w:top w:w="57" w:type="dxa"/>
              <w:bottom w:w="57" w:type="dxa"/>
            </w:tcMar>
          </w:tcPr>
          <w:p w14:paraId="5836B3A3" w14:textId="77777777" w:rsidR="007B262B" w:rsidRPr="003964A7" w:rsidRDefault="007B262B" w:rsidP="00390FEB">
            <w:pPr>
              <w:rPr>
                <w:rFonts w:cs="Arial"/>
                <w:szCs w:val="19"/>
              </w:rPr>
            </w:pPr>
            <w:proofErr w:type="spellStart"/>
            <w:r>
              <w:rPr>
                <w:rFonts w:cs="Arial"/>
                <w:szCs w:val="19"/>
              </w:rPr>
              <w:t>Sasanlimab</w:t>
            </w:r>
            <w:proofErr w:type="spellEnd"/>
            <w:r>
              <w:rPr>
                <w:rFonts w:cs="Arial"/>
                <w:szCs w:val="19"/>
              </w:rPr>
              <w:t xml:space="preserve"> (</w:t>
            </w:r>
            <w:proofErr w:type="spellStart"/>
            <w:r>
              <w:rPr>
                <w:rFonts w:cs="Arial"/>
                <w:i/>
                <w:iCs/>
                <w:szCs w:val="19"/>
              </w:rPr>
              <w:t>Zumrad</w:t>
            </w:r>
            <w:proofErr w:type="spellEnd"/>
            <w:r>
              <w:rPr>
                <w:rFonts w:cs="Arial"/>
                <w:szCs w:val="19"/>
              </w:rPr>
              <w:t>)</w:t>
            </w:r>
          </w:p>
        </w:tc>
        <w:tc>
          <w:tcPr>
            <w:tcW w:w="3640" w:type="pct"/>
            <w:tcMar>
              <w:top w:w="57" w:type="dxa"/>
              <w:bottom w:w="57" w:type="dxa"/>
            </w:tcMar>
          </w:tcPr>
          <w:p w14:paraId="459655B2" w14:textId="77777777" w:rsidR="007B262B" w:rsidRPr="00EE531B" w:rsidRDefault="007B262B" w:rsidP="00390FEB">
            <w:pPr>
              <w:tabs>
                <w:tab w:val="center" w:pos="3152"/>
              </w:tabs>
              <w:rPr>
                <w:rFonts w:cs="Arial"/>
                <w:szCs w:val="19"/>
                <w:lang w:val="en-US"/>
              </w:rPr>
            </w:pPr>
            <w:r w:rsidRPr="00865539">
              <w:rPr>
                <w:rFonts w:cs="Arial"/>
                <w:szCs w:val="19"/>
                <w:lang w:val="en-US"/>
              </w:rPr>
              <w:t xml:space="preserve">Treatment of </w:t>
            </w:r>
            <w:r>
              <w:rPr>
                <w:rFonts w:cs="Arial"/>
                <w:szCs w:val="19"/>
                <w:lang w:val="en-US"/>
              </w:rPr>
              <w:t xml:space="preserve">high-risk </w:t>
            </w:r>
            <w:r w:rsidRPr="00865539">
              <w:rPr>
                <w:rFonts w:cs="Arial"/>
                <w:szCs w:val="19"/>
                <w:lang w:val="en-US"/>
              </w:rPr>
              <w:t>non-muscle invasive bladder cancer in adults who have not previously been treated with BCG</w:t>
            </w:r>
            <w:r>
              <w:rPr>
                <w:rFonts w:cs="Arial"/>
                <w:szCs w:val="19"/>
                <w:lang w:val="en-US"/>
              </w:rPr>
              <w:t xml:space="preserve"> – EU filing withdrawn</w:t>
            </w:r>
          </w:p>
        </w:tc>
      </w:tr>
      <w:tr w:rsidR="007B262B" w14:paraId="264779C4" w14:textId="77777777" w:rsidTr="00390FEB">
        <w:tc>
          <w:tcPr>
            <w:tcW w:w="1360" w:type="pct"/>
            <w:gridSpan w:val="3"/>
            <w:tcMar>
              <w:top w:w="57" w:type="dxa"/>
              <w:bottom w:w="57" w:type="dxa"/>
            </w:tcMar>
          </w:tcPr>
          <w:p w14:paraId="62F85CB6" w14:textId="04B2E9F1" w:rsidR="007B262B" w:rsidRDefault="007B262B" w:rsidP="00390FEB">
            <w:pPr>
              <w:rPr>
                <w:rFonts w:cs="Arial"/>
                <w:szCs w:val="19"/>
              </w:rPr>
            </w:pPr>
            <w:proofErr w:type="spellStart"/>
            <w:r w:rsidRPr="0084367E">
              <w:rPr>
                <w:rFonts w:cs="Arial"/>
                <w:szCs w:val="19"/>
              </w:rPr>
              <w:t>Trofinetide</w:t>
            </w:r>
            <w:proofErr w:type="spellEnd"/>
            <w:r w:rsidRPr="0084367E">
              <w:rPr>
                <w:rFonts w:cs="Arial"/>
                <w:szCs w:val="19"/>
              </w:rPr>
              <w:t xml:space="preserve"> (</w:t>
            </w:r>
            <w:proofErr w:type="spellStart"/>
            <w:r w:rsidRPr="0084367E">
              <w:rPr>
                <w:rFonts w:cs="Arial"/>
                <w:i/>
                <w:iCs/>
                <w:szCs w:val="19"/>
              </w:rPr>
              <w:t>Daybu</w:t>
            </w:r>
            <w:proofErr w:type="spellEnd"/>
            <w:r w:rsidRPr="0084367E">
              <w:rPr>
                <w:rFonts w:cs="Arial"/>
                <w:szCs w:val="19"/>
              </w:rPr>
              <w:t>)</w:t>
            </w:r>
          </w:p>
        </w:tc>
        <w:tc>
          <w:tcPr>
            <w:tcW w:w="3640" w:type="pct"/>
            <w:tcMar>
              <w:top w:w="57" w:type="dxa"/>
              <w:bottom w:w="57" w:type="dxa"/>
            </w:tcMar>
          </w:tcPr>
          <w:p w14:paraId="6D09A68E" w14:textId="77777777" w:rsidR="007B262B" w:rsidRDefault="007B262B" w:rsidP="00390FEB">
            <w:pPr>
              <w:tabs>
                <w:tab w:val="center" w:pos="3152"/>
              </w:tabs>
              <w:rPr>
                <w:rFonts w:cs="Arial"/>
                <w:szCs w:val="19"/>
                <w:lang w:val="en-US"/>
              </w:rPr>
            </w:pPr>
            <w:r w:rsidRPr="00EE531B">
              <w:rPr>
                <w:rFonts w:cs="Arial"/>
                <w:szCs w:val="19"/>
                <w:lang w:val="en-US"/>
              </w:rPr>
              <w:t>Treatment of Rett syndrome</w:t>
            </w:r>
            <w:r>
              <w:rPr>
                <w:rFonts w:cs="Arial"/>
                <w:szCs w:val="19"/>
                <w:lang w:val="en-US"/>
              </w:rPr>
              <w:t xml:space="preserve"> </w:t>
            </w:r>
            <w:r w:rsidRPr="00DA4397">
              <w:rPr>
                <w:rFonts w:cs="Arial"/>
                <w:szCs w:val="19"/>
              </w:rPr>
              <w:t>in adults and children aged 2 years and older</w:t>
            </w:r>
            <w:r>
              <w:rPr>
                <w:rFonts w:cs="Arial"/>
                <w:szCs w:val="19"/>
              </w:rPr>
              <w:t xml:space="preserve"> – not recommended for approval in EU</w:t>
            </w:r>
          </w:p>
        </w:tc>
      </w:tr>
      <w:tr w:rsidR="007B262B" w14:paraId="0CE0369B" w14:textId="77777777" w:rsidTr="00390FEB">
        <w:tc>
          <w:tcPr>
            <w:tcW w:w="1360" w:type="pct"/>
            <w:gridSpan w:val="3"/>
            <w:tcMar>
              <w:top w:w="57" w:type="dxa"/>
              <w:bottom w:w="57" w:type="dxa"/>
            </w:tcMar>
          </w:tcPr>
          <w:p w14:paraId="1F172880" w14:textId="77777777" w:rsidR="007B262B" w:rsidRPr="00A63D29" w:rsidRDefault="007B262B" w:rsidP="00390FEB">
            <w:pPr>
              <w:rPr>
                <w:rFonts w:cs="Arial"/>
                <w:szCs w:val="19"/>
              </w:rPr>
            </w:pPr>
            <w:r w:rsidRPr="005C07A0">
              <w:rPr>
                <w:rFonts w:cs="Arial"/>
                <w:szCs w:val="19"/>
              </w:rPr>
              <w:t>UCART19</w:t>
            </w:r>
          </w:p>
        </w:tc>
        <w:tc>
          <w:tcPr>
            <w:tcW w:w="3640" w:type="pct"/>
            <w:tcMar>
              <w:top w:w="57" w:type="dxa"/>
              <w:bottom w:w="57" w:type="dxa"/>
            </w:tcMar>
          </w:tcPr>
          <w:p w14:paraId="5679773D" w14:textId="77777777" w:rsidR="007B262B" w:rsidRDefault="007B262B" w:rsidP="00390FEB">
            <w:pPr>
              <w:tabs>
                <w:tab w:val="center" w:pos="3152"/>
              </w:tabs>
              <w:rPr>
                <w:rFonts w:cs="Arial"/>
                <w:szCs w:val="19"/>
                <w:lang w:val="en-US"/>
              </w:rPr>
            </w:pPr>
            <w:r>
              <w:rPr>
                <w:rFonts w:cs="Arial"/>
                <w:szCs w:val="19"/>
                <w:lang w:val="en-US"/>
              </w:rPr>
              <w:t>R</w:t>
            </w:r>
            <w:r w:rsidRPr="000A7106">
              <w:rPr>
                <w:rFonts w:cs="Arial"/>
                <w:szCs w:val="19"/>
                <w:lang w:val="en-US"/>
              </w:rPr>
              <w:t>elapsed or refractory</w:t>
            </w:r>
            <w:r>
              <w:rPr>
                <w:rFonts w:cs="Arial"/>
                <w:szCs w:val="19"/>
                <w:lang w:val="en-US"/>
              </w:rPr>
              <w:t xml:space="preserve">, </w:t>
            </w:r>
            <w:r w:rsidRPr="000A7106">
              <w:rPr>
                <w:rFonts w:cs="Arial"/>
                <w:szCs w:val="19"/>
                <w:lang w:val="en-US"/>
              </w:rPr>
              <w:t>B-cell</w:t>
            </w:r>
            <w:r>
              <w:rPr>
                <w:rFonts w:cs="Arial"/>
                <w:szCs w:val="19"/>
                <w:lang w:val="en-US"/>
              </w:rPr>
              <w:t xml:space="preserve"> a</w:t>
            </w:r>
            <w:r w:rsidRPr="000A7106">
              <w:rPr>
                <w:rFonts w:cs="Arial"/>
                <w:szCs w:val="19"/>
                <w:lang w:val="en-US"/>
              </w:rPr>
              <w:t xml:space="preserve">cute lymphoblastic leukaemia </w:t>
            </w:r>
            <w:r>
              <w:rPr>
                <w:rFonts w:cs="Arial"/>
                <w:szCs w:val="19"/>
                <w:lang w:val="en-US"/>
              </w:rPr>
              <w:t>i</w:t>
            </w:r>
            <w:r w:rsidRPr="000A7106">
              <w:rPr>
                <w:rFonts w:cs="Arial"/>
                <w:szCs w:val="19"/>
                <w:lang w:val="en-US"/>
              </w:rPr>
              <w:t>n adults and children</w:t>
            </w:r>
            <w:r>
              <w:rPr>
                <w:rFonts w:cs="Arial"/>
                <w:szCs w:val="19"/>
                <w:lang w:val="en-US"/>
              </w:rPr>
              <w:t xml:space="preserve"> – development discontinued (company decision)</w:t>
            </w:r>
          </w:p>
        </w:tc>
      </w:tr>
      <w:tr w:rsidR="007B262B" w14:paraId="548C521C" w14:textId="77777777" w:rsidTr="00390FEB">
        <w:tc>
          <w:tcPr>
            <w:tcW w:w="1360" w:type="pct"/>
            <w:gridSpan w:val="3"/>
            <w:tcMar>
              <w:top w:w="57" w:type="dxa"/>
              <w:bottom w:w="57" w:type="dxa"/>
            </w:tcMar>
          </w:tcPr>
          <w:p w14:paraId="109B8AD0" w14:textId="77777777" w:rsidR="007B262B" w:rsidRPr="005C07A0" w:rsidRDefault="007B262B" w:rsidP="00390FEB">
            <w:pPr>
              <w:rPr>
                <w:rFonts w:cs="Arial"/>
                <w:szCs w:val="19"/>
              </w:rPr>
            </w:pPr>
            <w:proofErr w:type="spellStart"/>
            <w:r w:rsidRPr="00CF3CD5">
              <w:rPr>
                <w:rFonts w:cs="Arial"/>
                <w:szCs w:val="19"/>
              </w:rPr>
              <w:t>Zalfermin</w:t>
            </w:r>
            <w:proofErr w:type="spellEnd"/>
            <w:r>
              <w:rPr>
                <w:rFonts w:cs="Arial"/>
                <w:szCs w:val="19"/>
              </w:rPr>
              <w:t xml:space="preserve"> </w:t>
            </w:r>
          </w:p>
        </w:tc>
        <w:tc>
          <w:tcPr>
            <w:tcW w:w="3640" w:type="pct"/>
            <w:tcMar>
              <w:top w:w="57" w:type="dxa"/>
              <w:bottom w:w="57" w:type="dxa"/>
            </w:tcMar>
          </w:tcPr>
          <w:p w14:paraId="3A291160" w14:textId="77777777" w:rsidR="007B262B" w:rsidRDefault="007B262B" w:rsidP="00390FEB">
            <w:pPr>
              <w:tabs>
                <w:tab w:val="center" w:pos="3152"/>
              </w:tabs>
              <w:rPr>
                <w:rFonts w:cs="Arial"/>
                <w:szCs w:val="19"/>
                <w:lang w:val="en-US"/>
              </w:rPr>
            </w:pPr>
            <w:r w:rsidRPr="00A077DC">
              <w:rPr>
                <w:rFonts w:cs="Arial"/>
                <w:szCs w:val="19"/>
                <w:lang w:val="en-US"/>
              </w:rPr>
              <w:t>Metabolic dysfunction-associated steatohepatitis in adults with fibrosis stage 2, 3 or 4</w:t>
            </w:r>
            <w:r>
              <w:rPr>
                <w:rFonts w:cs="Arial"/>
                <w:szCs w:val="19"/>
                <w:lang w:val="en-US"/>
              </w:rPr>
              <w:t xml:space="preserve"> – development discontinued (lack of efficacy)</w:t>
            </w:r>
          </w:p>
        </w:tc>
      </w:tr>
      <w:tr w:rsidR="007B262B" w:rsidRPr="000F19E1" w14:paraId="5670944D" w14:textId="77777777" w:rsidTr="00390FEB">
        <w:tc>
          <w:tcPr>
            <w:tcW w:w="1360" w:type="pct"/>
            <w:gridSpan w:val="3"/>
            <w:tcMar>
              <w:top w:w="0" w:type="dxa"/>
              <w:bottom w:w="0" w:type="dxa"/>
            </w:tcMar>
          </w:tcPr>
          <w:p w14:paraId="2636EBE4" w14:textId="77777777" w:rsidR="007B262B" w:rsidRPr="000F19E1" w:rsidRDefault="007B262B" w:rsidP="00390FEB">
            <w:pPr>
              <w:rPr>
                <w:rFonts w:cs="Arial"/>
                <w:bCs/>
                <w:sz w:val="8"/>
                <w:szCs w:val="8"/>
              </w:rPr>
            </w:pPr>
          </w:p>
        </w:tc>
        <w:tc>
          <w:tcPr>
            <w:tcW w:w="3640" w:type="pct"/>
            <w:tcMar>
              <w:top w:w="0" w:type="dxa"/>
              <w:bottom w:w="0" w:type="dxa"/>
            </w:tcMar>
          </w:tcPr>
          <w:p w14:paraId="24045D00" w14:textId="77777777" w:rsidR="007B262B" w:rsidRPr="000F19E1" w:rsidRDefault="007B262B" w:rsidP="00390FEB">
            <w:pPr>
              <w:tabs>
                <w:tab w:val="center" w:pos="3152"/>
              </w:tabs>
              <w:rPr>
                <w:rFonts w:cs="Arial"/>
                <w:sz w:val="8"/>
                <w:szCs w:val="8"/>
                <w:lang w:val="en-US"/>
              </w:rPr>
            </w:pPr>
          </w:p>
        </w:tc>
      </w:tr>
      <w:tr w:rsidR="007B262B" w:rsidRPr="000F19E1" w14:paraId="50F89A76" w14:textId="77777777" w:rsidTr="00390FEB">
        <w:tc>
          <w:tcPr>
            <w:tcW w:w="1355" w:type="pct"/>
            <w:gridSpan w:val="2"/>
            <w:shd w:val="clear" w:color="auto" w:fill="DAEEF3"/>
            <w:tcMar>
              <w:top w:w="0" w:type="dxa"/>
              <w:bottom w:w="0" w:type="dxa"/>
            </w:tcMar>
          </w:tcPr>
          <w:p w14:paraId="37F63CDE" w14:textId="77777777" w:rsidR="007B262B" w:rsidRPr="000F19E1" w:rsidRDefault="007B262B" w:rsidP="00390FEB">
            <w:pPr>
              <w:rPr>
                <w:rFonts w:cs="Arial"/>
                <w:bCs/>
                <w:sz w:val="8"/>
                <w:szCs w:val="8"/>
              </w:rPr>
            </w:pPr>
          </w:p>
        </w:tc>
        <w:tc>
          <w:tcPr>
            <w:tcW w:w="3645" w:type="pct"/>
            <w:gridSpan w:val="2"/>
            <w:shd w:val="clear" w:color="auto" w:fill="DAEEF3"/>
            <w:tcMar>
              <w:top w:w="0" w:type="dxa"/>
              <w:bottom w:w="0" w:type="dxa"/>
            </w:tcMar>
          </w:tcPr>
          <w:p w14:paraId="7C89E3E4" w14:textId="77777777" w:rsidR="007B262B" w:rsidRPr="000F19E1" w:rsidRDefault="007B262B" w:rsidP="00390FEB">
            <w:pPr>
              <w:tabs>
                <w:tab w:val="center" w:pos="3152"/>
              </w:tabs>
              <w:rPr>
                <w:rFonts w:cs="Arial"/>
                <w:sz w:val="8"/>
                <w:szCs w:val="8"/>
                <w:lang w:val="en-US"/>
              </w:rPr>
            </w:pPr>
          </w:p>
        </w:tc>
      </w:tr>
    </w:tbl>
    <w:p w14:paraId="5D03A427" w14:textId="77777777" w:rsidR="007B262B" w:rsidRPr="008949EF" w:rsidRDefault="007B262B" w:rsidP="003D16EF">
      <w:pPr>
        <w:rPr>
          <w:sz w:val="8"/>
          <w:szCs w:val="8"/>
        </w:rPr>
      </w:pPr>
    </w:p>
    <w:sectPr w:rsidR="007B262B" w:rsidRPr="008949EF" w:rsidSect="00F566AB">
      <w:headerReference w:type="even" r:id="rId18"/>
      <w:headerReference w:type="default" r:id="rId19"/>
      <w:footerReference w:type="default" r:id="rId20"/>
      <w:headerReference w:type="first" r:id="rId21"/>
      <w:type w:val="evenPage"/>
      <w:pgSz w:w="11906" w:h="16838" w:code="9"/>
      <w:pgMar w:top="1021" w:right="851" w:bottom="102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C962" w14:textId="77777777" w:rsidR="00C54918" w:rsidRDefault="00C54918">
      <w:r>
        <w:separator/>
      </w:r>
    </w:p>
  </w:endnote>
  <w:endnote w:type="continuationSeparator" w:id="0">
    <w:p w14:paraId="6461B0D8" w14:textId="77777777" w:rsidR="00C54918" w:rsidRDefault="00C5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303" w:type="dxa"/>
      <w:tblBorders>
        <w:top w:val="single" w:sz="4" w:space="0" w:color="000000"/>
        <w:left w:val="single" w:sz="4" w:space="0" w:color="000000"/>
        <w:bottom w:val="single" w:sz="4" w:space="0" w:color="000000"/>
        <w:right w:val="single" w:sz="4" w:space="0" w:color="000000"/>
        <w:insideH w:val="single" w:sz="4" w:space="0" w:color="000000"/>
      </w:tblBorders>
      <w:tblLook w:val="01E0" w:firstRow="1" w:lastRow="1" w:firstColumn="1" w:lastColumn="1" w:noHBand="0" w:noVBand="0"/>
    </w:tblPr>
    <w:tblGrid>
      <w:gridCol w:w="10980"/>
    </w:tblGrid>
    <w:tr w:rsidR="000D44DB" w:rsidRPr="00710A1C" w14:paraId="204B9212" w14:textId="77777777">
      <w:tc>
        <w:tcPr>
          <w:tcW w:w="10980" w:type="dxa"/>
          <w:shd w:val="clear" w:color="auto" w:fill="3366FF"/>
          <w:tcMar>
            <w:top w:w="28" w:type="dxa"/>
            <w:left w:w="57" w:type="dxa"/>
            <w:bottom w:w="28" w:type="dxa"/>
            <w:right w:w="57" w:type="dxa"/>
          </w:tcMar>
        </w:tcPr>
        <w:p w14:paraId="19D1CA53" w14:textId="77777777" w:rsidR="000D44DB" w:rsidRPr="00710A1C" w:rsidRDefault="000D44DB" w:rsidP="00710A1C">
          <w:pPr>
            <w:spacing w:before="60" w:after="60"/>
            <w:ind w:right="57"/>
            <w:rPr>
              <w:rFonts w:ascii="Verdana" w:hAnsi="Verdana" w:cs="Arial"/>
              <w:b/>
              <w:bCs/>
              <w:color w:val="000080"/>
              <w:sz w:val="15"/>
              <w:szCs w:val="15"/>
              <w:lang w:val="en-US"/>
            </w:rPr>
          </w:pPr>
          <w:r w:rsidRPr="00710A1C">
            <w:rPr>
              <w:rFonts w:ascii="Verdana" w:hAnsi="Verdana" w:cs="Arial"/>
              <w:b/>
              <w:bCs/>
              <w:color w:val="FFFFFF"/>
              <w:sz w:val="15"/>
              <w:szCs w:val="15"/>
              <w:lang w:val="en-US"/>
            </w:rPr>
            <w:t xml:space="preserve">If you do not wish to continue receiving NDO </w:t>
          </w:r>
          <w:r w:rsidRPr="00710A1C">
            <w:rPr>
              <w:rFonts w:ascii="Verdana" w:hAnsi="Verdana" w:cs="Arial"/>
              <w:b/>
              <w:bCs/>
              <w:i/>
              <w:color w:val="FFFFFF"/>
              <w:sz w:val="15"/>
              <w:szCs w:val="15"/>
              <w:lang w:val="en-US"/>
            </w:rPr>
            <w:t>Newsletter</w:t>
          </w:r>
          <w:r w:rsidRPr="00710A1C">
            <w:rPr>
              <w:rFonts w:ascii="Verdana" w:hAnsi="Verdana" w:cs="Arial"/>
              <w:b/>
              <w:bCs/>
              <w:color w:val="FFFFFF"/>
              <w:sz w:val="15"/>
              <w:szCs w:val="15"/>
              <w:lang w:val="en-US"/>
            </w:rPr>
            <w:t xml:space="preserve"> log in and update your profile at </w:t>
          </w:r>
          <w:hyperlink r:id="rId1" w:history="1">
            <w:r w:rsidRPr="00710A1C">
              <w:rPr>
                <w:rStyle w:val="Hyperlink"/>
                <w:rFonts w:cs="Arial"/>
                <w:b/>
                <w:bCs/>
                <w:color w:val="FFFFFF"/>
                <w:sz w:val="15"/>
                <w:szCs w:val="15"/>
                <w:lang w:val="en-US"/>
              </w:rPr>
              <w:t>www.ukmi.nhs.uk/ndo</w:t>
            </w:r>
          </w:hyperlink>
        </w:p>
      </w:tc>
    </w:tr>
    <w:tr w:rsidR="000D44DB" w14:paraId="4C8FFF22" w14:textId="77777777">
      <w:tc>
        <w:tcPr>
          <w:tcW w:w="10980" w:type="dxa"/>
          <w:tcMar>
            <w:left w:w="28" w:type="dxa"/>
            <w:right w:w="28" w:type="dxa"/>
          </w:tcMar>
        </w:tcPr>
        <w:p w14:paraId="0E2F6DB2" w14:textId="77777777" w:rsidR="000D44DB" w:rsidRPr="00710A1C" w:rsidRDefault="000D44DB" w:rsidP="00710A1C">
          <w:pPr>
            <w:spacing w:before="120" w:after="60"/>
            <w:ind w:left="57" w:right="57"/>
            <w:rPr>
              <w:sz w:val="15"/>
              <w:szCs w:val="15"/>
            </w:rPr>
          </w:pPr>
          <w:r w:rsidRPr="00710A1C">
            <w:rPr>
              <w:rFonts w:ascii="Verdana" w:hAnsi="Verdana" w:cs="Arial"/>
              <w:b/>
              <w:bCs/>
              <w:color w:val="333399"/>
              <w:sz w:val="15"/>
              <w:szCs w:val="15"/>
              <w:lang w:val="en-US"/>
            </w:rPr>
            <w:t>In September 2011</w:t>
          </w:r>
          <w:r w:rsidRPr="00710A1C">
            <w:rPr>
              <w:rFonts w:ascii="Verdana" w:hAnsi="Verdana" w:cs="Arial"/>
              <w:bCs/>
              <w:color w:val="000000"/>
              <w:sz w:val="15"/>
              <w:szCs w:val="15"/>
              <w:lang w:val="en-US"/>
            </w:rPr>
            <w:t xml:space="preserve"> </w:t>
          </w:r>
          <w:r w:rsidRPr="00710A1C">
            <w:rPr>
              <w:rFonts w:ascii="Verdana" w:hAnsi="Verdana" w:cs="Arial"/>
              <w:b/>
              <w:bCs/>
              <w:color w:val="000000"/>
              <w:sz w:val="15"/>
              <w:szCs w:val="15"/>
              <w:lang w:val="en-US"/>
            </w:rPr>
            <w:t>| 229 monographs updated | 14 evidence-based evaluations added | 2,200 registered NDO users</w:t>
          </w:r>
        </w:p>
      </w:tc>
    </w:tr>
  </w:tbl>
  <w:p w14:paraId="4B3BA167" w14:textId="77777777" w:rsidR="000D44DB" w:rsidRDefault="000D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37DF7E9C" w14:textId="77777777" w:rsidTr="001734BF">
      <w:trPr>
        <w:trHeight w:val="262"/>
      </w:trPr>
      <w:tc>
        <w:tcPr>
          <w:tcW w:w="10774" w:type="dxa"/>
          <w:shd w:val="clear" w:color="auto" w:fill="0070C0"/>
          <w:tcMar>
            <w:top w:w="28" w:type="dxa"/>
            <w:left w:w="57" w:type="dxa"/>
            <w:bottom w:w="28" w:type="dxa"/>
            <w:right w:w="57" w:type="dxa"/>
          </w:tcMar>
        </w:tcPr>
        <w:p w14:paraId="60264986"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 xml:space="preserve">This is </w:t>
          </w:r>
          <w:proofErr w:type="gramStart"/>
          <w:r w:rsidRPr="00114EBA">
            <w:rPr>
              <w:rFonts w:cs="Arial"/>
              <w:b/>
              <w:bCs/>
              <w:color w:val="FFFFFF"/>
              <w:sz w:val="17"/>
              <w:szCs w:val="17"/>
              <w:lang w:val="en-US"/>
            </w:rPr>
            <w:t>a</w:t>
          </w:r>
          <w:proofErr w:type="gramEnd"/>
          <w:r w:rsidRPr="00114EBA">
            <w:rPr>
              <w:rFonts w:cs="Arial"/>
              <w:b/>
              <w:bCs/>
              <w:color w:val="FFFFFF"/>
              <w:sz w:val="17"/>
              <w:szCs w:val="17"/>
              <w:lang w:val="en-US"/>
            </w:rPr>
            <w:t xml:space="preserve"> NHS document not to be used for commercial purposes</w:t>
          </w:r>
        </w:p>
      </w:tc>
    </w:tr>
    <w:tr w:rsidR="001F4283" w:rsidRPr="00862949" w14:paraId="5A87C335" w14:textId="77777777" w:rsidTr="001734BF">
      <w:trPr>
        <w:trHeight w:val="331"/>
      </w:trPr>
      <w:tc>
        <w:tcPr>
          <w:tcW w:w="10774" w:type="dxa"/>
          <w:shd w:val="clear" w:color="auto" w:fill="DAEEF3"/>
          <w:tcMar>
            <w:left w:w="28" w:type="dxa"/>
            <w:right w:w="28" w:type="dxa"/>
          </w:tcMar>
        </w:tcPr>
        <w:p w14:paraId="1408F3DA"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w:t>
          </w:r>
          <w:proofErr w:type="spellStart"/>
          <w:r w:rsidRPr="00114EBA">
            <w:rPr>
              <w:rFonts w:cs="Arial"/>
              <w:bCs/>
              <w:color w:val="000000"/>
              <w:sz w:val="17"/>
              <w:szCs w:val="17"/>
              <w:lang w:val="en-US"/>
            </w:rPr>
            <w:t>organisations</w:t>
          </w:r>
          <w:proofErr w:type="spellEnd"/>
          <w:r w:rsidRPr="00114EBA">
            <w:rPr>
              <w:rFonts w:cs="Arial"/>
              <w:bCs/>
              <w:color w:val="000000"/>
              <w:sz w:val="17"/>
              <w:szCs w:val="17"/>
              <w:lang w:val="en-US"/>
            </w:rPr>
            <w:t xml:space="preserve"> develop medicines management policies and to inform prescribing decisions when a product has been launched. </w:t>
          </w:r>
        </w:p>
        <w:p w14:paraId="367FA91E"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2558A3E5" w14:textId="77777777" w:rsidR="000D44DB" w:rsidRDefault="000D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7972AE3E" w14:textId="77777777" w:rsidTr="001734BF">
      <w:trPr>
        <w:trHeight w:val="262"/>
      </w:trPr>
      <w:tc>
        <w:tcPr>
          <w:tcW w:w="10774" w:type="dxa"/>
          <w:shd w:val="clear" w:color="auto" w:fill="0070C0"/>
          <w:tcMar>
            <w:top w:w="28" w:type="dxa"/>
            <w:left w:w="57" w:type="dxa"/>
            <w:bottom w:w="28" w:type="dxa"/>
            <w:right w:w="57" w:type="dxa"/>
          </w:tcMar>
        </w:tcPr>
        <w:p w14:paraId="702C9590"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 xml:space="preserve">This is </w:t>
          </w:r>
          <w:proofErr w:type="gramStart"/>
          <w:r w:rsidRPr="00114EBA">
            <w:rPr>
              <w:rFonts w:cs="Arial"/>
              <w:b/>
              <w:bCs/>
              <w:color w:val="FFFFFF"/>
              <w:sz w:val="17"/>
              <w:szCs w:val="17"/>
              <w:lang w:val="en-US"/>
            </w:rPr>
            <w:t>a</w:t>
          </w:r>
          <w:proofErr w:type="gramEnd"/>
          <w:r w:rsidRPr="00114EBA">
            <w:rPr>
              <w:rFonts w:cs="Arial"/>
              <w:b/>
              <w:bCs/>
              <w:color w:val="FFFFFF"/>
              <w:sz w:val="17"/>
              <w:szCs w:val="17"/>
              <w:lang w:val="en-US"/>
            </w:rPr>
            <w:t xml:space="preserve"> NHS document not to be used for commercial purposes</w:t>
          </w:r>
        </w:p>
      </w:tc>
    </w:tr>
    <w:tr w:rsidR="001F4283" w:rsidRPr="00862949" w14:paraId="3BAB372A" w14:textId="77777777" w:rsidTr="001734BF">
      <w:trPr>
        <w:trHeight w:val="331"/>
      </w:trPr>
      <w:tc>
        <w:tcPr>
          <w:tcW w:w="10774" w:type="dxa"/>
          <w:shd w:val="clear" w:color="auto" w:fill="DAEEF3"/>
          <w:tcMar>
            <w:left w:w="28" w:type="dxa"/>
            <w:right w:w="28" w:type="dxa"/>
          </w:tcMar>
        </w:tcPr>
        <w:p w14:paraId="3F938752"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w:t>
          </w:r>
          <w:proofErr w:type="spellStart"/>
          <w:r w:rsidRPr="00114EBA">
            <w:rPr>
              <w:rFonts w:cs="Arial"/>
              <w:bCs/>
              <w:color w:val="000000"/>
              <w:sz w:val="17"/>
              <w:szCs w:val="17"/>
              <w:lang w:val="en-US"/>
            </w:rPr>
            <w:t>organisations</w:t>
          </w:r>
          <w:proofErr w:type="spellEnd"/>
          <w:r w:rsidRPr="00114EBA">
            <w:rPr>
              <w:rFonts w:cs="Arial"/>
              <w:bCs/>
              <w:color w:val="000000"/>
              <w:sz w:val="17"/>
              <w:szCs w:val="17"/>
              <w:lang w:val="en-US"/>
            </w:rPr>
            <w:t xml:space="preserve"> develop medicines management policies and to inform prescribing decisions when a product has been launched. </w:t>
          </w:r>
        </w:p>
        <w:p w14:paraId="19BB25F0"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32700AF8" w14:textId="77777777" w:rsidR="000D44DB" w:rsidRPr="00862949" w:rsidRDefault="000D44DB" w:rsidP="00F95449">
    <w:pPr>
      <w:spacing w:before="60" w:after="60"/>
      <w:ind w:left="57" w:right="57"/>
      <w:jc w:val="center"/>
      <w:rPr>
        <w:rFonts w:cs="Arial"/>
        <w:bCs/>
        <w:color w:val="333399"/>
        <w:sz w:val="8"/>
        <w:szCs w:val="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3E4C" w14:textId="77777777" w:rsidR="00C54918" w:rsidRDefault="00C54918">
      <w:r>
        <w:separator/>
      </w:r>
    </w:p>
  </w:footnote>
  <w:footnote w:type="continuationSeparator" w:id="0">
    <w:p w14:paraId="279C78BD" w14:textId="77777777" w:rsidR="00C54918" w:rsidRDefault="00C5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4B4C" w14:textId="23281800" w:rsidR="000D44DB" w:rsidRPr="00CD021E" w:rsidRDefault="00CD021E" w:rsidP="009A09B7">
    <w:pPr>
      <w:pStyle w:val="Header"/>
      <w:rPr>
        <w:rFonts w:ascii="Verdana" w:hAnsi="Verdana" w:cs="Arial"/>
        <w:b/>
        <w:bCs/>
        <w:i/>
        <w:color w:val="33CCCC"/>
        <w:sz w:val="52"/>
        <w:szCs w:val="5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2" behindDoc="1" locked="0" layoutInCell="1" allowOverlap="1" wp14:anchorId="36FBCF22" wp14:editId="75460A23">
          <wp:simplePos x="0" y="0"/>
          <wp:positionH relativeFrom="column">
            <wp:posOffset>5715000</wp:posOffset>
          </wp:positionH>
          <wp:positionV relativeFrom="paragraph">
            <wp:posOffset>10795</wp:posOffset>
          </wp:positionV>
          <wp:extent cx="816610" cy="463550"/>
          <wp:effectExtent l="0" t="0" r="2540" b="0"/>
          <wp:wrapTight wrapText="bothSides">
            <wp:wrapPolygon edited="0">
              <wp:start x="0" y="0"/>
              <wp:lineTo x="0" y="20416"/>
              <wp:lineTo x="21163" y="20416"/>
              <wp:lineTo x="21163" y="0"/>
              <wp:lineTo x="0" y="0"/>
            </wp:wrapPolygon>
          </wp:wrapTight>
          <wp:docPr id="1372052531" name="Picture 1372052531" descr="UKMi log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Mi logo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AFFE929" wp14:editId="66A09AE4">
          <wp:simplePos x="0" y="0"/>
          <wp:positionH relativeFrom="column">
            <wp:posOffset>5193665</wp:posOffset>
          </wp:positionH>
          <wp:positionV relativeFrom="paragraph">
            <wp:posOffset>116205</wp:posOffset>
          </wp:positionV>
          <wp:extent cx="533400" cy="219075"/>
          <wp:effectExtent l="0" t="0" r="0" b="9525"/>
          <wp:wrapTight wrapText="bothSides">
            <wp:wrapPolygon edited="0">
              <wp:start x="0" y="0"/>
              <wp:lineTo x="0" y="20661"/>
              <wp:lineTo x="20829" y="20661"/>
              <wp:lineTo x="20829" y="0"/>
              <wp:lineTo x="0" y="0"/>
            </wp:wrapPolygon>
          </wp:wrapTight>
          <wp:docPr id="2119660951" name="Picture 2119660951"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A63043B" wp14:editId="03A61864">
          <wp:extent cx="1075055" cy="467995"/>
          <wp:effectExtent l="0" t="0" r="0" b="8255"/>
          <wp:docPr id="198913519" name="Picture 198913519" descr="N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467995"/>
                  </a:xfrm>
                  <a:prstGeom prst="rect">
                    <a:avLst/>
                  </a:prstGeom>
                  <a:noFill/>
                  <a:ln>
                    <a:noFill/>
                  </a:ln>
                </pic:spPr>
              </pic:pic>
            </a:graphicData>
          </a:graphic>
        </wp:inline>
      </w:drawing>
    </w:r>
    <w:r w:rsidR="000D44DB" w:rsidRPr="00CD021E">
      <w:rPr>
        <w:rFonts w:ascii="Verdana" w:hAnsi="Verdana" w:cs="Arial"/>
        <w:b/>
        <w:bCs/>
        <w:i/>
        <w:color w:val="33CCCC"/>
        <w:sz w:val="44"/>
        <w:szCs w:val="44"/>
        <w14:shadow w14:blurRad="50800" w14:dist="38100" w14:dir="2700000" w14:sx="100000" w14:sy="100000" w14:kx="0" w14:ky="0" w14:algn="tl">
          <w14:srgbClr w14:val="000000">
            <w14:alpha w14:val="60000"/>
          </w14:srgbClr>
        </w14:shadow>
      </w:rPr>
      <w:t>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24B8" w14:textId="542D730B" w:rsidR="000D44DB" w:rsidRPr="00CD021E" w:rsidRDefault="00A75BCB" w:rsidP="00BA65A9">
    <w:pPr>
      <w:pStyle w:val="Header"/>
      <w:ind w:left="-142"/>
      <w:rPr>
        <w:rFonts w:cs="Arial"/>
        <w:b/>
        <w:bCs/>
        <w:color w:val="244061"/>
        <w:sz w:val="32"/>
        <w:szCs w:val="32"/>
        <w14:shadow w14:blurRad="50800" w14:dist="38100" w14:dir="2700000" w14:sx="100000" w14:sy="100000" w14:kx="0" w14:ky="0" w14:algn="tl">
          <w14:srgbClr w14:val="000000">
            <w14:alpha w14:val="60000"/>
          </w14:srgbClr>
        </w14:shadow>
      </w:rPr>
    </w:pPr>
    <w:r>
      <w:rPr>
        <w:noProof/>
        <w:color w:val="00B050"/>
        <w:sz w:val="32"/>
        <w:szCs w:val="32"/>
      </w:rPr>
      <w:drawing>
        <wp:anchor distT="0" distB="0" distL="114300" distR="114300" simplePos="0" relativeHeight="251658240" behindDoc="0" locked="0" layoutInCell="1" allowOverlap="1" wp14:anchorId="16025659" wp14:editId="72B759A3">
          <wp:simplePos x="0" y="0"/>
          <wp:positionH relativeFrom="column">
            <wp:posOffset>6073775</wp:posOffset>
          </wp:positionH>
          <wp:positionV relativeFrom="paragraph">
            <wp:posOffset>-21590</wp:posOffset>
          </wp:positionV>
          <wp:extent cx="521335" cy="213995"/>
          <wp:effectExtent l="0" t="0" r="0" b="0"/>
          <wp:wrapNone/>
          <wp:docPr id="382675172" name="Picture 38267517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96DCE" w14:textId="77777777" w:rsidR="000D44DB" w:rsidRPr="00CD021E" w:rsidRDefault="00CB5BC1" w:rsidP="00CB5BC1">
    <w:pPr>
      <w:pStyle w:val="Header"/>
      <w:tabs>
        <w:tab w:val="left" w:pos="7830"/>
      </w:tabs>
      <w:rPr>
        <w:rFonts w:cs="Arial"/>
        <w:b/>
        <w:bCs/>
        <w:i/>
        <w:color w:val="244061"/>
        <w:sz w:val="72"/>
        <w:szCs w:val="72"/>
        <w14:shadow w14:blurRad="50800" w14:dist="38100" w14:dir="2700000" w14:sx="100000" w14:sy="100000" w14:kx="0" w14:ky="0" w14:algn="tl">
          <w14:srgbClr w14:val="000000">
            <w14:alpha w14:val="60000"/>
          </w14:srgbClr>
        </w14:shadow>
      </w:rPr>
    </w:pPr>
    <w:r w:rsidRPr="00562CE4">
      <w:rPr>
        <w:rFonts w:cs="Arial"/>
        <w:b/>
        <w:bCs/>
        <w:noProof/>
        <w:color w:val="008232"/>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0" behindDoc="0" locked="0" layoutInCell="1" allowOverlap="1" wp14:anchorId="5BA73361" wp14:editId="386AEAFA">
          <wp:simplePos x="0" y="0"/>
          <wp:positionH relativeFrom="column">
            <wp:posOffset>-146685</wp:posOffset>
          </wp:positionH>
          <wp:positionV relativeFrom="paragraph">
            <wp:posOffset>115570</wp:posOffset>
          </wp:positionV>
          <wp:extent cx="1079500" cy="344170"/>
          <wp:effectExtent l="0" t="0" r="6350" b="0"/>
          <wp:wrapSquare wrapText="bothSides"/>
          <wp:docPr id="74100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4DB" w:rsidRPr="00562CE4">
      <w:rPr>
        <w:rFonts w:cs="Arial"/>
        <w:b/>
        <w:bCs/>
        <w:color w:val="008232"/>
        <w:sz w:val="72"/>
        <w:szCs w:val="72"/>
        <w14:shadow w14:blurRad="50800" w14:dist="38100" w14:dir="2700000" w14:sx="100000" w14:sy="100000" w14:kx="0" w14:ky="0" w14:algn="tl">
          <w14:srgbClr w14:val="000000">
            <w14:alpha w14:val="60000"/>
          </w14:srgbClr>
        </w14:shadow>
      </w:rPr>
      <w:t>New Medicines</w:t>
    </w:r>
    <w:r w:rsidR="000D44DB" w:rsidRPr="00CB5BC1">
      <w:rPr>
        <w:rFonts w:cs="Arial"/>
        <w:b/>
        <w:bCs/>
        <w:i/>
        <w:color w:val="00A249"/>
        <w:sz w:val="72"/>
        <w:szCs w:val="72"/>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72"/>
        <w:szCs w:val="72"/>
        <w14:shadow w14:blurRad="50800" w14:dist="38100" w14:dir="2700000" w14:sx="100000" w14:sy="100000" w14:kx="0" w14:ky="0" w14:algn="tl">
          <w14:srgbClr w14:val="000000">
            <w14:alpha w14:val="60000"/>
          </w14:srgbClr>
        </w14:shadow>
      </w:rPr>
      <w:t>News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44DB" w:rsidRPr="00CD021E" w14:paraId="69CC8CD4" w14:textId="77777777" w:rsidTr="002772ED">
      <w:tc>
        <w:tcPr>
          <w:tcW w:w="10774" w:type="dxa"/>
          <w:tcBorders>
            <w:top w:val="nil"/>
            <w:left w:val="nil"/>
            <w:bottom w:val="nil"/>
            <w:right w:val="nil"/>
          </w:tcBorders>
          <w:shd w:val="clear" w:color="auto" w:fill="DAEEF3"/>
        </w:tcPr>
        <w:p w14:paraId="4A062BD6" w14:textId="41D0BA84" w:rsidR="000D44DB" w:rsidRPr="00CD021E" w:rsidRDefault="00874E94" w:rsidP="00EB3E6F">
          <w:pPr>
            <w:pStyle w:val="Header"/>
            <w:spacing w:before="60" w:after="60"/>
            <w:rPr>
              <w:rFonts w:cs="Arial"/>
              <w:b/>
              <w:bCs/>
              <w:color w:val="000000"/>
              <w:sz w:val="36"/>
              <w:szCs w:val="36"/>
              <w14:shadow w14:blurRad="50800" w14:dist="38100" w14:dir="2700000" w14:sx="100000" w14:sy="100000" w14:kx="0" w14:ky="0" w14:algn="tl">
                <w14:srgbClr w14:val="000000">
                  <w14:alpha w14:val="60000"/>
                </w14:srgbClr>
              </w14:shadow>
            </w:rPr>
          </w:pPr>
          <w:r>
            <w:rPr>
              <w:rFonts w:cs="Arial"/>
              <w:b/>
              <w:bCs/>
              <w:color w:val="0070C0"/>
              <w:sz w:val="36"/>
              <w:szCs w:val="36"/>
              <w14:shadow w14:blurRad="50800" w14:dist="38100" w14:dir="2700000" w14:sx="100000" w14:sy="100000" w14:kx="0" w14:ky="0" w14:algn="tl">
                <w14:srgbClr w14:val="000000">
                  <w14:alpha w14:val="60000"/>
                </w14:srgbClr>
              </w14:shadow>
            </w:rPr>
            <w:t>February</w:t>
          </w:r>
          <w:r w:rsidR="00A75BCB">
            <w:rPr>
              <w:rFonts w:cs="Arial"/>
              <w:b/>
              <w:bCs/>
              <w:color w:val="0070C0"/>
              <w:sz w:val="36"/>
              <w:szCs w:val="36"/>
              <w14:shadow w14:blurRad="50800" w14:dist="38100" w14:dir="2700000" w14:sx="100000" w14:sy="100000" w14:kx="0" w14:ky="0" w14:algn="tl">
                <w14:srgbClr w14:val="000000">
                  <w14:alpha w14:val="60000"/>
                </w14:srgbClr>
              </w14:shadow>
            </w:rPr>
            <w:t xml:space="preserve"> 202</w:t>
          </w:r>
          <w:r w:rsidR="00981344">
            <w:rPr>
              <w:rFonts w:cs="Arial"/>
              <w:b/>
              <w:bCs/>
              <w:color w:val="0070C0"/>
              <w:sz w:val="36"/>
              <w:szCs w:val="36"/>
              <w14:shadow w14:blurRad="50800" w14:dist="38100" w14:dir="2700000" w14:sx="100000" w14:sy="100000" w14:kx="0" w14:ky="0" w14:algn="tl">
                <w14:srgbClr w14:val="000000">
                  <w14:alpha w14:val="60000"/>
                </w14:srgbClr>
              </w14:shadow>
            </w:rPr>
            <w:t>6</w:t>
          </w:r>
        </w:p>
      </w:tc>
    </w:tr>
    <w:tr w:rsidR="000D44DB" w:rsidRPr="00CD021E" w14:paraId="2428C596" w14:textId="77777777" w:rsidTr="002772ED">
      <w:tc>
        <w:tcPr>
          <w:tcW w:w="10774" w:type="dxa"/>
          <w:tcBorders>
            <w:top w:val="nil"/>
            <w:left w:val="nil"/>
            <w:bottom w:val="nil"/>
            <w:right w:val="nil"/>
          </w:tcBorders>
          <w:shd w:val="clear" w:color="auto" w:fill="0070C0"/>
        </w:tcPr>
        <w:p w14:paraId="674383EB" w14:textId="77777777" w:rsidR="000D44DB" w:rsidRPr="00CD021E" w:rsidRDefault="000D44DB" w:rsidP="00395D20">
          <w:pPr>
            <w:pStyle w:val="Header"/>
            <w:tabs>
              <w:tab w:val="clear" w:pos="4153"/>
              <w:tab w:val="clear" w:pos="8306"/>
              <w:tab w:val="left" w:pos="2197"/>
            </w:tabs>
            <w:rPr>
              <w:rFonts w:cs="Arial"/>
              <w:b/>
              <w:bCs/>
              <w:color w:val="0070C0"/>
              <w:sz w:val="8"/>
              <w:szCs w:val="8"/>
              <w14:shadow w14:blurRad="50800" w14:dist="38100" w14:dir="2700000" w14:sx="100000" w14:sy="100000" w14:kx="0" w14:ky="0" w14:algn="tl">
                <w14:srgbClr w14:val="000000">
                  <w14:alpha w14:val="60000"/>
                </w14:srgbClr>
              </w14:shadow>
            </w:rPr>
          </w:pPr>
          <w:r w:rsidRPr="00CD021E">
            <w:rPr>
              <w:rFonts w:cs="Arial"/>
              <w:b/>
              <w:bCs/>
              <w:color w:val="0070C0"/>
              <w:sz w:val="28"/>
              <w:szCs w:val="28"/>
              <w14:shadow w14:blurRad="50800" w14:dist="38100" w14:dir="2700000" w14:sx="100000" w14:sy="100000" w14:kx="0" w14:ky="0" w14:algn="tl">
                <w14:srgbClr w14:val="000000">
                  <w14:alpha w14:val="60000"/>
                </w14:srgbClr>
              </w14:shadow>
            </w:rPr>
            <w:tab/>
          </w:r>
        </w:p>
      </w:tc>
    </w:tr>
    <w:tr w:rsidR="000D44DB" w:rsidRPr="00CD021E" w14:paraId="280CA26A" w14:textId="77777777" w:rsidTr="002772ED">
      <w:tc>
        <w:tcPr>
          <w:tcW w:w="10774" w:type="dxa"/>
          <w:tcBorders>
            <w:top w:val="nil"/>
            <w:left w:val="nil"/>
            <w:bottom w:val="nil"/>
            <w:right w:val="nil"/>
          </w:tcBorders>
          <w:shd w:val="clear" w:color="auto" w:fill="DAEEF3"/>
        </w:tcPr>
        <w:p w14:paraId="4B30BE98" w14:textId="77777777" w:rsidR="000D44DB" w:rsidRPr="00C315D6" w:rsidRDefault="00885CAE" w:rsidP="00CB6344">
          <w:pPr>
            <w:pStyle w:val="Header"/>
            <w:tabs>
              <w:tab w:val="clear" w:pos="4153"/>
              <w:tab w:val="clear" w:pos="8306"/>
              <w:tab w:val="left" w:pos="2197"/>
            </w:tabs>
            <w:spacing w:before="120" w:after="120"/>
            <w:rPr>
              <w:rFonts w:cs="Arial"/>
              <w:b/>
              <w:bCs/>
              <w:color w:val="0070C0"/>
              <w:sz w:val="18"/>
              <w:szCs w:val="18"/>
            </w:rPr>
          </w:pPr>
          <w:r w:rsidRPr="009B0BCE">
            <w:rPr>
              <w:rFonts w:cs="Arial"/>
              <w:b/>
              <w:bCs/>
              <w:color w:val="0070C0"/>
              <w:sz w:val="18"/>
              <w:szCs w:val="18"/>
            </w:rPr>
            <w:t xml:space="preserve">This newsletter is produced by </w:t>
          </w:r>
          <w:hyperlink r:id="rId3" w:history="1">
            <w:r w:rsidRPr="00551321">
              <w:rPr>
                <w:rStyle w:val="Hyperlink"/>
                <w:rFonts w:ascii="Arial" w:hAnsi="Arial" w:cs="Arial"/>
                <w:b/>
                <w:bCs/>
              </w:rPr>
              <w:t xml:space="preserve">SPS </w:t>
            </w:r>
            <w:r w:rsidR="003C4624">
              <w:rPr>
                <w:rStyle w:val="Hyperlink"/>
                <w:rFonts w:ascii="Arial" w:hAnsi="Arial" w:cs="Arial"/>
                <w:b/>
                <w:bCs/>
              </w:rPr>
              <w:t>H</w:t>
            </w:r>
            <w:r w:rsidRPr="00551321">
              <w:rPr>
                <w:rStyle w:val="Hyperlink"/>
                <w:rFonts w:ascii="Arial" w:hAnsi="Arial" w:cs="Arial"/>
                <w:b/>
                <w:bCs/>
              </w:rPr>
              <w:t xml:space="preserve">orizon </w:t>
            </w:r>
            <w:r w:rsidR="003C4624">
              <w:rPr>
                <w:rStyle w:val="Hyperlink"/>
                <w:rFonts w:ascii="Arial" w:hAnsi="Arial" w:cs="Arial"/>
                <w:b/>
                <w:bCs/>
              </w:rPr>
              <w:t>S</w:t>
            </w:r>
            <w:r w:rsidRPr="00551321">
              <w:rPr>
                <w:rStyle w:val="Hyperlink"/>
                <w:rFonts w:ascii="Arial" w:hAnsi="Arial" w:cs="Arial"/>
                <w:b/>
                <w:bCs/>
              </w:rPr>
              <w:t>canning</w:t>
            </w:r>
          </w:hyperlink>
          <w:r w:rsidRPr="009B0BCE">
            <w:rPr>
              <w:rFonts w:cs="Arial"/>
              <w:b/>
              <w:bCs/>
              <w:color w:val="0070C0"/>
              <w:sz w:val="18"/>
              <w:szCs w:val="18"/>
            </w:rPr>
            <w:t xml:space="preserve"> and highlights recent</w:t>
          </w:r>
          <w:r>
            <w:rPr>
              <w:rFonts w:cs="Arial"/>
              <w:b/>
              <w:bCs/>
              <w:color w:val="0070C0"/>
              <w:sz w:val="18"/>
              <w:szCs w:val="18"/>
            </w:rPr>
            <w:t xml:space="preserve"> new product launches and </w:t>
          </w:r>
          <w:r w:rsidRPr="009B0BCE">
            <w:rPr>
              <w:rFonts w:cs="Arial"/>
              <w:b/>
              <w:bCs/>
              <w:color w:val="0070C0"/>
              <w:sz w:val="18"/>
              <w:szCs w:val="18"/>
            </w:rPr>
            <w:t xml:space="preserve">medicines regulatory changes. More detailed information on medicines </w:t>
          </w:r>
          <w:r>
            <w:rPr>
              <w:rFonts w:cs="Arial"/>
              <w:b/>
              <w:bCs/>
              <w:color w:val="0070C0"/>
              <w:sz w:val="18"/>
              <w:szCs w:val="18"/>
            </w:rPr>
            <w:t>estimated</w:t>
          </w:r>
          <w:r w:rsidRPr="009B0BCE">
            <w:rPr>
              <w:rFonts w:cs="Arial"/>
              <w:b/>
              <w:bCs/>
              <w:color w:val="0070C0"/>
              <w:sz w:val="18"/>
              <w:szCs w:val="18"/>
            </w:rPr>
            <w:t xml:space="preserve"> to </w:t>
          </w:r>
          <w:r>
            <w:rPr>
              <w:rFonts w:cs="Arial"/>
              <w:b/>
              <w:bCs/>
              <w:color w:val="0070C0"/>
              <w:sz w:val="18"/>
              <w:szCs w:val="18"/>
            </w:rPr>
            <w:t>become available for use</w:t>
          </w:r>
          <w:r w:rsidRPr="009B0BCE">
            <w:rPr>
              <w:rFonts w:cs="Arial"/>
              <w:b/>
              <w:bCs/>
              <w:color w:val="0070C0"/>
              <w:sz w:val="18"/>
              <w:szCs w:val="18"/>
            </w:rPr>
            <w:t xml:space="preserve"> in the next 2</w:t>
          </w:r>
          <w:r>
            <w:rPr>
              <w:rFonts w:cs="Arial"/>
              <w:b/>
              <w:bCs/>
              <w:color w:val="0070C0"/>
              <w:sz w:val="18"/>
              <w:szCs w:val="18"/>
            </w:rPr>
            <w:t xml:space="preserve"> financial years</w:t>
          </w:r>
          <w:r w:rsidRPr="009B0BCE">
            <w:rPr>
              <w:rFonts w:cs="Arial"/>
              <w:b/>
              <w:bCs/>
              <w:color w:val="0070C0"/>
              <w:sz w:val="18"/>
              <w:szCs w:val="18"/>
            </w:rPr>
            <w:t xml:space="preserve"> and on marketed medicines expected to have major new indications approved</w:t>
          </w:r>
          <w:r>
            <w:rPr>
              <w:rFonts w:cs="Arial"/>
              <w:b/>
              <w:bCs/>
              <w:color w:val="0070C0"/>
              <w:sz w:val="18"/>
              <w:szCs w:val="18"/>
            </w:rPr>
            <w:t xml:space="preserve"> is</w:t>
          </w:r>
          <w:r w:rsidRPr="009B0BCE">
            <w:rPr>
              <w:rFonts w:cs="Arial"/>
              <w:b/>
              <w:bCs/>
              <w:color w:val="0070C0"/>
              <w:sz w:val="18"/>
              <w:szCs w:val="18"/>
            </w:rPr>
            <w:t xml:space="preserve"> in </w:t>
          </w:r>
          <w:hyperlink r:id="rId4" w:history="1">
            <w:r w:rsidRPr="009B0BCE">
              <w:rPr>
                <w:rStyle w:val="Hyperlink"/>
                <w:rFonts w:ascii="Arial" w:hAnsi="Arial" w:cs="Arial"/>
                <w:b/>
                <w:bCs/>
              </w:rPr>
              <w:t>Prescribing Outlook</w:t>
            </w:r>
          </w:hyperlink>
          <w:r w:rsidRPr="009B0BCE">
            <w:rPr>
              <w:rFonts w:cs="Arial"/>
              <w:b/>
              <w:bCs/>
              <w:color w:val="0070C0"/>
              <w:sz w:val="18"/>
              <w:szCs w:val="18"/>
            </w:rPr>
            <w:t>.</w:t>
          </w:r>
        </w:p>
      </w:tc>
    </w:tr>
  </w:tbl>
  <w:p w14:paraId="07BF8425" w14:textId="77777777" w:rsidR="000D44DB" w:rsidRPr="00CD021E" w:rsidRDefault="000D44DB" w:rsidP="00A56726">
    <w:pPr>
      <w:pStyle w:val="Header"/>
      <w:rPr>
        <w:rFonts w:cs="Arial"/>
        <w:b/>
        <w:bCs/>
        <w:color w:val="244061"/>
        <w:sz w:val="8"/>
        <w:szCs w:val="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7718" w14:textId="384AA852" w:rsidR="0090527B" w:rsidRDefault="0090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6072" w14:textId="09A4C8A0" w:rsidR="0090527B" w:rsidRDefault="00905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5473" w14:textId="11B1499E" w:rsidR="000D44DB" w:rsidRPr="00CD021E" w:rsidRDefault="00CB5BC1" w:rsidP="00AC0996">
    <w:pPr>
      <w:pStyle w:val="Header"/>
      <w:tabs>
        <w:tab w:val="clear" w:pos="8306"/>
        <w:tab w:val="left" w:pos="7830"/>
      </w:tabs>
      <w:spacing w:before="120"/>
      <w:ind w:left="-170"/>
      <w:rPr>
        <w:rFonts w:cs="Arial"/>
        <w:b/>
        <w:bCs/>
        <w:i/>
        <w:color w:val="31849B"/>
        <w:sz w:val="44"/>
        <w:szCs w:val="44"/>
        <w14:shadow w14:blurRad="50800" w14:dist="38100" w14:dir="2700000" w14:sx="100000" w14:sy="100000" w14:kx="0" w14:ky="0" w14:algn="tl">
          <w14:srgbClr w14:val="000000">
            <w14:alpha w14:val="60000"/>
          </w14:srgbClr>
        </w14:shadow>
      </w:rPr>
    </w:pPr>
    <w:r w:rsidRPr="00CB5BC1">
      <w:rPr>
        <w:rFonts w:cs="Arial"/>
        <w:b/>
        <w:bCs/>
        <w:noProof/>
        <w:color w:val="008A3E"/>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1" behindDoc="0" locked="0" layoutInCell="1" allowOverlap="1" wp14:anchorId="7D33307F" wp14:editId="2FD86D53">
          <wp:simplePos x="0" y="0"/>
          <wp:positionH relativeFrom="column">
            <wp:posOffset>-89535</wp:posOffset>
          </wp:positionH>
          <wp:positionV relativeFrom="paragraph">
            <wp:posOffset>120650</wp:posOffset>
          </wp:positionV>
          <wp:extent cx="999490" cy="318770"/>
          <wp:effectExtent l="0" t="0" r="0" b="5080"/>
          <wp:wrapSquare wrapText="bothSides"/>
          <wp:docPr id="191849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BCB" w:rsidRPr="00CB5BC1">
      <w:rPr>
        <w:rFonts w:cs="Arial"/>
        <w:noProof/>
        <w:color w:val="008A3E"/>
        <w:sz w:val="40"/>
        <w:szCs w:val="40"/>
      </w:rPr>
      <w:drawing>
        <wp:anchor distT="0" distB="0" distL="114300" distR="114300" simplePos="0" relativeHeight="251658243" behindDoc="0" locked="0" layoutInCell="1" allowOverlap="1" wp14:anchorId="1CE6E64A" wp14:editId="611D7641">
          <wp:simplePos x="0" y="0"/>
          <wp:positionH relativeFrom="column">
            <wp:posOffset>6182360</wp:posOffset>
          </wp:positionH>
          <wp:positionV relativeFrom="paragraph">
            <wp:posOffset>93345</wp:posOffset>
          </wp:positionV>
          <wp:extent cx="469265" cy="192405"/>
          <wp:effectExtent l="0" t="0" r="6985" b="0"/>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DB" w:rsidRPr="00CB5BC1">
      <w:rPr>
        <w:rFonts w:cs="Arial"/>
        <w:b/>
        <w:bCs/>
        <w:color w:val="008A3E"/>
        <w:sz w:val="44"/>
        <w:szCs w:val="44"/>
        <w14:shadow w14:blurRad="50800" w14:dist="38100" w14:dir="2700000" w14:sx="100000" w14:sy="100000" w14:kx="0" w14:ky="0" w14:algn="tl">
          <w14:srgbClr w14:val="000000">
            <w14:alpha w14:val="60000"/>
          </w14:srgbClr>
        </w14:shadow>
      </w:rPr>
      <w:t>New Medicines</w:t>
    </w:r>
    <w:r w:rsidR="000D44DB" w:rsidRPr="00CD021E">
      <w:rPr>
        <w:rFonts w:cs="Arial"/>
        <w:b/>
        <w:bCs/>
        <w:i/>
        <w:color w:val="244061"/>
        <w:sz w:val="44"/>
        <w:szCs w:val="44"/>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44"/>
        <w:szCs w:val="44"/>
        <w14:shadow w14:blurRad="50800" w14:dist="38100" w14:dir="2700000" w14:sx="100000" w14:sy="100000" w14:kx="0" w14:ky="0" w14:algn="tl">
          <w14:srgbClr w14:val="000000">
            <w14:alpha w14:val="60000"/>
          </w14:srgbClr>
        </w14:shadow>
      </w:rPr>
      <w:t>News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9056" w14:textId="6EA34BED" w:rsidR="0090527B" w:rsidRDefault="009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3.05pt;height:498.75pt;visibility:visible;mso-wrap-style:square" o:bullet="t">
        <v:imagedata r:id="rId1" o:title=""/>
      </v:shape>
    </w:pict>
  </w:numPicBullet>
  <w:abstractNum w:abstractNumId="0" w15:restartNumberingAfterBreak="0">
    <w:nsid w:val="429E6EF9"/>
    <w:multiLevelType w:val="multilevel"/>
    <w:tmpl w:val="29F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55FA1"/>
    <w:multiLevelType w:val="hybridMultilevel"/>
    <w:tmpl w:val="BCF48EAE"/>
    <w:lvl w:ilvl="0" w:tplc="1AB04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4711">
    <w:abstractNumId w:val="1"/>
  </w:num>
  <w:num w:numId="2" w16cid:durableId="4269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94"/>
    <w:rsid w:val="0000035C"/>
    <w:rsid w:val="000005B6"/>
    <w:rsid w:val="000005EF"/>
    <w:rsid w:val="00000A0A"/>
    <w:rsid w:val="00000BE4"/>
    <w:rsid w:val="00000F87"/>
    <w:rsid w:val="0000199C"/>
    <w:rsid w:val="00001F19"/>
    <w:rsid w:val="0000290B"/>
    <w:rsid w:val="00002A08"/>
    <w:rsid w:val="00003329"/>
    <w:rsid w:val="00003421"/>
    <w:rsid w:val="000034B3"/>
    <w:rsid w:val="00003C95"/>
    <w:rsid w:val="00003D95"/>
    <w:rsid w:val="000042E9"/>
    <w:rsid w:val="00005014"/>
    <w:rsid w:val="00005119"/>
    <w:rsid w:val="00005271"/>
    <w:rsid w:val="000052F0"/>
    <w:rsid w:val="00005673"/>
    <w:rsid w:val="00005703"/>
    <w:rsid w:val="000057D2"/>
    <w:rsid w:val="00005CE9"/>
    <w:rsid w:val="00006527"/>
    <w:rsid w:val="000065F4"/>
    <w:rsid w:val="000072EC"/>
    <w:rsid w:val="0000751E"/>
    <w:rsid w:val="000075ED"/>
    <w:rsid w:val="0000769C"/>
    <w:rsid w:val="000102A1"/>
    <w:rsid w:val="000102E8"/>
    <w:rsid w:val="00010447"/>
    <w:rsid w:val="0001067C"/>
    <w:rsid w:val="00010B1D"/>
    <w:rsid w:val="00011176"/>
    <w:rsid w:val="000111C5"/>
    <w:rsid w:val="000114B1"/>
    <w:rsid w:val="00011D4B"/>
    <w:rsid w:val="00011E5B"/>
    <w:rsid w:val="00012B74"/>
    <w:rsid w:val="00012BA7"/>
    <w:rsid w:val="00012DCA"/>
    <w:rsid w:val="00012E19"/>
    <w:rsid w:val="00012E28"/>
    <w:rsid w:val="000132A0"/>
    <w:rsid w:val="00013575"/>
    <w:rsid w:val="000135BF"/>
    <w:rsid w:val="00013853"/>
    <w:rsid w:val="00013B16"/>
    <w:rsid w:val="00013CD9"/>
    <w:rsid w:val="00013E21"/>
    <w:rsid w:val="00014028"/>
    <w:rsid w:val="00014115"/>
    <w:rsid w:val="00014240"/>
    <w:rsid w:val="0001441B"/>
    <w:rsid w:val="00014631"/>
    <w:rsid w:val="00014657"/>
    <w:rsid w:val="000148ED"/>
    <w:rsid w:val="00014AFE"/>
    <w:rsid w:val="00015455"/>
    <w:rsid w:val="000158C2"/>
    <w:rsid w:val="00015915"/>
    <w:rsid w:val="000159C6"/>
    <w:rsid w:val="00015A48"/>
    <w:rsid w:val="00015B43"/>
    <w:rsid w:val="000165BE"/>
    <w:rsid w:val="000166D7"/>
    <w:rsid w:val="0001694F"/>
    <w:rsid w:val="00016C87"/>
    <w:rsid w:val="00016CDC"/>
    <w:rsid w:val="00016E17"/>
    <w:rsid w:val="000171BC"/>
    <w:rsid w:val="000173BA"/>
    <w:rsid w:val="0001791D"/>
    <w:rsid w:val="00017CA2"/>
    <w:rsid w:val="00017D66"/>
    <w:rsid w:val="00020261"/>
    <w:rsid w:val="000202B3"/>
    <w:rsid w:val="000202FE"/>
    <w:rsid w:val="000203F6"/>
    <w:rsid w:val="000207FB"/>
    <w:rsid w:val="00020D00"/>
    <w:rsid w:val="0002143C"/>
    <w:rsid w:val="0002181A"/>
    <w:rsid w:val="000225BB"/>
    <w:rsid w:val="000225EE"/>
    <w:rsid w:val="0002265E"/>
    <w:rsid w:val="0002269F"/>
    <w:rsid w:val="00022775"/>
    <w:rsid w:val="0002291B"/>
    <w:rsid w:val="000229C8"/>
    <w:rsid w:val="00022CCE"/>
    <w:rsid w:val="00022FB9"/>
    <w:rsid w:val="0002372C"/>
    <w:rsid w:val="00023B87"/>
    <w:rsid w:val="00023E2E"/>
    <w:rsid w:val="00023FBB"/>
    <w:rsid w:val="00025142"/>
    <w:rsid w:val="00025A1E"/>
    <w:rsid w:val="00025AD9"/>
    <w:rsid w:val="00025B8F"/>
    <w:rsid w:val="00026E35"/>
    <w:rsid w:val="00026FAE"/>
    <w:rsid w:val="0002715B"/>
    <w:rsid w:val="00027AC3"/>
    <w:rsid w:val="00027B21"/>
    <w:rsid w:val="00027C1C"/>
    <w:rsid w:val="00027D1D"/>
    <w:rsid w:val="00027E7C"/>
    <w:rsid w:val="00030002"/>
    <w:rsid w:val="0003000F"/>
    <w:rsid w:val="000305BA"/>
    <w:rsid w:val="00030663"/>
    <w:rsid w:val="0003082E"/>
    <w:rsid w:val="0003092A"/>
    <w:rsid w:val="00030ADE"/>
    <w:rsid w:val="00030B98"/>
    <w:rsid w:val="00030E87"/>
    <w:rsid w:val="00031218"/>
    <w:rsid w:val="00031336"/>
    <w:rsid w:val="00031909"/>
    <w:rsid w:val="00031E46"/>
    <w:rsid w:val="000320DC"/>
    <w:rsid w:val="000322AB"/>
    <w:rsid w:val="000327BA"/>
    <w:rsid w:val="00032BD9"/>
    <w:rsid w:val="0003313C"/>
    <w:rsid w:val="00033349"/>
    <w:rsid w:val="0003344C"/>
    <w:rsid w:val="000341CF"/>
    <w:rsid w:val="0003447E"/>
    <w:rsid w:val="0003499B"/>
    <w:rsid w:val="00034BCE"/>
    <w:rsid w:val="00034D13"/>
    <w:rsid w:val="00034E8C"/>
    <w:rsid w:val="00035436"/>
    <w:rsid w:val="0003552B"/>
    <w:rsid w:val="00035B23"/>
    <w:rsid w:val="00035CA7"/>
    <w:rsid w:val="00035D82"/>
    <w:rsid w:val="00035DBD"/>
    <w:rsid w:val="00036A16"/>
    <w:rsid w:val="000373F3"/>
    <w:rsid w:val="0003742D"/>
    <w:rsid w:val="000374FF"/>
    <w:rsid w:val="000375C8"/>
    <w:rsid w:val="000378F6"/>
    <w:rsid w:val="000379EB"/>
    <w:rsid w:val="00037AE9"/>
    <w:rsid w:val="00037BAB"/>
    <w:rsid w:val="00037BE4"/>
    <w:rsid w:val="00040013"/>
    <w:rsid w:val="0004019A"/>
    <w:rsid w:val="000401A1"/>
    <w:rsid w:val="00040734"/>
    <w:rsid w:val="00040B83"/>
    <w:rsid w:val="00040CA3"/>
    <w:rsid w:val="000416FC"/>
    <w:rsid w:val="00041AC8"/>
    <w:rsid w:val="00041BDC"/>
    <w:rsid w:val="0004243E"/>
    <w:rsid w:val="000427D5"/>
    <w:rsid w:val="00042CCD"/>
    <w:rsid w:val="00043342"/>
    <w:rsid w:val="000435DE"/>
    <w:rsid w:val="00043A2D"/>
    <w:rsid w:val="00043ED2"/>
    <w:rsid w:val="00044148"/>
    <w:rsid w:val="00044204"/>
    <w:rsid w:val="00044475"/>
    <w:rsid w:val="00044C33"/>
    <w:rsid w:val="00044F06"/>
    <w:rsid w:val="000452E2"/>
    <w:rsid w:val="00045745"/>
    <w:rsid w:val="0004575D"/>
    <w:rsid w:val="000457B4"/>
    <w:rsid w:val="00045D5B"/>
    <w:rsid w:val="00045DDF"/>
    <w:rsid w:val="0004601F"/>
    <w:rsid w:val="00046375"/>
    <w:rsid w:val="00046777"/>
    <w:rsid w:val="00046C42"/>
    <w:rsid w:val="00046CCE"/>
    <w:rsid w:val="0004702B"/>
    <w:rsid w:val="0004733A"/>
    <w:rsid w:val="00047608"/>
    <w:rsid w:val="00047A6D"/>
    <w:rsid w:val="00050249"/>
    <w:rsid w:val="00050401"/>
    <w:rsid w:val="000507C3"/>
    <w:rsid w:val="00050920"/>
    <w:rsid w:val="0005105D"/>
    <w:rsid w:val="000515F0"/>
    <w:rsid w:val="00051791"/>
    <w:rsid w:val="000518A6"/>
    <w:rsid w:val="000519EA"/>
    <w:rsid w:val="00051B61"/>
    <w:rsid w:val="00051F32"/>
    <w:rsid w:val="000523FE"/>
    <w:rsid w:val="00052436"/>
    <w:rsid w:val="000529B6"/>
    <w:rsid w:val="00052AD4"/>
    <w:rsid w:val="00052BA6"/>
    <w:rsid w:val="00053F21"/>
    <w:rsid w:val="00054462"/>
    <w:rsid w:val="0005460C"/>
    <w:rsid w:val="00056696"/>
    <w:rsid w:val="000566A1"/>
    <w:rsid w:val="00056809"/>
    <w:rsid w:val="00056DB0"/>
    <w:rsid w:val="000570FC"/>
    <w:rsid w:val="0005783A"/>
    <w:rsid w:val="00057C03"/>
    <w:rsid w:val="00057FA2"/>
    <w:rsid w:val="0006026C"/>
    <w:rsid w:val="0006036B"/>
    <w:rsid w:val="00060AC6"/>
    <w:rsid w:val="00060BB0"/>
    <w:rsid w:val="0006109A"/>
    <w:rsid w:val="0006141D"/>
    <w:rsid w:val="00061A5F"/>
    <w:rsid w:val="00061B9D"/>
    <w:rsid w:val="00061FEF"/>
    <w:rsid w:val="00062740"/>
    <w:rsid w:val="00062834"/>
    <w:rsid w:val="00062B47"/>
    <w:rsid w:val="00062F98"/>
    <w:rsid w:val="0006320B"/>
    <w:rsid w:val="00063C19"/>
    <w:rsid w:val="000646B3"/>
    <w:rsid w:val="00064C77"/>
    <w:rsid w:val="00064E8C"/>
    <w:rsid w:val="00064EB7"/>
    <w:rsid w:val="00064EF7"/>
    <w:rsid w:val="0006514E"/>
    <w:rsid w:val="000652C1"/>
    <w:rsid w:val="00065458"/>
    <w:rsid w:val="00066145"/>
    <w:rsid w:val="0006622F"/>
    <w:rsid w:val="00066787"/>
    <w:rsid w:val="00066A42"/>
    <w:rsid w:val="00066B48"/>
    <w:rsid w:val="00067279"/>
    <w:rsid w:val="000672F8"/>
    <w:rsid w:val="0006730B"/>
    <w:rsid w:val="00067942"/>
    <w:rsid w:val="00067D4E"/>
    <w:rsid w:val="00067D5B"/>
    <w:rsid w:val="000702DB"/>
    <w:rsid w:val="00070948"/>
    <w:rsid w:val="00070A7A"/>
    <w:rsid w:val="00071178"/>
    <w:rsid w:val="0007155B"/>
    <w:rsid w:val="000719B7"/>
    <w:rsid w:val="00071A86"/>
    <w:rsid w:val="00071BD9"/>
    <w:rsid w:val="00071DB1"/>
    <w:rsid w:val="0007203F"/>
    <w:rsid w:val="0007204B"/>
    <w:rsid w:val="00072F47"/>
    <w:rsid w:val="00073808"/>
    <w:rsid w:val="00074396"/>
    <w:rsid w:val="0007446E"/>
    <w:rsid w:val="00074745"/>
    <w:rsid w:val="00074951"/>
    <w:rsid w:val="00074F67"/>
    <w:rsid w:val="0007521F"/>
    <w:rsid w:val="000752E8"/>
    <w:rsid w:val="000755B8"/>
    <w:rsid w:val="00075CFE"/>
    <w:rsid w:val="00075D05"/>
    <w:rsid w:val="00075D4B"/>
    <w:rsid w:val="0007679E"/>
    <w:rsid w:val="00077371"/>
    <w:rsid w:val="00077C0C"/>
    <w:rsid w:val="00080116"/>
    <w:rsid w:val="000808F9"/>
    <w:rsid w:val="00080A6B"/>
    <w:rsid w:val="00080EE8"/>
    <w:rsid w:val="0008125C"/>
    <w:rsid w:val="00081277"/>
    <w:rsid w:val="000813E4"/>
    <w:rsid w:val="00081417"/>
    <w:rsid w:val="0008159C"/>
    <w:rsid w:val="0008195B"/>
    <w:rsid w:val="00081CFF"/>
    <w:rsid w:val="00082123"/>
    <w:rsid w:val="0008258A"/>
    <w:rsid w:val="00082ABB"/>
    <w:rsid w:val="00082DF6"/>
    <w:rsid w:val="00082E64"/>
    <w:rsid w:val="0008303B"/>
    <w:rsid w:val="00083231"/>
    <w:rsid w:val="000832CA"/>
    <w:rsid w:val="000834AE"/>
    <w:rsid w:val="00083D83"/>
    <w:rsid w:val="00083FAC"/>
    <w:rsid w:val="0008405B"/>
    <w:rsid w:val="00084760"/>
    <w:rsid w:val="00085268"/>
    <w:rsid w:val="00085475"/>
    <w:rsid w:val="0008576B"/>
    <w:rsid w:val="000858D1"/>
    <w:rsid w:val="000859AA"/>
    <w:rsid w:val="00085A04"/>
    <w:rsid w:val="00085C5D"/>
    <w:rsid w:val="00085CCC"/>
    <w:rsid w:val="00085DA5"/>
    <w:rsid w:val="000863E2"/>
    <w:rsid w:val="000864A2"/>
    <w:rsid w:val="0008668D"/>
    <w:rsid w:val="00086F97"/>
    <w:rsid w:val="00087308"/>
    <w:rsid w:val="00087474"/>
    <w:rsid w:val="0008785C"/>
    <w:rsid w:val="00087A3E"/>
    <w:rsid w:val="00090233"/>
    <w:rsid w:val="000906FB"/>
    <w:rsid w:val="000907E5"/>
    <w:rsid w:val="00091245"/>
    <w:rsid w:val="00091EAA"/>
    <w:rsid w:val="00092238"/>
    <w:rsid w:val="00092447"/>
    <w:rsid w:val="0009266A"/>
    <w:rsid w:val="00092AEC"/>
    <w:rsid w:val="000933A6"/>
    <w:rsid w:val="00093CB7"/>
    <w:rsid w:val="0009414D"/>
    <w:rsid w:val="00094388"/>
    <w:rsid w:val="00094B31"/>
    <w:rsid w:val="00094FC6"/>
    <w:rsid w:val="0009514E"/>
    <w:rsid w:val="0009515F"/>
    <w:rsid w:val="000951E1"/>
    <w:rsid w:val="000954DD"/>
    <w:rsid w:val="000955AC"/>
    <w:rsid w:val="00095653"/>
    <w:rsid w:val="000957EA"/>
    <w:rsid w:val="00095818"/>
    <w:rsid w:val="00095974"/>
    <w:rsid w:val="00095B4D"/>
    <w:rsid w:val="00095EE7"/>
    <w:rsid w:val="000966BB"/>
    <w:rsid w:val="00096800"/>
    <w:rsid w:val="00096A8D"/>
    <w:rsid w:val="00096BBF"/>
    <w:rsid w:val="00096C4B"/>
    <w:rsid w:val="0009792A"/>
    <w:rsid w:val="00097B79"/>
    <w:rsid w:val="00097E17"/>
    <w:rsid w:val="000A0040"/>
    <w:rsid w:val="000A02AD"/>
    <w:rsid w:val="000A0B38"/>
    <w:rsid w:val="000A0FD8"/>
    <w:rsid w:val="000A1199"/>
    <w:rsid w:val="000A22E9"/>
    <w:rsid w:val="000A241E"/>
    <w:rsid w:val="000A2810"/>
    <w:rsid w:val="000A289B"/>
    <w:rsid w:val="000A28D8"/>
    <w:rsid w:val="000A2C52"/>
    <w:rsid w:val="000A2E37"/>
    <w:rsid w:val="000A36D0"/>
    <w:rsid w:val="000A3B1E"/>
    <w:rsid w:val="000A41D4"/>
    <w:rsid w:val="000A421F"/>
    <w:rsid w:val="000A4555"/>
    <w:rsid w:val="000A4BCB"/>
    <w:rsid w:val="000A4BE4"/>
    <w:rsid w:val="000A5077"/>
    <w:rsid w:val="000A50F2"/>
    <w:rsid w:val="000A534D"/>
    <w:rsid w:val="000A5690"/>
    <w:rsid w:val="000A5ABE"/>
    <w:rsid w:val="000A5B0D"/>
    <w:rsid w:val="000A60E1"/>
    <w:rsid w:val="000A60F4"/>
    <w:rsid w:val="000A61FB"/>
    <w:rsid w:val="000A7106"/>
    <w:rsid w:val="000A7A40"/>
    <w:rsid w:val="000A7AD6"/>
    <w:rsid w:val="000A7C5A"/>
    <w:rsid w:val="000B001D"/>
    <w:rsid w:val="000B015F"/>
    <w:rsid w:val="000B0274"/>
    <w:rsid w:val="000B038E"/>
    <w:rsid w:val="000B08CB"/>
    <w:rsid w:val="000B08D1"/>
    <w:rsid w:val="000B0A95"/>
    <w:rsid w:val="000B0ADF"/>
    <w:rsid w:val="000B0C23"/>
    <w:rsid w:val="000B18C2"/>
    <w:rsid w:val="000B1AAB"/>
    <w:rsid w:val="000B1C18"/>
    <w:rsid w:val="000B1C59"/>
    <w:rsid w:val="000B2325"/>
    <w:rsid w:val="000B2C16"/>
    <w:rsid w:val="000B2FC7"/>
    <w:rsid w:val="000B310F"/>
    <w:rsid w:val="000B38C0"/>
    <w:rsid w:val="000B3DAA"/>
    <w:rsid w:val="000B3EEB"/>
    <w:rsid w:val="000B466E"/>
    <w:rsid w:val="000B4681"/>
    <w:rsid w:val="000B4763"/>
    <w:rsid w:val="000B4E20"/>
    <w:rsid w:val="000B4EDC"/>
    <w:rsid w:val="000B5120"/>
    <w:rsid w:val="000B515F"/>
    <w:rsid w:val="000B5605"/>
    <w:rsid w:val="000B57AA"/>
    <w:rsid w:val="000B5AF8"/>
    <w:rsid w:val="000B5F2C"/>
    <w:rsid w:val="000B6184"/>
    <w:rsid w:val="000B6843"/>
    <w:rsid w:val="000B6EB2"/>
    <w:rsid w:val="000B706F"/>
    <w:rsid w:val="000B70B5"/>
    <w:rsid w:val="000B77F8"/>
    <w:rsid w:val="000B78CC"/>
    <w:rsid w:val="000B7AE2"/>
    <w:rsid w:val="000C0203"/>
    <w:rsid w:val="000C041C"/>
    <w:rsid w:val="000C091B"/>
    <w:rsid w:val="000C0F48"/>
    <w:rsid w:val="000C0F5C"/>
    <w:rsid w:val="000C1356"/>
    <w:rsid w:val="000C18D0"/>
    <w:rsid w:val="000C1FB5"/>
    <w:rsid w:val="000C200D"/>
    <w:rsid w:val="000C20E9"/>
    <w:rsid w:val="000C2555"/>
    <w:rsid w:val="000C25C3"/>
    <w:rsid w:val="000C2DF1"/>
    <w:rsid w:val="000C35ED"/>
    <w:rsid w:val="000C3692"/>
    <w:rsid w:val="000C37AC"/>
    <w:rsid w:val="000C3B1F"/>
    <w:rsid w:val="000C43D9"/>
    <w:rsid w:val="000C44B7"/>
    <w:rsid w:val="000C458C"/>
    <w:rsid w:val="000C4D1E"/>
    <w:rsid w:val="000C4FF3"/>
    <w:rsid w:val="000C5230"/>
    <w:rsid w:val="000C5329"/>
    <w:rsid w:val="000C54A5"/>
    <w:rsid w:val="000C5D43"/>
    <w:rsid w:val="000C5D59"/>
    <w:rsid w:val="000C5F42"/>
    <w:rsid w:val="000C60E6"/>
    <w:rsid w:val="000C6548"/>
    <w:rsid w:val="000C6591"/>
    <w:rsid w:val="000C6D2E"/>
    <w:rsid w:val="000C709F"/>
    <w:rsid w:val="000C72CA"/>
    <w:rsid w:val="000C7872"/>
    <w:rsid w:val="000C7AFF"/>
    <w:rsid w:val="000C7BA9"/>
    <w:rsid w:val="000C7C7C"/>
    <w:rsid w:val="000C7CAA"/>
    <w:rsid w:val="000D0270"/>
    <w:rsid w:val="000D0476"/>
    <w:rsid w:val="000D04C1"/>
    <w:rsid w:val="000D0624"/>
    <w:rsid w:val="000D0ABF"/>
    <w:rsid w:val="000D0DF7"/>
    <w:rsid w:val="000D0E50"/>
    <w:rsid w:val="000D1171"/>
    <w:rsid w:val="000D13A6"/>
    <w:rsid w:val="000D2113"/>
    <w:rsid w:val="000D2266"/>
    <w:rsid w:val="000D2736"/>
    <w:rsid w:val="000D2C27"/>
    <w:rsid w:val="000D30E7"/>
    <w:rsid w:val="000D35F7"/>
    <w:rsid w:val="000D3646"/>
    <w:rsid w:val="000D3760"/>
    <w:rsid w:val="000D3BCC"/>
    <w:rsid w:val="000D43AC"/>
    <w:rsid w:val="000D441B"/>
    <w:rsid w:val="000D44DB"/>
    <w:rsid w:val="000D4645"/>
    <w:rsid w:val="000D467B"/>
    <w:rsid w:val="000D58C9"/>
    <w:rsid w:val="000D5DA8"/>
    <w:rsid w:val="000D5F42"/>
    <w:rsid w:val="000D62F3"/>
    <w:rsid w:val="000D6630"/>
    <w:rsid w:val="000D682D"/>
    <w:rsid w:val="000D7E24"/>
    <w:rsid w:val="000D7EAD"/>
    <w:rsid w:val="000E06CA"/>
    <w:rsid w:val="000E07FC"/>
    <w:rsid w:val="000E0B79"/>
    <w:rsid w:val="000E0C92"/>
    <w:rsid w:val="000E0D69"/>
    <w:rsid w:val="000E0ECF"/>
    <w:rsid w:val="000E0F57"/>
    <w:rsid w:val="000E12A8"/>
    <w:rsid w:val="000E184E"/>
    <w:rsid w:val="000E1A44"/>
    <w:rsid w:val="000E1DE0"/>
    <w:rsid w:val="000E21D3"/>
    <w:rsid w:val="000E247B"/>
    <w:rsid w:val="000E247C"/>
    <w:rsid w:val="000E27E9"/>
    <w:rsid w:val="000E2A6C"/>
    <w:rsid w:val="000E2DC9"/>
    <w:rsid w:val="000E2E4B"/>
    <w:rsid w:val="000E2FF1"/>
    <w:rsid w:val="000E3DFD"/>
    <w:rsid w:val="000E4477"/>
    <w:rsid w:val="000E45E9"/>
    <w:rsid w:val="000E49C5"/>
    <w:rsid w:val="000E4A24"/>
    <w:rsid w:val="000E5217"/>
    <w:rsid w:val="000E5C17"/>
    <w:rsid w:val="000E6471"/>
    <w:rsid w:val="000E69A5"/>
    <w:rsid w:val="000E721B"/>
    <w:rsid w:val="000E74D2"/>
    <w:rsid w:val="000E789D"/>
    <w:rsid w:val="000F0055"/>
    <w:rsid w:val="000F0481"/>
    <w:rsid w:val="000F04BF"/>
    <w:rsid w:val="000F0699"/>
    <w:rsid w:val="000F078E"/>
    <w:rsid w:val="000F0BA2"/>
    <w:rsid w:val="000F0F98"/>
    <w:rsid w:val="000F1485"/>
    <w:rsid w:val="000F19E1"/>
    <w:rsid w:val="000F1B61"/>
    <w:rsid w:val="000F2032"/>
    <w:rsid w:val="000F22ED"/>
    <w:rsid w:val="000F2362"/>
    <w:rsid w:val="000F35A9"/>
    <w:rsid w:val="000F377A"/>
    <w:rsid w:val="000F3964"/>
    <w:rsid w:val="000F3BFE"/>
    <w:rsid w:val="000F3C1E"/>
    <w:rsid w:val="000F3DE4"/>
    <w:rsid w:val="000F3EC1"/>
    <w:rsid w:val="000F40FF"/>
    <w:rsid w:val="000F4C32"/>
    <w:rsid w:val="000F4C9B"/>
    <w:rsid w:val="000F52A7"/>
    <w:rsid w:val="000F58A1"/>
    <w:rsid w:val="000F5AA4"/>
    <w:rsid w:val="000F5AC6"/>
    <w:rsid w:val="000F5C5A"/>
    <w:rsid w:val="000F5D25"/>
    <w:rsid w:val="000F613C"/>
    <w:rsid w:val="000F6349"/>
    <w:rsid w:val="000F6854"/>
    <w:rsid w:val="000F6985"/>
    <w:rsid w:val="000F715A"/>
    <w:rsid w:val="000F72CB"/>
    <w:rsid w:val="000F7AE5"/>
    <w:rsid w:val="000F7B5F"/>
    <w:rsid w:val="001007E8"/>
    <w:rsid w:val="0010093F"/>
    <w:rsid w:val="00100AA8"/>
    <w:rsid w:val="00100B3E"/>
    <w:rsid w:val="0010109D"/>
    <w:rsid w:val="00101327"/>
    <w:rsid w:val="001017B0"/>
    <w:rsid w:val="0010229B"/>
    <w:rsid w:val="00102869"/>
    <w:rsid w:val="00102BB5"/>
    <w:rsid w:val="00102BF7"/>
    <w:rsid w:val="001036A5"/>
    <w:rsid w:val="001044CC"/>
    <w:rsid w:val="00104591"/>
    <w:rsid w:val="00104765"/>
    <w:rsid w:val="001047FB"/>
    <w:rsid w:val="00104B62"/>
    <w:rsid w:val="00104CAF"/>
    <w:rsid w:val="00104F3E"/>
    <w:rsid w:val="00105230"/>
    <w:rsid w:val="001054D4"/>
    <w:rsid w:val="00105520"/>
    <w:rsid w:val="0010589B"/>
    <w:rsid w:val="00105BB1"/>
    <w:rsid w:val="00105C0B"/>
    <w:rsid w:val="00105CAF"/>
    <w:rsid w:val="0010629A"/>
    <w:rsid w:val="00106609"/>
    <w:rsid w:val="00106691"/>
    <w:rsid w:val="00107637"/>
    <w:rsid w:val="001079F5"/>
    <w:rsid w:val="00107BCE"/>
    <w:rsid w:val="00107E98"/>
    <w:rsid w:val="00110139"/>
    <w:rsid w:val="00110B0E"/>
    <w:rsid w:val="00110D86"/>
    <w:rsid w:val="00110E83"/>
    <w:rsid w:val="00110F6A"/>
    <w:rsid w:val="00111092"/>
    <w:rsid w:val="00111226"/>
    <w:rsid w:val="00111231"/>
    <w:rsid w:val="00111769"/>
    <w:rsid w:val="00111903"/>
    <w:rsid w:val="001119E0"/>
    <w:rsid w:val="001122A8"/>
    <w:rsid w:val="00112340"/>
    <w:rsid w:val="00112FE4"/>
    <w:rsid w:val="0011301C"/>
    <w:rsid w:val="0011309C"/>
    <w:rsid w:val="00113644"/>
    <w:rsid w:val="00113D17"/>
    <w:rsid w:val="00113E55"/>
    <w:rsid w:val="00113F26"/>
    <w:rsid w:val="0011452F"/>
    <w:rsid w:val="001146D7"/>
    <w:rsid w:val="00114791"/>
    <w:rsid w:val="001149FA"/>
    <w:rsid w:val="00114A1E"/>
    <w:rsid w:val="00114AB9"/>
    <w:rsid w:val="00114DA9"/>
    <w:rsid w:val="00114EBA"/>
    <w:rsid w:val="00114F6B"/>
    <w:rsid w:val="0011546D"/>
    <w:rsid w:val="001155CF"/>
    <w:rsid w:val="00115872"/>
    <w:rsid w:val="00116043"/>
    <w:rsid w:val="001160C4"/>
    <w:rsid w:val="00116463"/>
    <w:rsid w:val="00116637"/>
    <w:rsid w:val="001166AE"/>
    <w:rsid w:val="001168CC"/>
    <w:rsid w:val="001169DD"/>
    <w:rsid w:val="0011771E"/>
    <w:rsid w:val="001200DD"/>
    <w:rsid w:val="0012045D"/>
    <w:rsid w:val="001209AC"/>
    <w:rsid w:val="00120B32"/>
    <w:rsid w:val="0012143F"/>
    <w:rsid w:val="00122124"/>
    <w:rsid w:val="001221E3"/>
    <w:rsid w:val="0012226D"/>
    <w:rsid w:val="0012281C"/>
    <w:rsid w:val="00122966"/>
    <w:rsid w:val="00122EC3"/>
    <w:rsid w:val="00123512"/>
    <w:rsid w:val="00123811"/>
    <w:rsid w:val="00123C6D"/>
    <w:rsid w:val="00123FBB"/>
    <w:rsid w:val="001241B1"/>
    <w:rsid w:val="00124603"/>
    <w:rsid w:val="0012477A"/>
    <w:rsid w:val="00124CBF"/>
    <w:rsid w:val="00124FE3"/>
    <w:rsid w:val="0012683D"/>
    <w:rsid w:val="00126CCD"/>
    <w:rsid w:val="00126E8C"/>
    <w:rsid w:val="00127081"/>
    <w:rsid w:val="001271F3"/>
    <w:rsid w:val="0012736E"/>
    <w:rsid w:val="00127A3E"/>
    <w:rsid w:val="00130301"/>
    <w:rsid w:val="001304D0"/>
    <w:rsid w:val="00130543"/>
    <w:rsid w:val="00130B6B"/>
    <w:rsid w:val="00130D1C"/>
    <w:rsid w:val="001314D3"/>
    <w:rsid w:val="001314E0"/>
    <w:rsid w:val="0013190B"/>
    <w:rsid w:val="00131942"/>
    <w:rsid w:val="00131B41"/>
    <w:rsid w:val="00131B76"/>
    <w:rsid w:val="00131CFA"/>
    <w:rsid w:val="00131D4C"/>
    <w:rsid w:val="001325E6"/>
    <w:rsid w:val="0013261A"/>
    <w:rsid w:val="00132A69"/>
    <w:rsid w:val="00132D15"/>
    <w:rsid w:val="001338F8"/>
    <w:rsid w:val="00134027"/>
    <w:rsid w:val="00134431"/>
    <w:rsid w:val="0013460E"/>
    <w:rsid w:val="00134784"/>
    <w:rsid w:val="00134DB3"/>
    <w:rsid w:val="00134DB5"/>
    <w:rsid w:val="00135434"/>
    <w:rsid w:val="00135B8B"/>
    <w:rsid w:val="00135D8F"/>
    <w:rsid w:val="00136298"/>
    <w:rsid w:val="00136887"/>
    <w:rsid w:val="00136EE3"/>
    <w:rsid w:val="00136FC4"/>
    <w:rsid w:val="001370F3"/>
    <w:rsid w:val="001373C5"/>
    <w:rsid w:val="001375C8"/>
    <w:rsid w:val="00137605"/>
    <w:rsid w:val="00137C23"/>
    <w:rsid w:val="00137EA2"/>
    <w:rsid w:val="00140395"/>
    <w:rsid w:val="00140724"/>
    <w:rsid w:val="0014076F"/>
    <w:rsid w:val="00140EF1"/>
    <w:rsid w:val="0014109C"/>
    <w:rsid w:val="001410D6"/>
    <w:rsid w:val="00141635"/>
    <w:rsid w:val="00141796"/>
    <w:rsid w:val="001429B9"/>
    <w:rsid w:val="00142EAA"/>
    <w:rsid w:val="00144258"/>
    <w:rsid w:val="00144425"/>
    <w:rsid w:val="001448F8"/>
    <w:rsid w:val="0014519F"/>
    <w:rsid w:val="00145426"/>
    <w:rsid w:val="001455B3"/>
    <w:rsid w:val="00145984"/>
    <w:rsid w:val="001459AF"/>
    <w:rsid w:val="00145A91"/>
    <w:rsid w:val="00145B63"/>
    <w:rsid w:val="00145CFD"/>
    <w:rsid w:val="00145DFA"/>
    <w:rsid w:val="00146059"/>
    <w:rsid w:val="001460E1"/>
    <w:rsid w:val="00146C32"/>
    <w:rsid w:val="00147177"/>
    <w:rsid w:val="001473E8"/>
    <w:rsid w:val="001474FC"/>
    <w:rsid w:val="00147874"/>
    <w:rsid w:val="00147DEE"/>
    <w:rsid w:val="00147E5F"/>
    <w:rsid w:val="00150038"/>
    <w:rsid w:val="00150095"/>
    <w:rsid w:val="00150374"/>
    <w:rsid w:val="00150648"/>
    <w:rsid w:val="001507BD"/>
    <w:rsid w:val="001508D4"/>
    <w:rsid w:val="001509A6"/>
    <w:rsid w:val="00150AB6"/>
    <w:rsid w:val="0015194F"/>
    <w:rsid w:val="0015213C"/>
    <w:rsid w:val="001521A6"/>
    <w:rsid w:val="00152C01"/>
    <w:rsid w:val="00153126"/>
    <w:rsid w:val="00153942"/>
    <w:rsid w:val="00153ECC"/>
    <w:rsid w:val="00154281"/>
    <w:rsid w:val="0015493E"/>
    <w:rsid w:val="0015496C"/>
    <w:rsid w:val="00154F9D"/>
    <w:rsid w:val="00155081"/>
    <w:rsid w:val="001552E6"/>
    <w:rsid w:val="0015546F"/>
    <w:rsid w:val="00155BD9"/>
    <w:rsid w:val="00155D5A"/>
    <w:rsid w:val="00156078"/>
    <w:rsid w:val="00156870"/>
    <w:rsid w:val="00156AAF"/>
    <w:rsid w:val="00156CE9"/>
    <w:rsid w:val="00157445"/>
    <w:rsid w:val="001575AB"/>
    <w:rsid w:val="00157760"/>
    <w:rsid w:val="00157B8C"/>
    <w:rsid w:val="00157C96"/>
    <w:rsid w:val="00160A03"/>
    <w:rsid w:val="00160C3F"/>
    <w:rsid w:val="00160C4D"/>
    <w:rsid w:val="00160CE3"/>
    <w:rsid w:val="00161702"/>
    <w:rsid w:val="00161AC5"/>
    <w:rsid w:val="00162022"/>
    <w:rsid w:val="0016202E"/>
    <w:rsid w:val="001620E8"/>
    <w:rsid w:val="00162453"/>
    <w:rsid w:val="00162626"/>
    <w:rsid w:val="00162C56"/>
    <w:rsid w:val="00163F13"/>
    <w:rsid w:val="0016413C"/>
    <w:rsid w:val="001642D5"/>
    <w:rsid w:val="001642F2"/>
    <w:rsid w:val="00164CA0"/>
    <w:rsid w:val="00164FB6"/>
    <w:rsid w:val="001650FE"/>
    <w:rsid w:val="001651AF"/>
    <w:rsid w:val="001655B0"/>
    <w:rsid w:val="001655B4"/>
    <w:rsid w:val="001655F0"/>
    <w:rsid w:val="00165695"/>
    <w:rsid w:val="0016571D"/>
    <w:rsid w:val="00165736"/>
    <w:rsid w:val="001659BD"/>
    <w:rsid w:val="001659E9"/>
    <w:rsid w:val="0016613D"/>
    <w:rsid w:val="00166961"/>
    <w:rsid w:val="00166A99"/>
    <w:rsid w:val="00166B54"/>
    <w:rsid w:val="00166B7F"/>
    <w:rsid w:val="00166E75"/>
    <w:rsid w:val="00166FC3"/>
    <w:rsid w:val="00167172"/>
    <w:rsid w:val="00167697"/>
    <w:rsid w:val="0016788F"/>
    <w:rsid w:val="001678DC"/>
    <w:rsid w:val="00167A77"/>
    <w:rsid w:val="00167B77"/>
    <w:rsid w:val="00167C18"/>
    <w:rsid w:val="001705BD"/>
    <w:rsid w:val="00170609"/>
    <w:rsid w:val="00170759"/>
    <w:rsid w:val="001709F6"/>
    <w:rsid w:val="00170A84"/>
    <w:rsid w:val="00170FE8"/>
    <w:rsid w:val="0017100D"/>
    <w:rsid w:val="001714C4"/>
    <w:rsid w:val="00171709"/>
    <w:rsid w:val="00171736"/>
    <w:rsid w:val="001719DC"/>
    <w:rsid w:val="00171B78"/>
    <w:rsid w:val="00171F52"/>
    <w:rsid w:val="0017278A"/>
    <w:rsid w:val="00172CE1"/>
    <w:rsid w:val="001731F8"/>
    <w:rsid w:val="00173504"/>
    <w:rsid w:val="001735C6"/>
    <w:rsid w:val="001736EE"/>
    <w:rsid w:val="001738EB"/>
    <w:rsid w:val="00173AE7"/>
    <w:rsid w:val="00173BE6"/>
    <w:rsid w:val="00173F9E"/>
    <w:rsid w:val="00174031"/>
    <w:rsid w:val="00174144"/>
    <w:rsid w:val="001745D3"/>
    <w:rsid w:val="00174929"/>
    <w:rsid w:val="0017531D"/>
    <w:rsid w:val="00175832"/>
    <w:rsid w:val="00175908"/>
    <w:rsid w:val="00175B07"/>
    <w:rsid w:val="001760AF"/>
    <w:rsid w:val="0017623C"/>
    <w:rsid w:val="00176569"/>
    <w:rsid w:val="001765B1"/>
    <w:rsid w:val="001766A3"/>
    <w:rsid w:val="00176A18"/>
    <w:rsid w:val="00176C78"/>
    <w:rsid w:val="00176D60"/>
    <w:rsid w:val="00176FAB"/>
    <w:rsid w:val="00177544"/>
    <w:rsid w:val="0017769E"/>
    <w:rsid w:val="0017782F"/>
    <w:rsid w:val="001779FF"/>
    <w:rsid w:val="00177EF9"/>
    <w:rsid w:val="0018042E"/>
    <w:rsid w:val="001804CD"/>
    <w:rsid w:val="00180B42"/>
    <w:rsid w:val="00180D2E"/>
    <w:rsid w:val="00180F31"/>
    <w:rsid w:val="00181004"/>
    <w:rsid w:val="001812E2"/>
    <w:rsid w:val="001817C8"/>
    <w:rsid w:val="00181854"/>
    <w:rsid w:val="001819C5"/>
    <w:rsid w:val="00181FA9"/>
    <w:rsid w:val="00182666"/>
    <w:rsid w:val="00182900"/>
    <w:rsid w:val="00183709"/>
    <w:rsid w:val="00183750"/>
    <w:rsid w:val="001844DA"/>
    <w:rsid w:val="00184F1D"/>
    <w:rsid w:val="00185114"/>
    <w:rsid w:val="0018553B"/>
    <w:rsid w:val="00185C20"/>
    <w:rsid w:val="00185D40"/>
    <w:rsid w:val="0018631D"/>
    <w:rsid w:val="00186487"/>
    <w:rsid w:val="0018699B"/>
    <w:rsid w:val="00186F8A"/>
    <w:rsid w:val="001873D4"/>
    <w:rsid w:val="001877D8"/>
    <w:rsid w:val="0018793A"/>
    <w:rsid w:val="00187A70"/>
    <w:rsid w:val="00187BB1"/>
    <w:rsid w:val="00187C58"/>
    <w:rsid w:val="00187CDB"/>
    <w:rsid w:val="00190171"/>
    <w:rsid w:val="001905A1"/>
    <w:rsid w:val="00190606"/>
    <w:rsid w:val="00190876"/>
    <w:rsid w:val="00190A2E"/>
    <w:rsid w:val="00190C73"/>
    <w:rsid w:val="00190CC6"/>
    <w:rsid w:val="00190DD4"/>
    <w:rsid w:val="00191B7B"/>
    <w:rsid w:val="00191C5D"/>
    <w:rsid w:val="00192083"/>
    <w:rsid w:val="00192383"/>
    <w:rsid w:val="00192F26"/>
    <w:rsid w:val="00193B7B"/>
    <w:rsid w:val="00193CF3"/>
    <w:rsid w:val="00193F5C"/>
    <w:rsid w:val="00194127"/>
    <w:rsid w:val="00194410"/>
    <w:rsid w:val="00194557"/>
    <w:rsid w:val="001948CB"/>
    <w:rsid w:val="00194D95"/>
    <w:rsid w:val="00194D9C"/>
    <w:rsid w:val="00194F99"/>
    <w:rsid w:val="00195377"/>
    <w:rsid w:val="00195A3C"/>
    <w:rsid w:val="00195D18"/>
    <w:rsid w:val="00195E3A"/>
    <w:rsid w:val="0019676F"/>
    <w:rsid w:val="0019683F"/>
    <w:rsid w:val="00196A61"/>
    <w:rsid w:val="00196A8B"/>
    <w:rsid w:val="0019715F"/>
    <w:rsid w:val="001972B1"/>
    <w:rsid w:val="001974D4"/>
    <w:rsid w:val="001975FB"/>
    <w:rsid w:val="001977EC"/>
    <w:rsid w:val="001978AE"/>
    <w:rsid w:val="00197BE4"/>
    <w:rsid w:val="001A0763"/>
    <w:rsid w:val="001A1339"/>
    <w:rsid w:val="001A1527"/>
    <w:rsid w:val="001A1555"/>
    <w:rsid w:val="001A1661"/>
    <w:rsid w:val="001A175F"/>
    <w:rsid w:val="001A19B4"/>
    <w:rsid w:val="001A1B68"/>
    <w:rsid w:val="001A1BB2"/>
    <w:rsid w:val="001A27B9"/>
    <w:rsid w:val="001A2A37"/>
    <w:rsid w:val="001A2B11"/>
    <w:rsid w:val="001A2F36"/>
    <w:rsid w:val="001A2FFF"/>
    <w:rsid w:val="001A31FA"/>
    <w:rsid w:val="001A3496"/>
    <w:rsid w:val="001A381D"/>
    <w:rsid w:val="001A3DFA"/>
    <w:rsid w:val="001A3EF1"/>
    <w:rsid w:val="001A4093"/>
    <w:rsid w:val="001A42CE"/>
    <w:rsid w:val="001A43F6"/>
    <w:rsid w:val="001A453A"/>
    <w:rsid w:val="001A46DA"/>
    <w:rsid w:val="001A4757"/>
    <w:rsid w:val="001A486F"/>
    <w:rsid w:val="001A4D97"/>
    <w:rsid w:val="001A4FB3"/>
    <w:rsid w:val="001A501A"/>
    <w:rsid w:val="001A52CF"/>
    <w:rsid w:val="001A5914"/>
    <w:rsid w:val="001A5BFF"/>
    <w:rsid w:val="001A5E41"/>
    <w:rsid w:val="001A6195"/>
    <w:rsid w:val="001A62CD"/>
    <w:rsid w:val="001A639A"/>
    <w:rsid w:val="001A6519"/>
    <w:rsid w:val="001A6715"/>
    <w:rsid w:val="001A6A70"/>
    <w:rsid w:val="001A6F06"/>
    <w:rsid w:val="001A719C"/>
    <w:rsid w:val="001A7C03"/>
    <w:rsid w:val="001A7CE0"/>
    <w:rsid w:val="001A7D50"/>
    <w:rsid w:val="001A7E97"/>
    <w:rsid w:val="001B0F05"/>
    <w:rsid w:val="001B10C5"/>
    <w:rsid w:val="001B12D9"/>
    <w:rsid w:val="001B12FB"/>
    <w:rsid w:val="001B16C8"/>
    <w:rsid w:val="001B1A60"/>
    <w:rsid w:val="001B1CF8"/>
    <w:rsid w:val="001B20B3"/>
    <w:rsid w:val="001B20EC"/>
    <w:rsid w:val="001B2262"/>
    <w:rsid w:val="001B3187"/>
    <w:rsid w:val="001B322B"/>
    <w:rsid w:val="001B3587"/>
    <w:rsid w:val="001B364C"/>
    <w:rsid w:val="001B38ED"/>
    <w:rsid w:val="001B3B03"/>
    <w:rsid w:val="001B3C11"/>
    <w:rsid w:val="001B3C27"/>
    <w:rsid w:val="001B3C2A"/>
    <w:rsid w:val="001B3CE2"/>
    <w:rsid w:val="001B4020"/>
    <w:rsid w:val="001B406D"/>
    <w:rsid w:val="001B40C8"/>
    <w:rsid w:val="001B42D3"/>
    <w:rsid w:val="001B5580"/>
    <w:rsid w:val="001B5808"/>
    <w:rsid w:val="001B5AEE"/>
    <w:rsid w:val="001B5E4E"/>
    <w:rsid w:val="001B5EBE"/>
    <w:rsid w:val="001B608F"/>
    <w:rsid w:val="001B618A"/>
    <w:rsid w:val="001B6210"/>
    <w:rsid w:val="001B630E"/>
    <w:rsid w:val="001B6498"/>
    <w:rsid w:val="001B6EB6"/>
    <w:rsid w:val="001B700A"/>
    <w:rsid w:val="001B7294"/>
    <w:rsid w:val="001B7AC1"/>
    <w:rsid w:val="001B7C4F"/>
    <w:rsid w:val="001B7CFF"/>
    <w:rsid w:val="001C0985"/>
    <w:rsid w:val="001C0BB4"/>
    <w:rsid w:val="001C0CFC"/>
    <w:rsid w:val="001C0F6D"/>
    <w:rsid w:val="001C12DF"/>
    <w:rsid w:val="001C162D"/>
    <w:rsid w:val="001C19C1"/>
    <w:rsid w:val="001C21C3"/>
    <w:rsid w:val="001C2379"/>
    <w:rsid w:val="001C24D1"/>
    <w:rsid w:val="001C26D4"/>
    <w:rsid w:val="001C29D1"/>
    <w:rsid w:val="001C304B"/>
    <w:rsid w:val="001C3113"/>
    <w:rsid w:val="001C3616"/>
    <w:rsid w:val="001C372A"/>
    <w:rsid w:val="001C38E9"/>
    <w:rsid w:val="001C3A55"/>
    <w:rsid w:val="001C3A64"/>
    <w:rsid w:val="001C3A6B"/>
    <w:rsid w:val="001C42F0"/>
    <w:rsid w:val="001C44CF"/>
    <w:rsid w:val="001C4891"/>
    <w:rsid w:val="001C491E"/>
    <w:rsid w:val="001C51D6"/>
    <w:rsid w:val="001C52EB"/>
    <w:rsid w:val="001C53CD"/>
    <w:rsid w:val="001C5587"/>
    <w:rsid w:val="001C5C58"/>
    <w:rsid w:val="001C5F2F"/>
    <w:rsid w:val="001C6350"/>
    <w:rsid w:val="001C6762"/>
    <w:rsid w:val="001C6A94"/>
    <w:rsid w:val="001C6F75"/>
    <w:rsid w:val="001C7BB7"/>
    <w:rsid w:val="001C7F0D"/>
    <w:rsid w:val="001D00BE"/>
    <w:rsid w:val="001D059B"/>
    <w:rsid w:val="001D06AE"/>
    <w:rsid w:val="001D0BAA"/>
    <w:rsid w:val="001D194C"/>
    <w:rsid w:val="001D19F8"/>
    <w:rsid w:val="001D1AC6"/>
    <w:rsid w:val="001D1BE1"/>
    <w:rsid w:val="001D1C22"/>
    <w:rsid w:val="001D1CB8"/>
    <w:rsid w:val="001D1EE8"/>
    <w:rsid w:val="001D25F7"/>
    <w:rsid w:val="001D2869"/>
    <w:rsid w:val="001D3504"/>
    <w:rsid w:val="001D3E33"/>
    <w:rsid w:val="001D44A9"/>
    <w:rsid w:val="001D477C"/>
    <w:rsid w:val="001D48C2"/>
    <w:rsid w:val="001D4F72"/>
    <w:rsid w:val="001D50DF"/>
    <w:rsid w:val="001D5156"/>
    <w:rsid w:val="001D51EE"/>
    <w:rsid w:val="001D553A"/>
    <w:rsid w:val="001D56D8"/>
    <w:rsid w:val="001D57E1"/>
    <w:rsid w:val="001D5D63"/>
    <w:rsid w:val="001D5E32"/>
    <w:rsid w:val="001D662A"/>
    <w:rsid w:val="001D6674"/>
    <w:rsid w:val="001D68A9"/>
    <w:rsid w:val="001D69F6"/>
    <w:rsid w:val="001D6ED1"/>
    <w:rsid w:val="001D73E9"/>
    <w:rsid w:val="001D7529"/>
    <w:rsid w:val="001D7622"/>
    <w:rsid w:val="001D7849"/>
    <w:rsid w:val="001E0988"/>
    <w:rsid w:val="001E0B4B"/>
    <w:rsid w:val="001E1104"/>
    <w:rsid w:val="001E17EE"/>
    <w:rsid w:val="001E2057"/>
    <w:rsid w:val="001E3126"/>
    <w:rsid w:val="001E342F"/>
    <w:rsid w:val="001E3641"/>
    <w:rsid w:val="001E3BB7"/>
    <w:rsid w:val="001E4075"/>
    <w:rsid w:val="001E4458"/>
    <w:rsid w:val="001E4A4E"/>
    <w:rsid w:val="001E4BD5"/>
    <w:rsid w:val="001E4EC8"/>
    <w:rsid w:val="001E5296"/>
    <w:rsid w:val="001E52D0"/>
    <w:rsid w:val="001E5898"/>
    <w:rsid w:val="001E679C"/>
    <w:rsid w:val="001E6E9B"/>
    <w:rsid w:val="001E74A2"/>
    <w:rsid w:val="001E7571"/>
    <w:rsid w:val="001E79EC"/>
    <w:rsid w:val="001E7C9C"/>
    <w:rsid w:val="001E7D80"/>
    <w:rsid w:val="001F0064"/>
    <w:rsid w:val="001F019D"/>
    <w:rsid w:val="001F02C9"/>
    <w:rsid w:val="001F04C1"/>
    <w:rsid w:val="001F066B"/>
    <w:rsid w:val="001F06CB"/>
    <w:rsid w:val="001F0917"/>
    <w:rsid w:val="001F0E07"/>
    <w:rsid w:val="001F10BF"/>
    <w:rsid w:val="001F11F1"/>
    <w:rsid w:val="001F1264"/>
    <w:rsid w:val="001F2634"/>
    <w:rsid w:val="001F265E"/>
    <w:rsid w:val="001F27EF"/>
    <w:rsid w:val="001F2A08"/>
    <w:rsid w:val="001F2AF4"/>
    <w:rsid w:val="001F2BDD"/>
    <w:rsid w:val="001F2EC3"/>
    <w:rsid w:val="001F3A14"/>
    <w:rsid w:val="001F3F6B"/>
    <w:rsid w:val="001F4031"/>
    <w:rsid w:val="001F4041"/>
    <w:rsid w:val="001F4283"/>
    <w:rsid w:val="001F4BC4"/>
    <w:rsid w:val="001F4FE5"/>
    <w:rsid w:val="001F51FB"/>
    <w:rsid w:val="001F526D"/>
    <w:rsid w:val="001F6640"/>
    <w:rsid w:val="001F668A"/>
    <w:rsid w:val="001F692A"/>
    <w:rsid w:val="001F6A76"/>
    <w:rsid w:val="001F6B79"/>
    <w:rsid w:val="001F70B0"/>
    <w:rsid w:val="001F7219"/>
    <w:rsid w:val="001F7299"/>
    <w:rsid w:val="001F739B"/>
    <w:rsid w:val="001F74EC"/>
    <w:rsid w:val="001F7675"/>
    <w:rsid w:val="001F78C4"/>
    <w:rsid w:val="001F7A57"/>
    <w:rsid w:val="001F7BE1"/>
    <w:rsid w:val="001F7FE3"/>
    <w:rsid w:val="0020001D"/>
    <w:rsid w:val="00200066"/>
    <w:rsid w:val="0020021E"/>
    <w:rsid w:val="00200846"/>
    <w:rsid w:val="002008F6"/>
    <w:rsid w:val="00200ACA"/>
    <w:rsid w:val="00200FAF"/>
    <w:rsid w:val="0020101A"/>
    <w:rsid w:val="002012D2"/>
    <w:rsid w:val="002014B8"/>
    <w:rsid w:val="002014D6"/>
    <w:rsid w:val="00201A2F"/>
    <w:rsid w:val="00201CE7"/>
    <w:rsid w:val="0020209C"/>
    <w:rsid w:val="00202205"/>
    <w:rsid w:val="002025B5"/>
    <w:rsid w:val="00202618"/>
    <w:rsid w:val="0020266D"/>
    <w:rsid w:val="00202F0E"/>
    <w:rsid w:val="002032D7"/>
    <w:rsid w:val="002035D3"/>
    <w:rsid w:val="00203771"/>
    <w:rsid w:val="00203EAB"/>
    <w:rsid w:val="00203EED"/>
    <w:rsid w:val="0020407D"/>
    <w:rsid w:val="002048E5"/>
    <w:rsid w:val="00205930"/>
    <w:rsid w:val="00206439"/>
    <w:rsid w:val="00206457"/>
    <w:rsid w:val="00206A85"/>
    <w:rsid w:val="00206B8C"/>
    <w:rsid w:val="00206B91"/>
    <w:rsid w:val="00206F96"/>
    <w:rsid w:val="00207716"/>
    <w:rsid w:val="00210012"/>
    <w:rsid w:val="002103DD"/>
    <w:rsid w:val="00210665"/>
    <w:rsid w:val="00210E29"/>
    <w:rsid w:val="002116E1"/>
    <w:rsid w:val="00211AEA"/>
    <w:rsid w:val="00211DBE"/>
    <w:rsid w:val="00211E03"/>
    <w:rsid w:val="00211E9E"/>
    <w:rsid w:val="002122ED"/>
    <w:rsid w:val="002129BF"/>
    <w:rsid w:val="00212C2D"/>
    <w:rsid w:val="002136A6"/>
    <w:rsid w:val="00213AAA"/>
    <w:rsid w:val="0021490D"/>
    <w:rsid w:val="00214A82"/>
    <w:rsid w:val="00214C79"/>
    <w:rsid w:val="00214CA4"/>
    <w:rsid w:val="00214D19"/>
    <w:rsid w:val="00214DE3"/>
    <w:rsid w:val="00215003"/>
    <w:rsid w:val="002152D9"/>
    <w:rsid w:val="00215812"/>
    <w:rsid w:val="00215CD2"/>
    <w:rsid w:val="00215D95"/>
    <w:rsid w:val="002164C7"/>
    <w:rsid w:val="0021683B"/>
    <w:rsid w:val="00216A24"/>
    <w:rsid w:val="00216A67"/>
    <w:rsid w:val="00216AC5"/>
    <w:rsid w:val="002170B5"/>
    <w:rsid w:val="00217308"/>
    <w:rsid w:val="002173B6"/>
    <w:rsid w:val="00217568"/>
    <w:rsid w:val="00217608"/>
    <w:rsid w:val="002176E7"/>
    <w:rsid w:val="00217885"/>
    <w:rsid w:val="002178E0"/>
    <w:rsid w:val="00217AF0"/>
    <w:rsid w:val="00217B22"/>
    <w:rsid w:val="00217C37"/>
    <w:rsid w:val="00217D57"/>
    <w:rsid w:val="00217E5F"/>
    <w:rsid w:val="00220199"/>
    <w:rsid w:val="00221008"/>
    <w:rsid w:val="00221168"/>
    <w:rsid w:val="00221460"/>
    <w:rsid w:val="00221936"/>
    <w:rsid w:val="002222EC"/>
    <w:rsid w:val="00222562"/>
    <w:rsid w:val="00222611"/>
    <w:rsid w:val="0022269C"/>
    <w:rsid w:val="00223048"/>
    <w:rsid w:val="002230B3"/>
    <w:rsid w:val="00223499"/>
    <w:rsid w:val="00223525"/>
    <w:rsid w:val="00223BD2"/>
    <w:rsid w:val="00223D0E"/>
    <w:rsid w:val="002243B2"/>
    <w:rsid w:val="00224558"/>
    <w:rsid w:val="002250B5"/>
    <w:rsid w:val="00225968"/>
    <w:rsid w:val="00226AC8"/>
    <w:rsid w:val="00226B8B"/>
    <w:rsid w:val="00227007"/>
    <w:rsid w:val="00227831"/>
    <w:rsid w:val="00227D77"/>
    <w:rsid w:val="00227D9A"/>
    <w:rsid w:val="00227EE4"/>
    <w:rsid w:val="0023026E"/>
    <w:rsid w:val="002306DA"/>
    <w:rsid w:val="002308E6"/>
    <w:rsid w:val="00230AC9"/>
    <w:rsid w:val="00230ADF"/>
    <w:rsid w:val="00230D85"/>
    <w:rsid w:val="00230EAA"/>
    <w:rsid w:val="00230ED9"/>
    <w:rsid w:val="002313E1"/>
    <w:rsid w:val="00231425"/>
    <w:rsid w:val="0023181D"/>
    <w:rsid w:val="0023182B"/>
    <w:rsid w:val="00231D41"/>
    <w:rsid w:val="00232009"/>
    <w:rsid w:val="00232690"/>
    <w:rsid w:val="00232775"/>
    <w:rsid w:val="002328B4"/>
    <w:rsid w:val="00232CE9"/>
    <w:rsid w:val="00233281"/>
    <w:rsid w:val="00233467"/>
    <w:rsid w:val="002337E3"/>
    <w:rsid w:val="00233F46"/>
    <w:rsid w:val="002344C2"/>
    <w:rsid w:val="00234984"/>
    <w:rsid w:val="00234F01"/>
    <w:rsid w:val="002351A0"/>
    <w:rsid w:val="00235925"/>
    <w:rsid w:val="00235CCC"/>
    <w:rsid w:val="00236081"/>
    <w:rsid w:val="00236831"/>
    <w:rsid w:val="00236B8C"/>
    <w:rsid w:val="00236D6E"/>
    <w:rsid w:val="00236DF8"/>
    <w:rsid w:val="00236F7D"/>
    <w:rsid w:val="00237301"/>
    <w:rsid w:val="00237491"/>
    <w:rsid w:val="002375C3"/>
    <w:rsid w:val="00237742"/>
    <w:rsid w:val="002377CA"/>
    <w:rsid w:val="00237E30"/>
    <w:rsid w:val="002401AA"/>
    <w:rsid w:val="002403AB"/>
    <w:rsid w:val="00240540"/>
    <w:rsid w:val="002406C1"/>
    <w:rsid w:val="00240970"/>
    <w:rsid w:val="002413F9"/>
    <w:rsid w:val="002418C5"/>
    <w:rsid w:val="00241952"/>
    <w:rsid w:val="00241CE5"/>
    <w:rsid w:val="00242508"/>
    <w:rsid w:val="002428CD"/>
    <w:rsid w:val="00242E99"/>
    <w:rsid w:val="0024358F"/>
    <w:rsid w:val="002436C3"/>
    <w:rsid w:val="0024378C"/>
    <w:rsid w:val="00243B48"/>
    <w:rsid w:val="002442D2"/>
    <w:rsid w:val="002446F5"/>
    <w:rsid w:val="002452CD"/>
    <w:rsid w:val="00245778"/>
    <w:rsid w:val="002459A7"/>
    <w:rsid w:val="00245CD4"/>
    <w:rsid w:val="002461A0"/>
    <w:rsid w:val="00246381"/>
    <w:rsid w:val="0024647E"/>
    <w:rsid w:val="00246488"/>
    <w:rsid w:val="002464D6"/>
    <w:rsid w:val="00246D42"/>
    <w:rsid w:val="0024700F"/>
    <w:rsid w:val="002474BB"/>
    <w:rsid w:val="00247547"/>
    <w:rsid w:val="0024757C"/>
    <w:rsid w:val="0024791E"/>
    <w:rsid w:val="00247DA9"/>
    <w:rsid w:val="00247EEF"/>
    <w:rsid w:val="00250008"/>
    <w:rsid w:val="00250197"/>
    <w:rsid w:val="00250199"/>
    <w:rsid w:val="00250BBC"/>
    <w:rsid w:val="0025166D"/>
    <w:rsid w:val="002517D6"/>
    <w:rsid w:val="00251857"/>
    <w:rsid w:val="00251CAD"/>
    <w:rsid w:val="00251CDB"/>
    <w:rsid w:val="00251F27"/>
    <w:rsid w:val="00251F54"/>
    <w:rsid w:val="0025288D"/>
    <w:rsid w:val="0025295F"/>
    <w:rsid w:val="00252CAC"/>
    <w:rsid w:val="00252F03"/>
    <w:rsid w:val="00253431"/>
    <w:rsid w:val="00254068"/>
    <w:rsid w:val="00254132"/>
    <w:rsid w:val="0025437F"/>
    <w:rsid w:val="002543B7"/>
    <w:rsid w:val="002543E4"/>
    <w:rsid w:val="0025491D"/>
    <w:rsid w:val="00254C66"/>
    <w:rsid w:val="00254F01"/>
    <w:rsid w:val="00255EE8"/>
    <w:rsid w:val="00255FCE"/>
    <w:rsid w:val="00256194"/>
    <w:rsid w:val="002561EB"/>
    <w:rsid w:val="002562FC"/>
    <w:rsid w:val="002564FE"/>
    <w:rsid w:val="0025655B"/>
    <w:rsid w:val="00256DF7"/>
    <w:rsid w:val="0025711E"/>
    <w:rsid w:val="0025779A"/>
    <w:rsid w:val="0025779D"/>
    <w:rsid w:val="00257BD5"/>
    <w:rsid w:val="0026029A"/>
    <w:rsid w:val="0026035E"/>
    <w:rsid w:val="00260D15"/>
    <w:rsid w:val="00260E67"/>
    <w:rsid w:val="00260F20"/>
    <w:rsid w:val="00261176"/>
    <w:rsid w:val="00261393"/>
    <w:rsid w:val="002613DB"/>
    <w:rsid w:val="002618A3"/>
    <w:rsid w:val="00261F8C"/>
    <w:rsid w:val="00262123"/>
    <w:rsid w:val="00262646"/>
    <w:rsid w:val="00262D2B"/>
    <w:rsid w:val="002636FF"/>
    <w:rsid w:val="0026400D"/>
    <w:rsid w:val="002645DA"/>
    <w:rsid w:val="00264E7D"/>
    <w:rsid w:val="002657DE"/>
    <w:rsid w:val="00265F3B"/>
    <w:rsid w:val="002664C8"/>
    <w:rsid w:val="00266664"/>
    <w:rsid w:val="00266C14"/>
    <w:rsid w:val="00266FD1"/>
    <w:rsid w:val="00267219"/>
    <w:rsid w:val="002676F0"/>
    <w:rsid w:val="002678EF"/>
    <w:rsid w:val="00270446"/>
    <w:rsid w:val="002709C0"/>
    <w:rsid w:val="00270D16"/>
    <w:rsid w:val="00270ED1"/>
    <w:rsid w:val="0027103B"/>
    <w:rsid w:val="0027108A"/>
    <w:rsid w:val="0027121E"/>
    <w:rsid w:val="00271908"/>
    <w:rsid w:val="002719B4"/>
    <w:rsid w:val="00271DA3"/>
    <w:rsid w:val="00272180"/>
    <w:rsid w:val="00272224"/>
    <w:rsid w:val="0027239D"/>
    <w:rsid w:val="00272821"/>
    <w:rsid w:val="00272AB6"/>
    <w:rsid w:val="00272C8C"/>
    <w:rsid w:val="00272F4D"/>
    <w:rsid w:val="0027343A"/>
    <w:rsid w:val="0027364E"/>
    <w:rsid w:val="00273CD5"/>
    <w:rsid w:val="00274631"/>
    <w:rsid w:val="00274945"/>
    <w:rsid w:val="00274BBF"/>
    <w:rsid w:val="0027520A"/>
    <w:rsid w:val="00275496"/>
    <w:rsid w:val="0027561D"/>
    <w:rsid w:val="0027585D"/>
    <w:rsid w:val="00275FB4"/>
    <w:rsid w:val="00276E24"/>
    <w:rsid w:val="002772ED"/>
    <w:rsid w:val="00277358"/>
    <w:rsid w:val="00277383"/>
    <w:rsid w:val="0027787A"/>
    <w:rsid w:val="00277E59"/>
    <w:rsid w:val="00277F37"/>
    <w:rsid w:val="00277FA6"/>
    <w:rsid w:val="002803B0"/>
    <w:rsid w:val="0028083E"/>
    <w:rsid w:val="002808C0"/>
    <w:rsid w:val="00280A17"/>
    <w:rsid w:val="002810C1"/>
    <w:rsid w:val="0028153E"/>
    <w:rsid w:val="00281667"/>
    <w:rsid w:val="00281697"/>
    <w:rsid w:val="00281FAA"/>
    <w:rsid w:val="00281FDB"/>
    <w:rsid w:val="0028231C"/>
    <w:rsid w:val="002823E7"/>
    <w:rsid w:val="002824CF"/>
    <w:rsid w:val="002832D4"/>
    <w:rsid w:val="00283478"/>
    <w:rsid w:val="00283911"/>
    <w:rsid w:val="00283CB0"/>
    <w:rsid w:val="00283F18"/>
    <w:rsid w:val="00283F7A"/>
    <w:rsid w:val="00283F89"/>
    <w:rsid w:val="00284054"/>
    <w:rsid w:val="00284309"/>
    <w:rsid w:val="0028484C"/>
    <w:rsid w:val="00284A2D"/>
    <w:rsid w:val="00284AC3"/>
    <w:rsid w:val="00284BAB"/>
    <w:rsid w:val="00284BEB"/>
    <w:rsid w:val="00285217"/>
    <w:rsid w:val="00285391"/>
    <w:rsid w:val="00285468"/>
    <w:rsid w:val="00285C95"/>
    <w:rsid w:val="00285DB7"/>
    <w:rsid w:val="0028600C"/>
    <w:rsid w:val="00286614"/>
    <w:rsid w:val="0028663B"/>
    <w:rsid w:val="00286D71"/>
    <w:rsid w:val="002872FD"/>
    <w:rsid w:val="002873A1"/>
    <w:rsid w:val="00287719"/>
    <w:rsid w:val="00287779"/>
    <w:rsid w:val="002879F7"/>
    <w:rsid w:val="00287E8A"/>
    <w:rsid w:val="00290279"/>
    <w:rsid w:val="00290C6C"/>
    <w:rsid w:val="002910D9"/>
    <w:rsid w:val="00291C64"/>
    <w:rsid w:val="00291DD7"/>
    <w:rsid w:val="00291ECE"/>
    <w:rsid w:val="00292281"/>
    <w:rsid w:val="002922FD"/>
    <w:rsid w:val="002924B6"/>
    <w:rsid w:val="002928CE"/>
    <w:rsid w:val="00292CEA"/>
    <w:rsid w:val="00292D97"/>
    <w:rsid w:val="00293126"/>
    <w:rsid w:val="002931D4"/>
    <w:rsid w:val="00293C95"/>
    <w:rsid w:val="00293CD8"/>
    <w:rsid w:val="002941AC"/>
    <w:rsid w:val="00294DEF"/>
    <w:rsid w:val="00295028"/>
    <w:rsid w:val="00295262"/>
    <w:rsid w:val="002955A7"/>
    <w:rsid w:val="00295857"/>
    <w:rsid w:val="002958D3"/>
    <w:rsid w:val="00295902"/>
    <w:rsid w:val="00295BB7"/>
    <w:rsid w:val="00295F1E"/>
    <w:rsid w:val="00295FEA"/>
    <w:rsid w:val="00296333"/>
    <w:rsid w:val="00296462"/>
    <w:rsid w:val="0029646F"/>
    <w:rsid w:val="00296630"/>
    <w:rsid w:val="00296802"/>
    <w:rsid w:val="002968A9"/>
    <w:rsid w:val="00296B5F"/>
    <w:rsid w:val="00296BAF"/>
    <w:rsid w:val="00296FDD"/>
    <w:rsid w:val="0029703E"/>
    <w:rsid w:val="002970D6"/>
    <w:rsid w:val="002970ED"/>
    <w:rsid w:val="00297161"/>
    <w:rsid w:val="00297669"/>
    <w:rsid w:val="00297711"/>
    <w:rsid w:val="00297BDD"/>
    <w:rsid w:val="00297D57"/>
    <w:rsid w:val="002A005D"/>
    <w:rsid w:val="002A0275"/>
    <w:rsid w:val="002A0C6D"/>
    <w:rsid w:val="002A0DC3"/>
    <w:rsid w:val="002A113E"/>
    <w:rsid w:val="002A13AA"/>
    <w:rsid w:val="002A1658"/>
    <w:rsid w:val="002A1691"/>
    <w:rsid w:val="002A1C66"/>
    <w:rsid w:val="002A1C73"/>
    <w:rsid w:val="002A2277"/>
    <w:rsid w:val="002A27A0"/>
    <w:rsid w:val="002A3751"/>
    <w:rsid w:val="002A38A0"/>
    <w:rsid w:val="002A3F2C"/>
    <w:rsid w:val="002A4093"/>
    <w:rsid w:val="002A4128"/>
    <w:rsid w:val="002A4668"/>
    <w:rsid w:val="002A48F7"/>
    <w:rsid w:val="002A4A88"/>
    <w:rsid w:val="002A5138"/>
    <w:rsid w:val="002A5147"/>
    <w:rsid w:val="002A552B"/>
    <w:rsid w:val="002A55E2"/>
    <w:rsid w:val="002A56EA"/>
    <w:rsid w:val="002A57FC"/>
    <w:rsid w:val="002A5875"/>
    <w:rsid w:val="002A59D9"/>
    <w:rsid w:val="002A6072"/>
    <w:rsid w:val="002A64C7"/>
    <w:rsid w:val="002A6761"/>
    <w:rsid w:val="002A6BD3"/>
    <w:rsid w:val="002A6DA7"/>
    <w:rsid w:val="002A72AF"/>
    <w:rsid w:val="002A72DE"/>
    <w:rsid w:val="002A75FA"/>
    <w:rsid w:val="002A76AB"/>
    <w:rsid w:val="002A7722"/>
    <w:rsid w:val="002A7C62"/>
    <w:rsid w:val="002A7FD3"/>
    <w:rsid w:val="002B0125"/>
    <w:rsid w:val="002B0601"/>
    <w:rsid w:val="002B0820"/>
    <w:rsid w:val="002B0C0C"/>
    <w:rsid w:val="002B0D66"/>
    <w:rsid w:val="002B10C1"/>
    <w:rsid w:val="002B10D7"/>
    <w:rsid w:val="002B1B71"/>
    <w:rsid w:val="002B1C28"/>
    <w:rsid w:val="002B1D1D"/>
    <w:rsid w:val="002B2009"/>
    <w:rsid w:val="002B20ED"/>
    <w:rsid w:val="002B23C6"/>
    <w:rsid w:val="002B2526"/>
    <w:rsid w:val="002B28AE"/>
    <w:rsid w:val="002B2AA4"/>
    <w:rsid w:val="002B2EDF"/>
    <w:rsid w:val="002B2FC0"/>
    <w:rsid w:val="002B2FD5"/>
    <w:rsid w:val="002B30EB"/>
    <w:rsid w:val="002B31A3"/>
    <w:rsid w:val="002B336E"/>
    <w:rsid w:val="002B34B2"/>
    <w:rsid w:val="002B38F1"/>
    <w:rsid w:val="002B3C01"/>
    <w:rsid w:val="002B3D58"/>
    <w:rsid w:val="002B435F"/>
    <w:rsid w:val="002B43A2"/>
    <w:rsid w:val="002B43C9"/>
    <w:rsid w:val="002B5110"/>
    <w:rsid w:val="002B51FD"/>
    <w:rsid w:val="002B5479"/>
    <w:rsid w:val="002B5C09"/>
    <w:rsid w:val="002B602B"/>
    <w:rsid w:val="002B64DB"/>
    <w:rsid w:val="002B6B56"/>
    <w:rsid w:val="002B6C12"/>
    <w:rsid w:val="002B72BD"/>
    <w:rsid w:val="002B7E68"/>
    <w:rsid w:val="002B7FAB"/>
    <w:rsid w:val="002C002D"/>
    <w:rsid w:val="002C029E"/>
    <w:rsid w:val="002C02C7"/>
    <w:rsid w:val="002C0380"/>
    <w:rsid w:val="002C077D"/>
    <w:rsid w:val="002C0931"/>
    <w:rsid w:val="002C10CE"/>
    <w:rsid w:val="002C1246"/>
    <w:rsid w:val="002C1393"/>
    <w:rsid w:val="002C179E"/>
    <w:rsid w:val="002C1B55"/>
    <w:rsid w:val="002C1C98"/>
    <w:rsid w:val="002C1ED9"/>
    <w:rsid w:val="002C2AC0"/>
    <w:rsid w:val="002C362D"/>
    <w:rsid w:val="002C3BCC"/>
    <w:rsid w:val="002C420F"/>
    <w:rsid w:val="002C426A"/>
    <w:rsid w:val="002C47BE"/>
    <w:rsid w:val="002C48CD"/>
    <w:rsid w:val="002C49C8"/>
    <w:rsid w:val="002C4ACD"/>
    <w:rsid w:val="002C51FF"/>
    <w:rsid w:val="002C5267"/>
    <w:rsid w:val="002C5815"/>
    <w:rsid w:val="002C5863"/>
    <w:rsid w:val="002C5BCB"/>
    <w:rsid w:val="002C5C27"/>
    <w:rsid w:val="002C5EC5"/>
    <w:rsid w:val="002C6327"/>
    <w:rsid w:val="002C656E"/>
    <w:rsid w:val="002C686F"/>
    <w:rsid w:val="002C6B91"/>
    <w:rsid w:val="002C6BA2"/>
    <w:rsid w:val="002C6CA2"/>
    <w:rsid w:val="002C6F2A"/>
    <w:rsid w:val="002C70B9"/>
    <w:rsid w:val="002C716C"/>
    <w:rsid w:val="002C78F7"/>
    <w:rsid w:val="002C7C1C"/>
    <w:rsid w:val="002D02AE"/>
    <w:rsid w:val="002D06D3"/>
    <w:rsid w:val="002D074A"/>
    <w:rsid w:val="002D0A34"/>
    <w:rsid w:val="002D13A2"/>
    <w:rsid w:val="002D1513"/>
    <w:rsid w:val="002D1592"/>
    <w:rsid w:val="002D1932"/>
    <w:rsid w:val="002D194C"/>
    <w:rsid w:val="002D1A4A"/>
    <w:rsid w:val="002D202D"/>
    <w:rsid w:val="002D219F"/>
    <w:rsid w:val="002D2442"/>
    <w:rsid w:val="002D26ED"/>
    <w:rsid w:val="002D2901"/>
    <w:rsid w:val="002D2BDD"/>
    <w:rsid w:val="002D2D26"/>
    <w:rsid w:val="002D2E31"/>
    <w:rsid w:val="002D2F9B"/>
    <w:rsid w:val="002D3267"/>
    <w:rsid w:val="002D33E0"/>
    <w:rsid w:val="002D3400"/>
    <w:rsid w:val="002D3674"/>
    <w:rsid w:val="002D4119"/>
    <w:rsid w:val="002D424E"/>
    <w:rsid w:val="002D432D"/>
    <w:rsid w:val="002D4FCA"/>
    <w:rsid w:val="002D53FA"/>
    <w:rsid w:val="002D5439"/>
    <w:rsid w:val="002D5710"/>
    <w:rsid w:val="002D57DD"/>
    <w:rsid w:val="002D582F"/>
    <w:rsid w:val="002D5B8B"/>
    <w:rsid w:val="002D5BE6"/>
    <w:rsid w:val="002D655C"/>
    <w:rsid w:val="002D69C3"/>
    <w:rsid w:val="002D6EB1"/>
    <w:rsid w:val="002D7226"/>
    <w:rsid w:val="002D779F"/>
    <w:rsid w:val="002D77A7"/>
    <w:rsid w:val="002D7C5E"/>
    <w:rsid w:val="002E070D"/>
    <w:rsid w:val="002E073E"/>
    <w:rsid w:val="002E09A0"/>
    <w:rsid w:val="002E0DCF"/>
    <w:rsid w:val="002E1352"/>
    <w:rsid w:val="002E1417"/>
    <w:rsid w:val="002E1873"/>
    <w:rsid w:val="002E2299"/>
    <w:rsid w:val="002E2774"/>
    <w:rsid w:val="002E27E7"/>
    <w:rsid w:val="002E29CE"/>
    <w:rsid w:val="002E2B15"/>
    <w:rsid w:val="002E30EE"/>
    <w:rsid w:val="002E3651"/>
    <w:rsid w:val="002E367B"/>
    <w:rsid w:val="002E43EB"/>
    <w:rsid w:val="002E44A8"/>
    <w:rsid w:val="002E4627"/>
    <w:rsid w:val="002E496F"/>
    <w:rsid w:val="002E4B6E"/>
    <w:rsid w:val="002E4E4E"/>
    <w:rsid w:val="002E5146"/>
    <w:rsid w:val="002E5748"/>
    <w:rsid w:val="002E57CF"/>
    <w:rsid w:val="002E595A"/>
    <w:rsid w:val="002E5991"/>
    <w:rsid w:val="002E5CE7"/>
    <w:rsid w:val="002E64B4"/>
    <w:rsid w:val="002E64FC"/>
    <w:rsid w:val="002E701E"/>
    <w:rsid w:val="002E7020"/>
    <w:rsid w:val="002E73C6"/>
    <w:rsid w:val="002E7CC8"/>
    <w:rsid w:val="002F0135"/>
    <w:rsid w:val="002F0446"/>
    <w:rsid w:val="002F0A87"/>
    <w:rsid w:val="002F0EA1"/>
    <w:rsid w:val="002F2242"/>
    <w:rsid w:val="002F244C"/>
    <w:rsid w:val="002F24CE"/>
    <w:rsid w:val="002F24D8"/>
    <w:rsid w:val="002F27FC"/>
    <w:rsid w:val="002F299B"/>
    <w:rsid w:val="002F2A3F"/>
    <w:rsid w:val="002F2C51"/>
    <w:rsid w:val="002F3890"/>
    <w:rsid w:val="002F3B20"/>
    <w:rsid w:val="002F4ABE"/>
    <w:rsid w:val="002F4AE9"/>
    <w:rsid w:val="002F51E1"/>
    <w:rsid w:val="002F561B"/>
    <w:rsid w:val="002F5B3D"/>
    <w:rsid w:val="002F697E"/>
    <w:rsid w:val="002F6A2E"/>
    <w:rsid w:val="002F6B4E"/>
    <w:rsid w:val="002F73AB"/>
    <w:rsid w:val="002F73AD"/>
    <w:rsid w:val="00300059"/>
    <w:rsid w:val="00300393"/>
    <w:rsid w:val="00300520"/>
    <w:rsid w:val="00300AE4"/>
    <w:rsid w:val="00300C62"/>
    <w:rsid w:val="00301756"/>
    <w:rsid w:val="0030185F"/>
    <w:rsid w:val="00302229"/>
    <w:rsid w:val="00302636"/>
    <w:rsid w:val="0030267A"/>
    <w:rsid w:val="00302715"/>
    <w:rsid w:val="00302957"/>
    <w:rsid w:val="00302C9E"/>
    <w:rsid w:val="003034DA"/>
    <w:rsid w:val="0030355A"/>
    <w:rsid w:val="00303866"/>
    <w:rsid w:val="00303CC6"/>
    <w:rsid w:val="00303CF1"/>
    <w:rsid w:val="0030453B"/>
    <w:rsid w:val="00304577"/>
    <w:rsid w:val="00304656"/>
    <w:rsid w:val="003048BD"/>
    <w:rsid w:val="00304ABA"/>
    <w:rsid w:val="00304D42"/>
    <w:rsid w:val="0030564B"/>
    <w:rsid w:val="00305A04"/>
    <w:rsid w:val="00305AD9"/>
    <w:rsid w:val="00305F70"/>
    <w:rsid w:val="00306641"/>
    <w:rsid w:val="003069A8"/>
    <w:rsid w:val="0030711A"/>
    <w:rsid w:val="003073A2"/>
    <w:rsid w:val="003078C4"/>
    <w:rsid w:val="00307E91"/>
    <w:rsid w:val="003102EC"/>
    <w:rsid w:val="00310786"/>
    <w:rsid w:val="003111E6"/>
    <w:rsid w:val="00311634"/>
    <w:rsid w:val="003117DF"/>
    <w:rsid w:val="00311D65"/>
    <w:rsid w:val="0031223E"/>
    <w:rsid w:val="00312ECF"/>
    <w:rsid w:val="00313BDB"/>
    <w:rsid w:val="00314148"/>
    <w:rsid w:val="00314648"/>
    <w:rsid w:val="0031470E"/>
    <w:rsid w:val="00314B94"/>
    <w:rsid w:val="0031590F"/>
    <w:rsid w:val="00315B98"/>
    <w:rsid w:val="00315BBF"/>
    <w:rsid w:val="00316376"/>
    <w:rsid w:val="003163DD"/>
    <w:rsid w:val="00316455"/>
    <w:rsid w:val="003168F4"/>
    <w:rsid w:val="00316FBB"/>
    <w:rsid w:val="00317A0A"/>
    <w:rsid w:val="00317AE6"/>
    <w:rsid w:val="00317CEC"/>
    <w:rsid w:val="0032048A"/>
    <w:rsid w:val="003206E0"/>
    <w:rsid w:val="003209CB"/>
    <w:rsid w:val="00320BAD"/>
    <w:rsid w:val="00320D0B"/>
    <w:rsid w:val="00320FE8"/>
    <w:rsid w:val="0032121F"/>
    <w:rsid w:val="00321788"/>
    <w:rsid w:val="00321BE4"/>
    <w:rsid w:val="00322892"/>
    <w:rsid w:val="0032292D"/>
    <w:rsid w:val="0032298C"/>
    <w:rsid w:val="003237A6"/>
    <w:rsid w:val="0032395B"/>
    <w:rsid w:val="00323C16"/>
    <w:rsid w:val="00323C42"/>
    <w:rsid w:val="00323E89"/>
    <w:rsid w:val="00324107"/>
    <w:rsid w:val="003242EA"/>
    <w:rsid w:val="00324521"/>
    <w:rsid w:val="003247C9"/>
    <w:rsid w:val="00324E8B"/>
    <w:rsid w:val="00325027"/>
    <w:rsid w:val="0032527A"/>
    <w:rsid w:val="00325376"/>
    <w:rsid w:val="003253C8"/>
    <w:rsid w:val="00325C4E"/>
    <w:rsid w:val="00325D50"/>
    <w:rsid w:val="00325E0B"/>
    <w:rsid w:val="00325E3B"/>
    <w:rsid w:val="00326A49"/>
    <w:rsid w:val="00326D45"/>
    <w:rsid w:val="0032718E"/>
    <w:rsid w:val="003271F0"/>
    <w:rsid w:val="00327D5E"/>
    <w:rsid w:val="003304C7"/>
    <w:rsid w:val="00330516"/>
    <w:rsid w:val="00330519"/>
    <w:rsid w:val="003309C5"/>
    <w:rsid w:val="00330CB0"/>
    <w:rsid w:val="003316AF"/>
    <w:rsid w:val="00331C06"/>
    <w:rsid w:val="00331E19"/>
    <w:rsid w:val="00332332"/>
    <w:rsid w:val="0033241E"/>
    <w:rsid w:val="003324DE"/>
    <w:rsid w:val="003326CC"/>
    <w:rsid w:val="003327C5"/>
    <w:rsid w:val="003328E3"/>
    <w:rsid w:val="00332D03"/>
    <w:rsid w:val="0033305D"/>
    <w:rsid w:val="00333707"/>
    <w:rsid w:val="003339B9"/>
    <w:rsid w:val="00333F11"/>
    <w:rsid w:val="0033402E"/>
    <w:rsid w:val="0033461F"/>
    <w:rsid w:val="003349B3"/>
    <w:rsid w:val="00334CFD"/>
    <w:rsid w:val="00334E1E"/>
    <w:rsid w:val="00335004"/>
    <w:rsid w:val="0033521F"/>
    <w:rsid w:val="00335FB8"/>
    <w:rsid w:val="00336166"/>
    <w:rsid w:val="003361B1"/>
    <w:rsid w:val="00336E33"/>
    <w:rsid w:val="00336EBB"/>
    <w:rsid w:val="0033726B"/>
    <w:rsid w:val="0033762D"/>
    <w:rsid w:val="003379BA"/>
    <w:rsid w:val="00340303"/>
    <w:rsid w:val="0034038D"/>
    <w:rsid w:val="0034089C"/>
    <w:rsid w:val="00340BEA"/>
    <w:rsid w:val="00340F89"/>
    <w:rsid w:val="003416E0"/>
    <w:rsid w:val="00341B3D"/>
    <w:rsid w:val="00341B8F"/>
    <w:rsid w:val="00341CA3"/>
    <w:rsid w:val="00341E5D"/>
    <w:rsid w:val="003420C4"/>
    <w:rsid w:val="00342233"/>
    <w:rsid w:val="00342728"/>
    <w:rsid w:val="00342C76"/>
    <w:rsid w:val="00342D6B"/>
    <w:rsid w:val="00343340"/>
    <w:rsid w:val="00343361"/>
    <w:rsid w:val="00343912"/>
    <w:rsid w:val="00343C82"/>
    <w:rsid w:val="0034409F"/>
    <w:rsid w:val="00344407"/>
    <w:rsid w:val="00344B74"/>
    <w:rsid w:val="00344C48"/>
    <w:rsid w:val="00344F44"/>
    <w:rsid w:val="00344FE7"/>
    <w:rsid w:val="00345955"/>
    <w:rsid w:val="00345C33"/>
    <w:rsid w:val="00345FAA"/>
    <w:rsid w:val="00346459"/>
    <w:rsid w:val="0034649F"/>
    <w:rsid w:val="003468F1"/>
    <w:rsid w:val="00346C32"/>
    <w:rsid w:val="00347072"/>
    <w:rsid w:val="00347414"/>
    <w:rsid w:val="003475C1"/>
    <w:rsid w:val="00347782"/>
    <w:rsid w:val="003479AF"/>
    <w:rsid w:val="00350390"/>
    <w:rsid w:val="003508FF"/>
    <w:rsid w:val="00350B83"/>
    <w:rsid w:val="00350E61"/>
    <w:rsid w:val="003512E5"/>
    <w:rsid w:val="0035147C"/>
    <w:rsid w:val="00351B63"/>
    <w:rsid w:val="00352144"/>
    <w:rsid w:val="003523AB"/>
    <w:rsid w:val="00352581"/>
    <w:rsid w:val="00352EA7"/>
    <w:rsid w:val="00353DAF"/>
    <w:rsid w:val="0035474A"/>
    <w:rsid w:val="00354CC4"/>
    <w:rsid w:val="00354D0C"/>
    <w:rsid w:val="00354DAE"/>
    <w:rsid w:val="00355241"/>
    <w:rsid w:val="0035528E"/>
    <w:rsid w:val="0035578E"/>
    <w:rsid w:val="00355825"/>
    <w:rsid w:val="00355A16"/>
    <w:rsid w:val="00355B51"/>
    <w:rsid w:val="00356626"/>
    <w:rsid w:val="00357023"/>
    <w:rsid w:val="003574E3"/>
    <w:rsid w:val="003575E6"/>
    <w:rsid w:val="00357DC3"/>
    <w:rsid w:val="00357E81"/>
    <w:rsid w:val="0036014A"/>
    <w:rsid w:val="00360153"/>
    <w:rsid w:val="00360316"/>
    <w:rsid w:val="00360AE9"/>
    <w:rsid w:val="00360F70"/>
    <w:rsid w:val="003610ED"/>
    <w:rsid w:val="00361490"/>
    <w:rsid w:val="00361DC0"/>
    <w:rsid w:val="00361F12"/>
    <w:rsid w:val="00362096"/>
    <w:rsid w:val="003620D8"/>
    <w:rsid w:val="00362421"/>
    <w:rsid w:val="00362C25"/>
    <w:rsid w:val="003630CC"/>
    <w:rsid w:val="0036312D"/>
    <w:rsid w:val="003634C1"/>
    <w:rsid w:val="00363BA7"/>
    <w:rsid w:val="0036427D"/>
    <w:rsid w:val="00364875"/>
    <w:rsid w:val="00364C1A"/>
    <w:rsid w:val="00365813"/>
    <w:rsid w:val="00365B22"/>
    <w:rsid w:val="00365B95"/>
    <w:rsid w:val="003661C5"/>
    <w:rsid w:val="003662E5"/>
    <w:rsid w:val="003666DC"/>
    <w:rsid w:val="00366B6A"/>
    <w:rsid w:val="00366D64"/>
    <w:rsid w:val="00367233"/>
    <w:rsid w:val="0036771C"/>
    <w:rsid w:val="0036792E"/>
    <w:rsid w:val="00367A5E"/>
    <w:rsid w:val="00367B65"/>
    <w:rsid w:val="00367BB1"/>
    <w:rsid w:val="00367D24"/>
    <w:rsid w:val="0037050D"/>
    <w:rsid w:val="003709D5"/>
    <w:rsid w:val="00370AA8"/>
    <w:rsid w:val="00370AE9"/>
    <w:rsid w:val="00370C38"/>
    <w:rsid w:val="00371254"/>
    <w:rsid w:val="003713AE"/>
    <w:rsid w:val="0037198B"/>
    <w:rsid w:val="003719D1"/>
    <w:rsid w:val="00372392"/>
    <w:rsid w:val="0037277E"/>
    <w:rsid w:val="0037294B"/>
    <w:rsid w:val="003729AD"/>
    <w:rsid w:val="00372E11"/>
    <w:rsid w:val="00372FAB"/>
    <w:rsid w:val="0037308D"/>
    <w:rsid w:val="003730B9"/>
    <w:rsid w:val="00373885"/>
    <w:rsid w:val="00373EB0"/>
    <w:rsid w:val="00374017"/>
    <w:rsid w:val="003745F4"/>
    <w:rsid w:val="00374661"/>
    <w:rsid w:val="00374992"/>
    <w:rsid w:val="00374E6B"/>
    <w:rsid w:val="00375D55"/>
    <w:rsid w:val="00375FF5"/>
    <w:rsid w:val="0037627E"/>
    <w:rsid w:val="003762D9"/>
    <w:rsid w:val="003765F0"/>
    <w:rsid w:val="00376A21"/>
    <w:rsid w:val="00376DA8"/>
    <w:rsid w:val="003770B5"/>
    <w:rsid w:val="003771CB"/>
    <w:rsid w:val="0037766D"/>
    <w:rsid w:val="00377B1E"/>
    <w:rsid w:val="00377BFB"/>
    <w:rsid w:val="00377DA9"/>
    <w:rsid w:val="0038016B"/>
    <w:rsid w:val="0038022C"/>
    <w:rsid w:val="00380683"/>
    <w:rsid w:val="003809C8"/>
    <w:rsid w:val="00380F9F"/>
    <w:rsid w:val="00381607"/>
    <w:rsid w:val="00381643"/>
    <w:rsid w:val="003818C6"/>
    <w:rsid w:val="0038195D"/>
    <w:rsid w:val="003825C3"/>
    <w:rsid w:val="00382698"/>
    <w:rsid w:val="003826DB"/>
    <w:rsid w:val="00382762"/>
    <w:rsid w:val="00382D32"/>
    <w:rsid w:val="00382E6A"/>
    <w:rsid w:val="00382F7E"/>
    <w:rsid w:val="00383059"/>
    <w:rsid w:val="003834DF"/>
    <w:rsid w:val="00383A8F"/>
    <w:rsid w:val="00383C0F"/>
    <w:rsid w:val="00383CAB"/>
    <w:rsid w:val="00383D55"/>
    <w:rsid w:val="00383E25"/>
    <w:rsid w:val="00384120"/>
    <w:rsid w:val="0038419E"/>
    <w:rsid w:val="00384865"/>
    <w:rsid w:val="00384C56"/>
    <w:rsid w:val="00384CE5"/>
    <w:rsid w:val="003857F4"/>
    <w:rsid w:val="00385BC6"/>
    <w:rsid w:val="00385EF9"/>
    <w:rsid w:val="00386415"/>
    <w:rsid w:val="003865C8"/>
    <w:rsid w:val="00386AB6"/>
    <w:rsid w:val="00386C60"/>
    <w:rsid w:val="00386D01"/>
    <w:rsid w:val="00387529"/>
    <w:rsid w:val="0039035E"/>
    <w:rsid w:val="003903F6"/>
    <w:rsid w:val="00390620"/>
    <w:rsid w:val="0039065B"/>
    <w:rsid w:val="00390732"/>
    <w:rsid w:val="00390AEA"/>
    <w:rsid w:val="0039104A"/>
    <w:rsid w:val="0039143C"/>
    <w:rsid w:val="0039174F"/>
    <w:rsid w:val="0039199B"/>
    <w:rsid w:val="003920B8"/>
    <w:rsid w:val="003921FB"/>
    <w:rsid w:val="00392300"/>
    <w:rsid w:val="0039255E"/>
    <w:rsid w:val="00392796"/>
    <w:rsid w:val="00392C21"/>
    <w:rsid w:val="00393210"/>
    <w:rsid w:val="0039331E"/>
    <w:rsid w:val="00393882"/>
    <w:rsid w:val="003946D6"/>
    <w:rsid w:val="0039479A"/>
    <w:rsid w:val="00394B90"/>
    <w:rsid w:val="0039578A"/>
    <w:rsid w:val="00395D20"/>
    <w:rsid w:val="00395D28"/>
    <w:rsid w:val="003962B1"/>
    <w:rsid w:val="003962EA"/>
    <w:rsid w:val="003964A7"/>
    <w:rsid w:val="00396DD7"/>
    <w:rsid w:val="00396F81"/>
    <w:rsid w:val="003972DA"/>
    <w:rsid w:val="0039753D"/>
    <w:rsid w:val="003976A2"/>
    <w:rsid w:val="003978EB"/>
    <w:rsid w:val="00397951"/>
    <w:rsid w:val="00397BEA"/>
    <w:rsid w:val="003A073D"/>
    <w:rsid w:val="003A0CDC"/>
    <w:rsid w:val="003A0D57"/>
    <w:rsid w:val="003A0E08"/>
    <w:rsid w:val="003A1183"/>
    <w:rsid w:val="003A120F"/>
    <w:rsid w:val="003A1A56"/>
    <w:rsid w:val="003A1ED5"/>
    <w:rsid w:val="003A25AD"/>
    <w:rsid w:val="003A26E3"/>
    <w:rsid w:val="003A2958"/>
    <w:rsid w:val="003A2CE5"/>
    <w:rsid w:val="003A2F62"/>
    <w:rsid w:val="003A2F68"/>
    <w:rsid w:val="003A33D8"/>
    <w:rsid w:val="003A3782"/>
    <w:rsid w:val="003A37C9"/>
    <w:rsid w:val="003A39AA"/>
    <w:rsid w:val="003A3C8A"/>
    <w:rsid w:val="003A3F32"/>
    <w:rsid w:val="003A40BC"/>
    <w:rsid w:val="003A4BD5"/>
    <w:rsid w:val="003A4BE5"/>
    <w:rsid w:val="003A4F03"/>
    <w:rsid w:val="003A4FAF"/>
    <w:rsid w:val="003A4FDF"/>
    <w:rsid w:val="003A5141"/>
    <w:rsid w:val="003A5689"/>
    <w:rsid w:val="003A56A2"/>
    <w:rsid w:val="003A6049"/>
    <w:rsid w:val="003A6B12"/>
    <w:rsid w:val="003A6D26"/>
    <w:rsid w:val="003A6E2C"/>
    <w:rsid w:val="003A715A"/>
    <w:rsid w:val="003A7594"/>
    <w:rsid w:val="003A7659"/>
    <w:rsid w:val="003A7B3A"/>
    <w:rsid w:val="003A7D64"/>
    <w:rsid w:val="003B0061"/>
    <w:rsid w:val="003B014D"/>
    <w:rsid w:val="003B0537"/>
    <w:rsid w:val="003B0D57"/>
    <w:rsid w:val="003B0E1F"/>
    <w:rsid w:val="003B169B"/>
    <w:rsid w:val="003B1A50"/>
    <w:rsid w:val="003B23DC"/>
    <w:rsid w:val="003B2A0B"/>
    <w:rsid w:val="003B2C6B"/>
    <w:rsid w:val="003B2E04"/>
    <w:rsid w:val="003B2FCA"/>
    <w:rsid w:val="003B36CB"/>
    <w:rsid w:val="003B37EE"/>
    <w:rsid w:val="003B3A4F"/>
    <w:rsid w:val="003B3C7C"/>
    <w:rsid w:val="003B3DE4"/>
    <w:rsid w:val="003B3F00"/>
    <w:rsid w:val="003B442D"/>
    <w:rsid w:val="003B45F2"/>
    <w:rsid w:val="003B4BAE"/>
    <w:rsid w:val="003B4DE1"/>
    <w:rsid w:val="003B4F0F"/>
    <w:rsid w:val="003B4F75"/>
    <w:rsid w:val="003B5210"/>
    <w:rsid w:val="003B5364"/>
    <w:rsid w:val="003B5410"/>
    <w:rsid w:val="003B55B3"/>
    <w:rsid w:val="003B56ED"/>
    <w:rsid w:val="003B5A9C"/>
    <w:rsid w:val="003B5BC4"/>
    <w:rsid w:val="003B5E5E"/>
    <w:rsid w:val="003B5F5B"/>
    <w:rsid w:val="003B60A5"/>
    <w:rsid w:val="003B61F9"/>
    <w:rsid w:val="003B6275"/>
    <w:rsid w:val="003B6519"/>
    <w:rsid w:val="003B6568"/>
    <w:rsid w:val="003B6AC6"/>
    <w:rsid w:val="003B755C"/>
    <w:rsid w:val="003B7E25"/>
    <w:rsid w:val="003B7ECB"/>
    <w:rsid w:val="003C010A"/>
    <w:rsid w:val="003C0A0C"/>
    <w:rsid w:val="003C0C11"/>
    <w:rsid w:val="003C12D1"/>
    <w:rsid w:val="003C12E3"/>
    <w:rsid w:val="003C1324"/>
    <w:rsid w:val="003C1471"/>
    <w:rsid w:val="003C2148"/>
    <w:rsid w:val="003C2320"/>
    <w:rsid w:val="003C236F"/>
    <w:rsid w:val="003C27A5"/>
    <w:rsid w:val="003C2BDF"/>
    <w:rsid w:val="003C2DC1"/>
    <w:rsid w:val="003C2E43"/>
    <w:rsid w:val="003C2F9E"/>
    <w:rsid w:val="003C32C5"/>
    <w:rsid w:val="003C3604"/>
    <w:rsid w:val="003C3631"/>
    <w:rsid w:val="003C39C7"/>
    <w:rsid w:val="003C3AAC"/>
    <w:rsid w:val="003C404C"/>
    <w:rsid w:val="003C41CE"/>
    <w:rsid w:val="003C44AD"/>
    <w:rsid w:val="003C4624"/>
    <w:rsid w:val="003C49A2"/>
    <w:rsid w:val="003C4C7E"/>
    <w:rsid w:val="003C4D59"/>
    <w:rsid w:val="003C4FFE"/>
    <w:rsid w:val="003C5049"/>
    <w:rsid w:val="003C558A"/>
    <w:rsid w:val="003C55C6"/>
    <w:rsid w:val="003C55E3"/>
    <w:rsid w:val="003C5C3F"/>
    <w:rsid w:val="003C5E38"/>
    <w:rsid w:val="003C6397"/>
    <w:rsid w:val="003C6399"/>
    <w:rsid w:val="003C63C2"/>
    <w:rsid w:val="003C652A"/>
    <w:rsid w:val="003C665E"/>
    <w:rsid w:val="003C69FB"/>
    <w:rsid w:val="003C71DE"/>
    <w:rsid w:val="003C7209"/>
    <w:rsid w:val="003C730A"/>
    <w:rsid w:val="003C7384"/>
    <w:rsid w:val="003C767E"/>
    <w:rsid w:val="003C78AA"/>
    <w:rsid w:val="003C79C7"/>
    <w:rsid w:val="003C7B15"/>
    <w:rsid w:val="003C7DAE"/>
    <w:rsid w:val="003C7F87"/>
    <w:rsid w:val="003C7FC2"/>
    <w:rsid w:val="003D000D"/>
    <w:rsid w:val="003D006D"/>
    <w:rsid w:val="003D033A"/>
    <w:rsid w:val="003D051B"/>
    <w:rsid w:val="003D0A61"/>
    <w:rsid w:val="003D0FB8"/>
    <w:rsid w:val="003D1616"/>
    <w:rsid w:val="003D16EF"/>
    <w:rsid w:val="003D2023"/>
    <w:rsid w:val="003D21E7"/>
    <w:rsid w:val="003D23FD"/>
    <w:rsid w:val="003D2477"/>
    <w:rsid w:val="003D2826"/>
    <w:rsid w:val="003D2915"/>
    <w:rsid w:val="003D298E"/>
    <w:rsid w:val="003D2E40"/>
    <w:rsid w:val="003D2ECA"/>
    <w:rsid w:val="003D3467"/>
    <w:rsid w:val="003D3668"/>
    <w:rsid w:val="003D3A89"/>
    <w:rsid w:val="003D3AF3"/>
    <w:rsid w:val="003D40EE"/>
    <w:rsid w:val="003D42F1"/>
    <w:rsid w:val="003D4486"/>
    <w:rsid w:val="003D4D1D"/>
    <w:rsid w:val="003D4EDC"/>
    <w:rsid w:val="003D4FF9"/>
    <w:rsid w:val="003D507F"/>
    <w:rsid w:val="003D5530"/>
    <w:rsid w:val="003D560C"/>
    <w:rsid w:val="003D5961"/>
    <w:rsid w:val="003D5A56"/>
    <w:rsid w:val="003D5CE8"/>
    <w:rsid w:val="003D5E09"/>
    <w:rsid w:val="003D64A6"/>
    <w:rsid w:val="003D6C63"/>
    <w:rsid w:val="003D6D36"/>
    <w:rsid w:val="003D6ED6"/>
    <w:rsid w:val="003D751B"/>
    <w:rsid w:val="003D76E5"/>
    <w:rsid w:val="003D781E"/>
    <w:rsid w:val="003D7A02"/>
    <w:rsid w:val="003D7C32"/>
    <w:rsid w:val="003D7C90"/>
    <w:rsid w:val="003E06F6"/>
    <w:rsid w:val="003E079F"/>
    <w:rsid w:val="003E097D"/>
    <w:rsid w:val="003E0FBF"/>
    <w:rsid w:val="003E0FC9"/>
    <w:rsid w:val="003E10D0"/>
    <w:rsid w:val="003E1131"/>
    <w:rsid w:val="003E137F"/>
    <w:rsid w:val="003E14C9"/>
    <w:rsid w:val="003E18C3"/>
    <w:rsid w:val="003E26ED"/>
    <w:rsid w:val="003E2A10"/>
    <w:rsid w:val="003E2D28"/>
    <w:rsid w:val="003E2FF0"/>
    <w:rsid w:val="003E337B"/>
    <w:rsid w:val="003E3AB7"/>
    <w:rsid w:val="003E462E"/>
    <w:rsid w:val="003E4923"/>
    <w:rsid w:val="003E4D74"/>
    <w:rsid w:val="003E51A4"/>
    <w:rsid w:val="003E5319"/>
    <w:rsid w:val="003E58C2"/>
    <w:rsid w:val="003E5916"/>
    <w:rsid w:val="003E5A76"/>
    <w:rsid w:val="003E6376"/>
    <w:rsid w:val="003E6687"/>
    <w:rsid w:val="003E6B27"/>
    <w:rsid w:val="003E6B9D"/>
    <w:rsid w:val="003E72B1"/>
    <w:rsid w:val="003E75EE"/>
    <w:rsid w:val="003E764F"/>
    <w:rsid w:val="003E7A12"/>
    <w:rsid w:val="003E7AC5"/>
    <w:rsid w:val="003E7DC6"/>
    <w:rsid w:val="003F00DF"/>
    <w:rsid w:val="003F02CB"/>
    <w:rsid w:val="003F0522"/>
    <w:rsid w:val="003F0FD9"/>
    <w:rsid w:val="003F12EC"/>
    <w:rsid w:val="003F14FD"/>
    <w:rsid w:val="003F172A"/>
    <w:rsid w:val="003F1C3D"/>
    <w:rsid w:val="003F1FDA"/>
    <w:rsid w:val="003F23D3"/>
    <w:rsid w:val="003F25E9"/>
    <w:rsid w:val="003F2602"/>
    <w:rsid w:val="003F2678"/>
    <w:rsid w:val="003F2797"/>
    <w:rsid w:val="003F2FAE"/>
    <w:rsid w:val="003F33C3"/>
    <w:rsid w:val="003F37AB"/>
    <w:rsid w:val="003F387F"/>
    <w:rsid w:val="003F3ABA"/>
    <w:rsid w:val="003F3E96"/>
    <w:rsid w:val="003F452D"/>
    <w:rsid w:val="003F45D6"/>
    <w:rsid w:val="003F4BFE"/>
    <w:rsid w:val="003F4F25"/>
    <w:rsid w:val="003F5BE6"/>
    <w:rsid w:val="003F60FD"/>
    <w:rsid w:val="003F6D16"/>
    <w:rsid w:val="003F6D25"/>
    <w:rsid w:val="003F6F5A"/>
    <w:rsid w:val="003F7603"/>
    <w:rsid w:val="003F788F"/>
    <w:rsid w:val="003F797D"/>
    <w:rsid w:val="003F7A45"/>
    <w:rsid w:val="0040000C"/>
    <w:rsid w:val="004001E8"/>
    <w:rsid w:val="00400302"/>
    <w:rsid w:val="004009D9"/>
    <w:rsid w:val="00400F52"/>
    <w:rsid w:val="00401764"/>
    <w:rsid w:val="0040189C"/>
    <w:rsid w:val="00401C21"/>
    <w:rsid w:val="00402A89"/>
    <w:rsid w:val="00403293"/>
    <w:rsid w:val="0040338B"/>
    <w:rsid w:val="004033EA"/>
    <w:rsid w:val="004035DD"/>
    <w:rsid w:val="004038B3"/>
    <w:rsid w:val="0040398A"/>
    <w:rsid w:val="00403BDC"/>
    <w:rsid w:val="00403CA0"/>
    <w:rsid w:val="00403E21"/>
    <w:rsid w:val="00403E2F"/>
    <w:rsid w:val="00404BDC"/>
    <w:rsid w:val="00404D7B"/>
    <w:rsid w:val="00404E4D"/>
    <w:rsid w:val="00405871"/>
    <w:rsid w:val="00405CD9"/>
    <w:rsid w:val="0040653F"/>
    <w:rsid w:val="00406651"/>
    <w:rsid w:val="00406703"/>
    <w:rsid w:val="00406B25"/>
    <w:rsid w:val="00406BCD"/>
    <w:rsid w:val="0040736D"/>
    <w:rsid w:val="00407382"/>
    <w:rsid w:val="0040745B"/>
    <w:rsid w:val="0040758D"/>
    <w:rsid w:val="00407753"/>
    <w:rsid w:val="00407E97"/>
    <w:rsid w:val="00410065"/>
    <w:rsid w:val="00411FC4"/>
    <w:rsid w:val="0041234E"/>
    <w:rsid w:val="0041253D"/>
    <w:rsid w:val="00412813"/>
    <w:rsid w:val="004129C0"/>
    <w:rsid w:val="00412EE0"/>
    <w:rsid w:val="0041338E"/>
    <w:rsid w:val="004133C3"/>
    <w:rsid w:val="00413660"/>
    <w:rsid w:val="004137F1"/>
    <w:rsid w:val="0041384B"/>
    <w:rsid w:val="004138A4"/>
    <w:rsid w:val="00414055"/>
    <w:rsid w:val="004143E8"/>
    <w:rsid w:val="004144CF"/>
    <w:rsid w:val="0041463A"/>
    <w:rsid w:val="0041476E"/>
    <w:rsid w:val="00414823"/>
    <w:rsid w:val="004152CD"/>
    <w:rsid w:val="0041555C"/>
    <w:rsid w:val="00415A63"/>
    <w:rsid w:val="00415AC4"/>
    <w:rsid w:val="00415ED1"/>
    <w:rsid w:val="0041620C"/>
    <w:rsid w:val="00416BBD"/>
    <w:rsid w:val="00416C06"/>
    <w:rsid w:val="00416C36"/>
    <w:rsid w:val="004172A8"/>
    <w:rsid w:val="0041733C"/>
    <w:rsid w:val="0041772B"/>
    <w:rsid w:val="004179DB"/>
    <w:rsid w:val="004179EA"/>
    <w:rsid w:val="00417D4E"/>
    <w:rsid w:val="004200C3"/>
    <w:rsid w:val="00420212"/>
    <w:rsid w:val="00420865"/>
    <w:rsid w:val="00420A55"/>
    <w:rsid w:val="00420A5C"/>
    <w:rsid w:val="00420E60"/>
    <w:rsid w:val="0042178F"/>
    <w:rsid w:val="0042190C"/>
    <w:rsid w:val="004219A7"/>
    <w:rsid w:val="00422049"/>
    <w:rsid w:val="00422232"/>
    <w:rsid w:val="0042226E"/>
    <w:rsid w:val="004222F3"/>
    <w:rsid w:val="00423192"/>
    <w:rsid w:val="00423816"/>
    <w:rsid w:val="00423B70"/>
    <w:rsid w:val="00423BE9"/>
    <w:rsid w:val="00423D75"/>
    <w:rsid w:val="0042453A"/>
    <w:rsid w:val="0042465E"/>
    <w:rsid w:val="00424683"/>
    <w:rsid w:val="004246C9"/>
    <w:rsid w:val="00424B98"/>
    <w:rsid w:val="00424B9C"/>
    <w:rsid w:val="00425006"/>
    <w:rsid w:val="004255E5"/>
    <w:rsid w:val="00425DEC"/>
    <w:rsid w:val="004263BC"/>
    <w:rsid w:val="004270FE"/>
    <w:rsid w:val="0042793F"/>
    <w:rsid w:val="00427D7C"/>
    <w:rsid w:val="00430378"/>
    <w:rsid w:val="00430858"/>
    <w:rsid w:val="00430BD9"/>
    <w:rsid w:val="0043106B"/>
    <w:rsid w:val="0043119A"/>
    <w:rsid w:val="004312B6"/>
    <w:rsid w:val="0043178A"/>
    <w:rsid w:val="004317C7"/>
    <w:rsid w:val="00431A22"/>
    <w:rsid w:val="0043230A"/>
    <w:rsid w:val="0043233C"/>
    <w:rsid w:val="00432422"/>
    <w:rsid w:val="004324FB"/>
    <w:rsid w:val="00432B97"/>
    <w:rsid w:val="004336E6"/>
    <w:rsid w:val="004337C6"/>
    <w:rsid w:val="0043393D"/>
    <w:rsid w:val="00433D25"/>
    <w:rsid w:val="00433D3E"/>
    <w:rsid w:val="00433F16"/>
    <w:rsid w:val="00434140"/>
    <w:rsid w:val="00434275"/>
    <w:rsid w:val="004346A9"/>
    <w:rsid w:val="00434904"/>
    <w:rsid w:val="004349AF"/>
    <w:rsid w:val="00434B5B"/>
    <w:rsid w:val="00434B6E"/>
    <w:rsid w:val="00434EAB"/>
    <w:rsid w:val="00435761"/>
    <w:rsid w:val="0043595B"/>
    <w:rsid w:val="00435AD6"/>
    <w:rsid w:val="004362B0"/>
    <w:rsid w:val="00436464"/>
    <w:rsid w:val="0043651B"/>
    <w:rsid w:val="004367C1"/>
    <w:rsid w:val="00436EBA"/>
    <w:rsid w:val="00436F1D"/>
    <w:rsid w:val="00436F32"/>
    <w:rsid w:val="00436F50"/>
    <w:rsid w:val="004373A2"/>
    <w:rsid w:val="0043769C"/>
    <w:rsid w:val="004376DB"/>
    <w:rsid w:val="004376EE"/>
    <w:rsid w:val="00437764"/>
    <w:rsid w:val="00437925"/>
    <w:rsid w:val="00437AA7"/>
    <w:rsid w:val="00437ABF"/>
    <w:rsid w:val="00437E05"/>
    <w:rsid w:val="00440608"/>
    <w:rsid w:val="004406EE"/>
    <w:rsid w:val="0044079A"/>
    <w:rsid w:val="00440855"/>
    <w:rsid w:val="00440F2E"/>
    <w:rsid w:val="00441251"/>
    <w:rsid w:val="00441324"/>
    <w:rsid w:val="004413AD"/>
    <w:rsid w:val="004414B8"/>
    <w:rsid w:val="0044178A"/>
    <w:rsid w:val="004418A6"/>
    <w:rsid w:val="00441A2F"/>
    <w:rsid w:val="00441F70"/>
    <w:rsid w:val="004426B8"/>
    <w:rsid w:val="004428CE"/>
    <w:rsid w:val="004429CF"/>
    <w:rsid w:val="00442EC7"/>
    <w:rsid w:val="00442F62"/>
    <w:rsid w:val="00443120"/>
    <w:rsid w:val="00443D7E"/>
    <w:rsid w:val="00443E53"/>
    <w:rsid w:val="00443E6D"/>
    <w:rsid w:val="0044411D"/>
    <w:rsid w:val="004442B5"/>
    <w:rsid w:val="00444A3B"/>
    <w:rsid w:val="00444C15"/>
    <w:rsid w:val="00444DE6"/>
    <w:rsid w:val="00444FE2"/>
    <w:rsid w:val="00445828"/>
    <w:rsid w:val="00445954"/>
    <w:rsid w:val="00445DC2"/>
    <w:rsid w:val="00445F43"/>
    <w:rsid w:val="004464C9"/>
    <w:rsid w:val="004467D3"/>
    <w:rsid w:val="00446B0F"/>
    <w:rsid w:val="00446DC5"/>
    <w:rsid w:val="00446E09"/>
    <w:rsid w:val="00446EBD"/>
    <w:rsid w:val="00447030"/>
    <w:rsid w:val="00447884"/>
    <w:rsid w:val="00447B74"/>
    <w:rsid w:val="00447E6B"/>
    <w:rsid w:val="00447EB2"/>
    <w:rsid w:val="00447F8E"/>
    <w:rsid w:val="00450AEA"/>
    <w:rsid w:val="00450FDD"/>
    <w:rsid w:val="0045175C"/>
    <w:rsid w:val="00451C3D"/>
    <w:rsid w:val="00451FEA"/>
    <w:rsid w:val="00452298"/>
    <w:rsid w:val="004526DA"/>
    <w:rsid w:val="00452C33"/>
    <w:rsid w:val="00452C7B"/>
    <w:rsid w:val="00452CD6"/>
    <w:rsid w:val="0045334B"/>
    <w:rsid w:val="0045456C"/>
    <w:rsid w:val="004545B7"/>
    <w:rsid w:val="00454FF5"/>
    <w:rsid w:val="004551A9"/>
    <w:rsid w:val="0045595B"/>
    <w:rsid w:val="004559AE"/>
    <w:rsid w:val="00455D79"/>
    <w:rsid w:val="00455F0E"/>
    <w:rsid w:val="00456453"/>
    <w:rsid w:val="00456B6B"/>
    <w:rsid w:val="00456BE5"/>
    <w:rsid w:val="00456DFE"/>
    <w:rsid w:val="00456E58"/>
    <w:rsid w:val="004573E5"/>
    <w:rsid w:val="00457544"/>
    <w:rsid w:val="00457999"/>
    <w:rsid w:val="00457A73"/>
    <w:rsid w:val="00457E4A"/>
    <w:rsid w:val="00457F43"/>
    <w:rsid w:val="00460642"/>
    <w:rsid w:val="00460A31"/>
    <w:rsid w:val="00460B3B"/>
    <w:rsid w:val="00460B68"/>
    <w:rsid w:val="00461CC8"/>
    <w:rsid w:val="00462038"/>
    <w:rsid w:val="0046286D"/>
    <w:rsid w:val="004629AB"/>
    <w:rsid w:val="00463171"/>
    <w:rsid w:val="004633E0"/>
    <w:rsid w:val="0046387D"/>
    <w:rsid w:val="004638DB"/>
    <w:rsid w:val="004642B4"/>
    <w:rsid w:val="0046486E"/>
    <w:rsid w:val="00464A42"/>
    <w:rsid w:val="00464CAE"/>
    <w:rsid w:val="00464E42"/>
    <w:rsid w:val="0046502C"/>
    <w:rsid w:val="004650E4"/>
    <w:rsid w:val="004655C6"/>
    <w:rsid w:val="00465634"/>
    <w:rsid w:val="004656BF"/>
    <w:rsid w:val="00465D17"/>
    <w:rsid w:val="00466156"/>
    <w:rsid w:val="004664DB"/>
    <w:rsid w:val="0046658D"/>
    <w:rsid w:val="00466FB5"/>
    <w:rsid w:val="004703E1"/>
    <w:rsid w:val="004709B2"/>
    <w:rsid w:val="00470BAF"/>
    <w:rsid w:val="00470C96"/>
    <w:rsid w:val="00470D00"/>
    <w:rsid w:val="00471B00"/>
    <w:rsid w:val="00472AE1"/>
    <w:rsid w:val="00472EA9"/>
    <w:rsid w:val="00473157"/>
    <w:rsid w:val="00473176"/>
    <w:rsid w:val="004734B6"/>
    <w:rsid w:val="004734C5"/>
    <w:rsid w:val="0047364B"/>
    <w:rsid w:val="0047374E"/>
    <w:rsid w:val="00473B3D"/>
    <w:rsid w:val="00473E7E"/>
    <w:rsid w:val="00473E90"/>
    <w:rsid w:val="00473EBB"/>
    <w:rsid w:val="004741F7"/>
    <w:rsid w:val="004742BB"/>
    <w:rsid w:val="004744DB"/>
    <w:rsid w:val="0047477B"/>
    <w:rsid w:val="0047497B"/>
    <w:rsid w:val="00474C6B"/>
    <w:rsid w:val="00475321"/>
    <w:rsid w:val="0047565B"/>
    <w:rsid w:val="0047634F"/>
    <w:rsid w:val="00476358"/>
    <w:rsid w:val="00476B07"/>
    <w:rsid w:val="00476C35"/>
    <w:rsid w:val="00476FD3"/>
    <w:rsid w:val="00477808"/>
    <w:rsid w:val="004779D0"/>
    <w:rsid w:val="00477C19"/>
    <w:rsid w:val="00477DBB"/>
    <w:rsid w:val="004801E0"/>
    <w:rsid w:val="00480BB7"/>
    <w:rsid w:val="00480EE3"/>
    <w:rsid w:val="004812FB"/>
    <w:rsid w:val="004816CA"/>
    <w:rsid w:val="004817BE"/>
    <w:rsid w:val="00481E5F"/>
    <w:rsid w:val="00481E92"/>
    <w:rsid w:val="004826AF"/>
    <w:rsid w:val="0048272F"/>
    <w:rsid w:val="00482D54"/>
    <w:rsid w:val="00483271"/>
    <w:rsid w:val="004835C2"/>
    <w:rsid w:val="00483859"/>
    <w:rsid w:val="00483B46"/>
    <w:rsid w:val="00483D3B"/>
    <w:rsid w:val="004845F1"/>
    <w:rsid w:val="004850B3"/>
    <w:rsid w:val="004857E7"/>
    <w:rsid w:val="00486130"/>
    <w:rsid w:val="004865A8"/>
    <w:rsid w:val="00486ADC"/>
    <w:rsid w:val="00486B96"/>
    <w:rsid w:val="00486C58"/>
    <w:rsid w:val="0048777D"/>
    <w:rsid w:val="004879AF"/>
    <w:rsid w:val="00487D18"/>
    <w:rsid w:val="00490038"/>
    <w:rsid w:val="00490059"/>
    <w:rsid w:val="00490162"/>
    <w:rsid w:val="004904F7"/>
    <w:rsid w:val="00490A5D"/>
    <w:rsid w:val="00491030"/>
    <w:rsid w:val="004910AC"/>
    <w:rsid w:val="004914D8"/>
    <w:rsid w:val="004919E8"/>
    <w:rsid w:val="00491E18"/>
    <w:rsid w:val="00491F91"/>
    <w:rsid w:val="00491FF6"/>
    <w:rsid w:val="00492145"/>
    <w:rsid w:val="004928CE"/>
    <w:rsid w:val="00492A2F"/>
    <w:rsid w:val="00492BA1"/>
    <w:rsid w:val="00492D7E"/>
    <w:rsid w:val="00493540"/>
    <w:rsid w:val="00493607"/>
    <w:rsid w:val="004939E4"/>
    <w:rsid w:val="00493D36"/>
    <w:rsid w:val="00493E35"/>
    <w:rsid w:val="004948B7"/>
    <w:rsid w:val="00494AD6"/>
    <w:rsid w:val="00494EC1"/>
    <w:rsid w:val="00495120"/>
    <w:rsid w:val="00495E67"/>
    <w:rsid w:val="004963F9"/>
    <w:rsid w:val="0049698A"/>
    <w:rsid w:val="00496B4E"/>
    <w:rsid w:val="00496DE2"/>
    <w:rsid w:val="0049736F"/>
    <w:rsid w:val="00497448"/>
    <w:rsid w:val="004975AA"/>
    <w:rsid w:val="00497935"/>
    <w:rsid w:val="00497C7B"/>
    <w:rsid w:val="004A034A"/>
    <w:rsid w:val="004A0476"/>
    <w:rsid w:val="004A07D7"/>
    <w:rsid w:val="004A0A69"/>
    <w:rsid w:val="004A0F9E"/>
    <w:rsid w:val="004A10D4"/>
    <w:rsid w:val="004A1130"/>
    <w:rsid w:val="004A1219"/>
    <w:rsid w:val="004A1A77"/>
    <w:rsid w:val="004A1DAA"/>
    <w:rsid w:val="004A23D2"/>
    <w:rsid w:val="004A25A0"/>
    <w:rsid w:val="004A285D"/>
    <w:rsid w:val="004A2D1D"/>
    <w:rsid w:val="004A302B"/>
    <w:rsid w:val="004A3242"/>
    <w:rsid w:val="004A3838"/>
    <w:rsid w:val="004A4467"/>
    <w:rsid w:val="004A4957"/>
    <w:rsid w:val="004A5258"/>
    <w:rsid w:val="004A5467"/>
    <w:rsid w:val="004A5AE2"/>
    <w:rsid w:val="004A5BB1"/>
    <w:rsid w:val="004A5CB1"/>
    <w:rsid w:val="004A5E3E"/>
    <w:rsid w:val="004A5EAA"/>
    <w:rsid w:val="004A638D"/>
    <w:rsid w:val="004A64EC"/>
    <w:rsid w:val="004A695F"/>
    <w:rsid w:val="004A697B"/>
    <w:rsid w:val="004A6A35"/>
    <w:rsid w:val="004A6EA6"/>
    <w:rsid w:val="004A701C"/>
    <w:rsid w:val="004A7550"/>
    <w:rsid w:val="004A7966"/>
    <w:rsid w:val="004A7A54"/>
    <w:rsid w:val="004B0239"/>
    <w:rsid w:val="004B0379"/>
    <w:rsid w:val="004B0A69"/>
    <w:rsid w:val="004B0D1E"/>
    <w:rsid w:val="004B0E2E"/>
    <w:rsid w:val="004B1604"/>
    <w:rsid w:val="004B1701"/>
    <w:rsid w:val="004B1804"/>
    <w:rsid w:val="004B18CC"/>
    <w:rsid w:val="004B2609"/>
    <w:rsid w:val="004B2722"/>
    <w:rsid w:val="004B2F3D"/>
    <w:rsid w:val="004B32A0"/>
    <w:rsid w:val="004B36C1"/>
    <w:rsid w:val="004B3A60"/>
    <w:rsid w:val="004B3FCD"/>
    <w:rsid w:val="004B43CB"/>
    <w:rsid w:val="004B4C62"/>
    <w:rsid w:val="004B4D15"/>
    <w:rsid w:val="004B5064"/>
    <w:rsid w:val="004B5078"/>
    <w:rsid w:val="004B5096"/>
    <w:rsid w:val="004B51DA"/>
    <w:rsid w:val="004B54EF"/>
    <w:rsid w:val="004B592E"/>
    <w:rsid w:val="004B5CE2"/>
    <w:rsid w:val="004B5DAC"/>
    <w:rsid w:val="004B6147"/>
    <w:rsid w:val="004B6184"/>
    <w:rsid w:val="004B6634"/>
    <w:rsid w:val="004B67BB"/>
    <w:rsid w:val="004B67F1"/>
    <w:rsid w:val="004B6812"/>
    <w:rsid w:val="004B7293"/>
    <w:rsid w:val="004B7DD1"/>
    <w:rsid w:val="004C0096"/>
    <w:rsid w:val="004C00A3"/>
    <w:rsid w:val="004C00F4"/>
    <w:rsid w:val="004C037B"/>
    <w:rsid w:val="004C082A"/>
    <w:rsid w:val="004C0830"/>
    <w:rsid w:val="004C085B"/>
    <w:rsid w:val="004C0BDA"/>
    <w:rsid w:val="004C1472"/>
    <w:rsid w:val="004C165E"/>
    <w:rsid w:val="004C1BF9"/>
    <w:rsid w:val="004C1C3E"/>
    <w:rsid w:val="004C23BD"/>
    <w:rsid w:val="004C2498"/>
    <w:rsid w:val="004C331E"/>
    <w:rsid w:val="004C333F"/>
    <w:rsid w:val="004C33BC"/>
    <w:rsid w:val="004C3D19"/>
    <w:rsid w:val="004C3FC0"/>
    <w:rsid w:val="004C42C9"/>
    <w:rsid w:val="004C4D54"/>
    <w:rsid w:val="004C5B42"/>
    <w:rsid w:val="004C5ECB"/>
    <w:rsid w:val="004C6672"/>
    <w:rsid w:val="004C68B6"/>
    <w:rsid w:val="004C74F1"/>
    <w:rsid w:val="004D039F"/>
    <w:rsid w:val="004D04F6"/>
    <w:rsid w:val="004D0ED5"/>
    <w:rsid w:val="004D12A8"/>
    <w:rsid w:val="004D1906"/>
    <w:rsid w:val="004D1C16"/>
    <w:rsid w:val="004D203B"/>
    <w:rsid w:val="004D240F"/>
    <w:rsid w:val="004D2434"/>
    <w:rsid w:val="004D2456"/>
    <w:rsid w:val="004D2566"/>
    <w:rsid w:val="004D2710"/>
    <w:rsid w:val="004D29CC"/>
    <w:rsid w:val="004D2AB8"/>
    <w:rsid w:val="004D2D7A"/>
    <w:rsid w:val="004D37B3"/>
    <w:rsid w:val="004D391B"/>
    <w:rsid w:val="004D3E11"/>
    <w:rsid w:val="004D4043"/>
    <w:rsid w:val="004D4304"/>
    <w:rsid w:val="004D470B"/>
    <w:rsid w:val="004D4C6E"/>
    <w:rsid w:val="004D4CD1"/>
    <w:rsid w:val="004D4E73"/>
    <w:rsid w:val="004D503B"/>
    <w:rsid w:val="004D50AB"/>
    <w:rsid w:val="004D514C"/>
    <w:rsid w:val="004D524E"/>
    <w:rsid w:val="004D5266"/>
    <w:rsid w:val="004D54B7"/>
    <w:rsid w:val="004D60DF"/>
    <w:rsid w:val="004D6786"/>
    <w:rsid w:val="004D69E1"/>
    <w:rsid w:val="004D7869"/>
    <w:rsid w:val="004D7EE4"/>
    <w:rsid w:val="004E0137"/>
    <w:rsid w:val="004E1155"/>
    <w:rsid w:val="004E11CF"/>
    <w:rsid w:val="004E121B"/>
    <w:rsid w:val="004E18E7"/>
    <w:rsid w:val="004E1E29"/>
    <w:rsid w:val="004E1ECE"/>
    <w:rsid w:val="004E1EF5"/>
    <w:rsid w:val="004E23F7"/>
    <w:rsid w:val="004E24D1"/>
    <w:rsid w:val="004E2A73"/>
    <w:rsid w:val="004E2B5D"/>
    <w:rsid w:val="004E3268"/>
    <w:rsid w:val="004E33F8"/>
    <w:rsid w:val="004E368A"/>
    <w:rsid w:val="004E3801"/>
    <w:rsid w:val="004E39C9"/>
    <w:rsid w:val="004E417F"/>
    <w:rsid w:val="004E41A1"/>
    <w:rsid w:val="004E4391"/>
    <w:rsid w:val="004E46F5"/>
    <w:rsid w:val="004E4972"/>
    <w:rsid w:val="004E4CA8"/>
    <w:rsid w:val="004E4D78"/>
    <w:rsid w:val="004E4E20"/>
    <w:rsid w:val="004E500B"/>
    <w:rsid w:val="004E5153"/>
    <w:rsid w:val="004E5C65"/>
    <w:rsid w:val="004E687B"/>
    <w:rsid w:val="004E70F3"/>
    <w:rsid w:val="004E713A"/>
    <w:rsid w:val="004E7649"/>
    <w:rsid w:val="004E79EC"/>
    <w:rsid w:val="004E7AD7"/>
    <w:rsid w:val="004E7B2E"/>
    <w:rsid w:val="004E7BDD"/>
    <w:rsid w:val="004F01D5"/>
    <w:rsid w:val="004F0439"/>
    <w:rsid w:val="004F0738"/>
    <w:rsid w:val="004F0A17"/>
    <w:rsid w:val="004F1005"/>
    <w:rsid w:val="004F115C"/>
    <w:rsid w:val="004F13A0"/>
    <w:rsid w:val="004F17D0"/>
    <w:rsid w:val="004F1BB6"/>
    <w:rsid w:val="004F2044"/>
    <w:rsid w:val="004F20DC"/>
    <w:rsid w:val="004F23BA"/>
    <w:rsid w:val="004F33A6"/>
    <w:rsid w:val="004F35B2"/>
    <w:rsid w:val="004F35D6"/>
    <w:rsid w:val="004F36E9"/>
    <w:rsid w:val="004F3982"/>
    <w:rsid w:val="004F3A47"/>
    <w:rsid w:val="004F3AE1"/>
    <w:rsid w:val="004F3C71"/>
    <w:rsid w:val="004F3CDC"/>
    <w:rsid w:val="004F4537"/>
    <w:rsid w:val="004F4797"/>
    <w:rsid w:val="004F5068"/>
    <w:rsid w:val="004F51E9"/>
    <w:rsid w:val="004F54F5"/>
    <w:rsid w:val="004F551A"/>
    <w:rsid w:val="004F5C06"/>
    <w:rsid w:val="004F5FCC"/>
    <w:rsid w:val="004F63CD"/>
    <w:rsid w:val="004F63D5"/>
    <w:rsid w:val="004F64E4"/>
    <w:rsid w:val="004F662E"/>
    <w:rsid w:val="004F6A3A"/>
    <w:rsid w:val="004F6D13"/>
    <w:rsid w:val="004F6D20"/>
    <w:rsid w:val="004F6E61"/>
    <w:rsid w:val="004F71AC"/>
    <w:rsid w:val="004F75B7"/>
    <w:rsid w:val="004F783D"/>
    <w:rsid w:val="004F798E"/>
    <w:rsid w:val="005004E2"/>
    <w:rsid w:val="005009D1"/>
    <w:rsid w:val="005012E6"/>
    <w:rsid w:val="00501B88"/>
    <w:rsid w:val="0050246A"/>
    <w:rsid w:val="005025AD"/>
    <w:rsid w:val="005029B4"/>
    <w:rsid w:val="005033B1"/>
    <w:rsid w:val="0050348C"/>
    <w:rsid w:val="005039C8"/>
    <w:rsid w:val="00503A7E"/>
    <w:rsid w:val="00503ADE"/>
    <w:rsid w:val="00503BA8"/>
    <w:rsid w:val="00504660"/>
    <w:rsid w:val="00504D6A"/>
    <w:rsid w:val="00505BCC"/>
    <w:rsid w:val="00505CD4"/>
    <w:rsid w:val="00506869"/>
    <w:rsid w:val="00506974"/>
    <w:rsid w:val="00506E52"/>
    <w:rsid w:val="005072C5"/>
    <w:rsid w:val="005078D1"/>
    <w:rsid w:val="00510003"/>
    <w:rsid w:val="00510174"/>
    <w:rsid w:val="005104D5"/>
    <w:rsid w:val="0051091F"/>
    <w:rsid w:val="00510AC0"/>
    <w:rsid w:val="00511028"/>
    <w:rsid w:val="0051115B"/>
    <w:rsid w:val="00511482"/>
    <w:rsid w:val="00511611"/>
    <w:rsid w:val="005117FB"/>
    <w:rsid w:val="00511A63"/>
    <w:rsid w:val="00511A77"/>
    <w:rsid w:val="00511AC5"/>
    <w:rsid w:val="00512305"/>
    <w:rsid w:val="00512844"/>
    <w:rsid w:val="00512B6C"/>
    <w:rsid w:val="00512C52"/>
    <w:rsid w:val="00512FFF"/>
    <w:rsid w:val="00513075"/>
    <w:rsid w:val="0051350B"/>
    <w:rsid w:val="00513592"/>
    <w:rsid w:val="00513851"/>
    <w:rsid w:val="00513D9B"/>
    <w:rsid w:val="00514152"/>
    <w:rsid w:val="0051436F"/>
    <w:rsid w:val="00514694"/>
    <w:rsid w:val="0051498D"/>
    <w:rsid w:val="00514D56"/>
    <w:rsid w:val="00514F71"/>
    <w:rsid w:val="005158B6"/>
    <w:rsid w:val="005158C0"/>
    <w:rsid w:val="005159D9"/>
    <w:rsid w:val="00515A24"/>
    <w:rsid w:val="00515DD3"/>
    <w:rsid w:val="00515E0B"/>
    <w:rsid w:val="00515ED5"/>
    <w:rsid w:val="00516523"/>
    <w:rsid w:val="005166CD"/>
    <w:rsid w:val="00516705"/>
    <w:rsid w:val="005169BC"/>
    <w:rsid w:val="00516B0E"/>
    <w:rsid w:val="00517A06"/>
    <w:rsid w:val="00517BD2"/>
    <w:rsid w:val="00517CD1"/>
    <w:rsid w:val="00517FA7"/>
    <w:rsid w:val="0052026F"/>
    <w:rsid w:val="005203C5"/>
    <w:rsid w:val="0052042A"/>
    <w:rsid w:val="00520AA1"/>
    <w:rsid w:val="005213EA"/>
    <w:rsid w:val="00521578"/>
    <w:rsid w:val="00521BA2"/>
    <w:rsid w:val="0052217F"/>
    <w:rsid w:val="00522204"/>
    <w:rsid w:val="0052235A"/>
    <w:rsid w:val="0052237E"/>
    <w:rsid w:val="0052269D"/>
    <w:rsid w:val="00522E94"/>
    <w:rsid w:val="00522EEE"/>
    <w:rsid w:val="005231EC"/>
    <w:rsid w:val="005233DC"/>
    <w:rsid w:val="00523A62"/>
    <w:rsid w:val="00523E4B"/>
    <w:rsid w:val="005241BC"/>
    <w:rsid w:val="00524468"/>
    <w:rsid w:val="00524C6F"/>
    <w:rsid w:val="00524EDE"/>
    <w:rsid w:val="0052534A"/>
    <w:rsid w:val="005255A6"/>
    <w:rsid w:val="005255B4"/>
    <w:rsid w:val="00525F86"/>
    <w:rsid w:val="00526648"/>
    <w:rsid w:val="005266F3"/>
    <w:rsid w:val="0052770D"/>
    <w:rsid w:val="00527EBA"/>
    <w:rsid w:val="00527FDA"/>
    <w:rsid w:val="00530135"/>
    <w:rsid w:val="005302FC"/>
    <w:rsid w:val="00530B8F"/>
    <w:rsid w:val="005315C8"/>
    <w:rsid w:val="005315E4"/>
    <w:rsid w:val="005316DB"/>
    <w:rsid w:val="00531966"/>
    <w:rsid w:val="00532066"/>
    <w:rsid w:val="005321A2"/>
    <w:rsid w:val="0053222A"/>
    <w:rsid w:val="00532396"/>
    <w:rsid w:val="00532402"/>
    <w:rsid w:val="00532417"/>
    <w:rsid w:val="00532418"/>
    <w:rsid w:val="00532544"/>
    <w:rsid w:val="0053254C"/>
    <w:rsid w:val="00532933"/>
    <w:rsid w:val="00532A29"/>
    <w:rsid w:val="00532BC4"/>
    <w:rsid w:val="00533380"/>
    <w:rsid w:val="005337F7"/>
    <w:rsid w:val="00533A0B"/>
    <w:rsid w:val="00533C23"/>
    <w:rsid w:val="00533C90"/>
    <w:rsid w:val="00534950"/>
    <w:rsid w:val="00534A0C"/>
    <w:rsid w:val="00534B75"/>
    <w:rsid w:val="00534E2E"/>
    <w:rsid w:val="005351E4"/>
    <w:rsid w:val="00535465"/>
    <w:rsid w:val="005355A6"/>
    <w:rsid w:val="0053561B"/>
    <w:rsid w:val="00535AC6"/>
    <w:rsid w:val="00535BD2"/>
    <w:rsid w:val="00535FD3"/>
    <w:rsid w:val="005360FC"/>
    <w:rsid w:val="005363F4"/>
    <w:rsid w:val="00536F72"/>
    <w:rsid w:val="005372FE"/>
    <w:rsid w:val="00537690"/>
    <w:rsid w:val="00537A6F"/>
    <w:rsid w:val="00537AA5"/>
    <w:rsid w:val="00537B0E"/>
    <w:rsid w:val="00537EFF"/>
    <w:rsid w:val="00537F12"/>
    <w:rsid w:val="00540565"/>
    <w:rsid w:val="00540AA0"/>
    <w:rsid w:val="0054113C"/>
    <w:rsid w:val="0054195C"/>
    <w:rsid w:val="00541BCD"/>
    <w:rsid w:val="00541CAA"/>
    <w:rsid w:val="00542522"/>
    <w:rsid w:val="00542AA2"/>
    <w:rsid w:val="00542B06"/>
    <w:rsid w:val="00542B7D"/>
    <w:rsid w:val="00542BCC"/>
    <w:rsid w:val="00542E14"/>
    <w:rsid w:val="00542FA8"/>
    <w:rsid w:val="00543058"/>
    <w:rsid w:val="00543BA1"/>
    <w:rsid w:val="00543FFA"/>
    <w:rsid w:val="00544148"/>
    <w:rsid w:val="00544398"/>
    <w:rsid w:val="0054463A"/>
    <w:rsid w:val="00544845"/>
    <w:rsid w:val="005448C9"/>
    <w:rsid w:val="00544B14"/>
    <w:rsid w:val="0054518F"/>
    <w:rsid w:val="00545300"/>
    <w:rsid w:val="0054571A"/>
    <w:rsid w:val="005457D4"/>
    <w:rsid w:val="0054591C"/>
    <w:rsid w:val="00545B9B"/>
    <w:rsid w:val="00545CBC"/>
    <w:rsid w:val="00545DF4"/>
    <w:rsid w:val="00545FB6"/>
    <w:rsid w:val="005463A2"/>
    <w:rsid w:val="0054677C"/>
    <w:rsid w:val="0054695C"/>
    <w:rsid w:val="005469A6"/>
    <w:rsid w:val="00546B77"/>
    <w:rsid w:val="00547AA9"/>
    <w:rsid w:val="00550112"/>
    <w:rsid w:val="0055100A"/>
    <w:rsid w:val="005516B3"/>
    <w:rsid w:val="00551800"/>
    <w:rsid w:val="00551AE2"/>
    <w:rsid w:val="00551B81"/>
    <w:rsid w:val="00551C21"/>
    <w:rsid w:val="0055250F"/>
    <w:rsid w:val="00552BF6"/>
    <w:rsid w:val="005534FA"/>
    <w:rsid w:val="00553CA4"/>
    <w:rsid w:val="00554897"/>
    <w:rsid w:val="005550CA"/>
    <w:rsid w:val="0055522B"/>
    <w:rsid w:val="00555785"/>
    <w:rsid w:val="00555BDF"/>
    <w:rsid w:val="00555D4A"/>
    <w:rsid w:val="00555FBA"/>
    <w:rsid w:val="00556368"/>
    <w:rsid w:val="00556F01"/>
    <w:rsid w:val="0055742C"/>
    <w:rsid w:val="00557471"/>
    <w:rsid w:val="005577FE"/>
    <w:rsid w:val="005578D0"/>
    <w:rsid w:val="00557AA6"/>
    <w:rsid w:val="00560BA8"/>
    <w:rsid w:val="005610E1"/>
    <w:rsid w:val="005618E0"/>
    <w:rsid w:val="005619AA"/>
    <w:rsid w:val="00561B6E"/>
    <w:rsid w:val="00562394"/>
    <w:rsid w:val="00562BE1"/>
    <w:rsid w:val="00562CE4"/>
    <w:rsid w:val="00563106"/>
    <w:rsid w:val="00563255"/>
    <w:rsid w:val="00563563"/>
    <w:rsid w:val="005635AA"/>
    <w:rsid w:val="00563762"/>
    <w:rsid w:val="00563C9E"/>
    <w:rsid w:val="005640B5"/>
    <w:rsid w:val="005644F1"/>
    <w:rsid w:val="0056462D"/>
    <w:rsid w:val="00564A38"/>
    <w:rsid w:val="00564B47"/>
    <w:rsid w:val="00564B73"/>
    <w:rsid w:val="00564E65"/>
    <w:rsid w:val="00564E90"/>
    <w:rsid w:val="00564F88"/>
    <w:rsid w:val="00565212"/>
    <w:rsid w:val="005652AF"/>
    <w:rsid w:val="005652C6"/>
    <w:rsid w:val="00565929"/>
    <w:rsid w:val="00565AF7"/>
    <w:rsid w:val="00565E5B"/>
    <w:rsid w:val="00565E87"/>
    <w:rsid w:val="00566273"/>
    <w:rsid w:val="005662BC"/>
    <w:rsid w:val="005665DB"/>
    <w:rsid w:val="00566A09"/>
    <w:rsid w:val="00566A47"/>
    <w:rsid w:val="00566ACF"/>
    <w:rsid w:val="00566AE8"/>
    <w:rsid w:val="00566DA7"/>
    <w:rsid w:val="0057069F"/>
    <w:rsid w:val="00570776"/>
    <w:rsid w:val="00570FAD"/>
    <w:rsid w:val="00570FE4"/>
    <w:rsid w:val="00571B29"/>
    <w:rsid w:val="00571E28"/>
    <w:rsid w:val="005723C5"/>
    <w:rsid w:val="0057277D"/>
    <w:rsid w:val="00572ACB"/>
    <w:rsid w:val="00572CEF"/>
    <w:rsid w:val="00572E2C"/>
    <w:rsid w:val="00573022"/>
    <w:rsid w:val="00573117"/>
    <w:rsid w:val="0057350C"/>
    <w:rsid w:val="00573BD3"/>
    <w:rsid w:val="00573D00"/>
    <w:rsid w:val="00573E67"/>
    <w:rsid w:val="00573F30"/>
    <w:rsid w:val="00574AA0"/>
    <w:rsid w:val="00574FCC"/>
    <w:rsid w:val="00575587"/>
    <w:rsid w:val="00575AAB"/>
    <w:rsid w:val="005769B5"/>
    <w:rsid w:val="00576CC9"/>
    <w:rsid w:val="00577116"/>
    <w:rsid w:val="00577515"/>
    <w:rsid w:val="005775E2"/>
    <w:rsid w:val="00577816"/>
    <w:rsid w:val="00577A1C"/>
    <w:rsid w:val="00577B64"/>
    <w:rsid w:val="005800B7"/>
    <w:rsid w:val="005802D0"/>
    <w:rsid w:val="005804DF"/>
    <w:rsid w:val="005807D8"/>
    <w:rsid w:val="00580CE8"/>
    <w:rsid w:val="00580D6B"/>
    <w:rsid w:val="00581383"/>
    <w:rsid w:val="00581737"/>
    <w:rsid w:val="00581C48"/>
    <w:rsid w:val="00581FC5"/>
    <w:rsid w:val="005820A6"/>
    <w:rsid w:val="0058212D"/>
    <w:rsid w:val="00582229"/>
    <w:rsid w:val="005822C5"/>
    <w:rsid w:val="00582516"/>
    <w:rsid w:val="00582C63"/>
    <w:rsid w:val="0058361C"/>
    <w:rsid w:val="00583778"/>
    <w:rsid w:val="0058383C"/>
    <w:rsid w:val="005838B8"/>
    <w:rsid w:val="0058391D"/>
    <w:rsid w:val="00583984"/>
    <w:rsid w:val="0058398E"/>
    <w:rsid w:val="00583C90"/>
    <w:rsid w:val="00584505"/>
    <w:rsid w:val="00584604"/>
    <w:rsid w:val="005846A8"/>
    <w:rsid w:val="005847E6"/>
    <w:rsid w:val="00584806"/>
    <w:rsid w:val="00584831"/>
    <w:rsid w:val="00584A09"/>
    <w:rsid w:val="00584A21"/>
    <w:rsid w:val="00584AB8"/>
    <w:rsid w:val="00584D83"/>
    <w:rsid w:val="005852EB"/>
    <w:rsid w:val="00585768"/>
    <w:rsid w:val="00585A42"/>
    <w:rsid w:val="00585F27"/>
    <w:rsid w:val="00586120"/>
    <w:rsid w:val="00586531"/>
    <w:rsid w:val="00586A0A"/>
    <w:rsid w:val="00586E21"/>
    <w:rsid w:val="00586EA5"/>
    <w:rsid w:val="00586F35"/>
    <w:rsid w:val="0058704D"/>
    <w:rsid w:val="00587430"/>
    <w:rsid w:val="0058746A"/>
    <w:rsid w:val="005874A3"/>
    <w:rsid w:val="00587C9D"/>
    <w:rsid w:val="00587D7C"/>
    <w:rsid w:val="00587DC2"/>
    <w:rsid w:val="00587DF3"/>
    <w:rsid w:val="00590176"/>
    <w:rsid w:val="00590567"/>
    <w:rsid w:val="00590750"/>
    <w:rsid w:val="00590BDF"/>
    <w:rsid w:val="00590F26"/>
    <w:rsid w:val="005913B3"/>
    <w:rsid w:val="00591656"/>
    <w:rsid w:val="00592157"/>
    <w:rsid w:val="005929EA"/>
    <w:rsid w:val="005929EC"/>
    <w:rsid w:val="00592CF7"/>
    <w:rsid w:val="00592EB2"/>
    <w:rsid w:val="00592F94"/>
    <w:rsid w:val="005934AC"/>
    <w:rsid w:val="0059365F"/>
    <w:rsid w:val="00593788"/>
    <w:rsid w:val="0059391A"/>
    <w:rsid w:val="00593A5A"/>
    <w:rsid w:val="00593C45"/>
    <w:rsid w:val="0059453A"/>
    <w:rsid w:val="00594AE8"/>
    <w:rsid w:val="00594B4B"/>
    <w:rsid w:val="00594BDC"/>
    <w:rsid w:val="005953E3"/>
    <w:rsid w:val="0059564B"/>
    <w:rsid w:val="005956AF"/>
    <w:rsid w:val="00595C9E"/>
    <w:rsid w:val="005960EF"/>
    <w:rsid w:val="005961D5"/>
    <w:rsid w:val="005962B7"/>
    <w:rsid w:val="00596420"/>
    <w:rsid w:val="005969C4"/>
    <w:rsid w:val="005969EC"/>
    <w:rsid w:val="005972A7"/>
    <w:rsid w:val="00597639"/>
    <w:rsid w:val="0059772F"/>
    <w:rsid w:val="00597D15"/>
    <w:rsid w:val="00597D4C"/>
    <w:rsid w:val="00597DBA"/>
    <w:rsid w:val="005A02B1"/>
    <w:rsid w:val="005A057F"/>
    <w:rsid w:val="005A059E"/>
    <w:rsid w:val="005A05B4"/>
    <w:rsid w:val="005A06B0"/>
    <w:rsid w:val="005A0A58"/>
    <w:rsid w:val="005A0C38"/>
    <w:rsid w:val="005A0F4F"/>
    <w:rsid w:val="005A0FCF"/>
    <w:rsid w:val="005A183D"/>
    <w:rsid w:val="005A1A1F"/>
    <w:rsid w:val="005A1AF5"/>
    <w:rsid w:val="005A1D6F"/>
    <w:rsid w:val="005A22D9"/>
    <w:rsid w:val="005A242A"/>
    <w:rsid w:val="005A26CC"/>
    <w:rsid w:val="005A2B28"/>
    <w:rsid w:val="005A31F6"/>
    <w:rsid w:val="005A39B7"/>
    <w:rsid w:val="005A3AAC"/>
    <w:rsid w:val="005A4ACE"/>
    <w:rsid w:val="005A4E51"/>
    <w:rsid w:val="005A4FD2"/>
    <w:rsid w:val="005A5104"/>
    <w:rsid w:val="005A52C4"/>
    <w:rsid w:val="005A572C"/>
    <w:rsid w:val="005A5975"/>
    <w:rsid w:val="005A59E3"/>
    <w:rsid w:val="005A663A"/>
    <w:rsid w:val="005A69B8"/>
    <w:rsid w:val="005A6B60"/>
    <w:rsid w:val="005A6DB1"/>
    <w:rsid w:val="005A729F"/>
    <w:rsid w:val="005A7396"/>
    <w:rsid w:val="005A73F3"/>
    <w:rsid w:val="005A7824"/>
    <w:rsid w:val="005A7E09"/>
    <w:rsid w:val="005A7F44"/>
    <w:rsid w:val="005B08FF"/>
    <w:rsid w:val="005B0F65"/>
    <w:rsid w:val="005B1334"/>
    <w:rsid w:val="005B19CD"/>
    <w:rsid w:val="005B2C14"/>
    <w:rsid w:val="005B2C54"/>
    <w:rsid w:val="005B3B48"/>
    <w:rsid w:val="005B4580"/>
    <w:rsid w:val="005B489D"/>
    <w:rsid w:val="005B4A6E"/>
    <w:rsid w:val="005B4C2D"/>
    <w:rsid w:val="005B5739"/>
    <w:rsid w:val="005B5791"/>
    <w:rsid w:val="005B6005"/>
    <w:rsid w:val="005B6213"/>
    <w:rsid w:val="005B62F3"/>
    <w:rsid w:val="005B7047"/>
    <w:rsid w:val="005B711D"/>
    <w:rsid w:val="005B7276"/>
    <w:rsid w:val="005B785B"/>
    <w:rsid w:val="005B7BD0"/>
    <w:rsid w:val="005B7BEE"/>
    <w:rsid w:val="005B7D6D"/>
    <w:rsid w:val="005C0072"/>
    <w:rsid w:val="005C009B"/>
    <w:rsid w:val="005C01D9"/>
    <w:rsid w:val="005C07A0"/>
    <w:rsid w:val="005C0ACF"/>
    <w:rsid w:val="005C0C7B"/>
    <w:rsid w:val="005C0D5D"/>
    <w:rsid w:val="005C118D"/>
    <w:rsid w:val="005C126B"/>
    <w:rsid w:val="005C18B8"/>
    <w:rsid w:val="005C1B14"/>
    <w:rsid w:val="005C1F09"/>
    <w:rsid w:val="005C1F76"/>
    <w:rsid w:val="005C2095"/>
    <w:rsid w:val="005C216F"/>
    <w:rsid w:val="005C244F"/>
    <w:rsid w:val="005C2625"/>
    <w:rsid w:val="005C26BE"/>
    <w:rsid w:val="005C29F5"/>
    <w:rsid w:val="005C2DC2"/>
    <w:rsid w:val="005C2E8B"/>
    <w:rsid w:val="005C3959"/>
    <w:rsid w:val="005C3ADC"/>
    <w:rsid w:val="005C4A8B"/>
    <w:rsid w:val="005C4D91"/>
    <w:rsid w:val="005C6369"/>
    <w:rsid w:val="005C7170"/>
    <w:rsid w:val="005C743D"/>
    <w:rsid w:val="005D05B7"/>
    <w:rsid w:val="005D17FB"/>
    <w:rsid w:val="005D1956"/>
    <w:rsid w:val="005D1973"/>
    <w:rsid w:val="005D1D45"/>
    <w:rsid w:val="005D1E51"/>
    <w:rsid w:val="005D24BC"/>
    <w:rsid w:val="005D26BD"/>
    <w:rsid w:val="005D28C6"/>
    <w:rsid w:val="005D2D22"/>
    <w:rsid w:val="005D34C9"/>
    <w:rsid w:val="005D34D5"/>
    <w:rsid w:val="005D37C7"/>
    <w:rsid w:val="005D41AA"/>
    <w:rsid w:val="005D4771"/>
    <w:rsid w:val="005D47AD"/>
    <w:rsid w:val="005D47E4"/>
    <w:rsid w:val="005D485D"/>
    <w:rsid w:val="005D4955"/>
    <w:rsid w:val="005D4DAC"/>
    <w:rsid w:val="005D51CD"/>
    <w:rsid w:val="005D5337"/>
    <w:rsid w:val="005D53B1"/>
    <w:rsid w:val="005D53BB"/>
    <w:rsid w:val="005D562A"/>
    <w:rsid w:val="005D5685"/>
    <w:rsid w:val="005D5831"/>
    <w:rsid w:val="005D589A"/>
    <w:rsid w:val="005D5ADE"/>
    <w:rsid w:val="005D5DC7"/>
    <w:rsid w:val="005D60F5"/>
    <w:rsid w:val="005D6411"/>
    <w:rsid w:val="005D6595"/>
    <w:rsid w:val="005D68E0"/>
    <w:rsid w:val="005D6C85"/>
    <w:rsid w:val="005D6D4E"/>
    <w:rsid w:val="005D707A"/>
    <w:rsid w:val="005D7268"/>
    <w:rsid w:val="005D7480"/>
    <w:rsid w:val="005D7556"/>
    <w:rsid w:val="005D78D0"/>
    <w:rsid w:val="005D7CCD"/>
    <w:rsid w:val="005D7D5E"/>
    <w:rsid w:val="005E0545"/>
    <w:rsid w:val="005E0829"/>
    <w:rsid w:val="005E08C6"/>
    <w:rsid w:val="005E08F5"/>
    <w:rsid w:val="005E0CA4"/>
    <w:rsid w:val="005E10A1"/>
    <w:rsid w:val="005E1164"/>
    <w:rsid w:val="005E11A1"/>
    <w:rsid w:val="005E12A3"/>
    <w:rsid w:val="005E1625"/>
    <w:rsid w:val="005E18E3"/>
    <w:rsid w:val="005E20EE"/>
    <w:rsid w:val="005E29DC"/>
    <w:rsid w:val="005E2C13"/>
    <w:rsid w:val="005E2DA3"/>
    <w:rsid w:val="005E3316"/>
    <w:rsid w:val="005E33FF"/>
    <w:rsid w:val="005E3455"/>
    <w:rsid w:val="005E365F"/>
    <w:rsid w:val="005E3A8B"/>
    <w:rsid w:val="005E3D47"/>
    <w:rsid w:val="005E3D69"/>
    <w:rsid w:val="005E413B"/>
    <w:rsid w:val="005E4150"/>
    <w:rsid w:val="005E4453"/>
    <w:rsid w:val="005E473D"/>
    <w:rsid w:val="005E4916"/>
    <w:rsid w:val="005E50A7"/>
    <w:rsid w:val="005E50F0"/>
    <w:rsid w:val="005E653B"/>
    <w:rsid w:val="005E6D07"/>
    <w:rsid w:val="005E6F38"/>
    <w:rsid w:val="005E6F3B"/>
    <w:rsid w:val="005E7606"/>
    <w:rsid w:val="005E7E61"/>
    <w:rsid w:val="005E7F69"/>
    <w:rsid w:val="005F00AF"/>
    <w:rsid w:val="005F00B0"/>
    <w:rsid w:val="005F0960"/>
    <w:rsid w:val="005F0CB7"/>
    <w:rsid w:val="005F0EF2"/>
    <w:rsid w:val="005F1083"/>
    <w:rsid w:val="005F1784"/>
    <w:rsid w:val="005F17B1"/>
    <w:rsid w:val="005F2955"/>
    <w:rsid w:val="005F3115"/>
    <w:rsid w:val="005F31C7"/>
    <w:rsid w:val="005F3411"/>
    <w:rsid w:val="005F3517"/>
    <w:rsid w:val="005F3752"/>
    <w:rsid w:val="005F380F"/>
    <w:rsid w:val="005F40C3"/>
    <w:rsid w:val="005F4128"/>
    <w:rsid w:val="005F42F9"/>
    <w:rsid w:val="005F4347"/>
    <w:rsid w:val="005F435C"/>
    <w:rsid w:val="005F4743"/>
    <w:rsid w:val="005F49A9"/>
    <w:rsid w:val="005F4ABE"/>
    <w:rsid w:val="005F4C78"/>
    <w:rsid w:val="005F4F1D"/>
    <w:rsid w:val="005F5735"/>
    <w:rsid w:val="005F5A1F"/>
    <w:rsid w:val="005F6234"/>
    <w:rsid w:val="005F65BC"/>
    <w:rsid w:val="005F6645"/>
    <w:rsid w:val="005F67A3"/>
    <w:rsid w:val="005F6C8C"/>
    <w:rsid w:val="005F6CE5"/>
    <w:rsid w:val="005F6D92"/>
    <w:rsid w:val="005F7012"/>
    <w:rsid w:val="005F7017"/>
    <w:rsid w:val="005F791A"/>
    <w:rsid w:val="005F7A87"/>
    <w:rsid w:val="005F7AD7"/>
    <w:rsid w:val="005F7DD2"/>
    <w:rsid w:val="006004F3"/>
    <w:rsid w:val="00600653"/>
    <w:rsid w:val="00600996"/>
    <w:rsid w:val="0060184C"/>
    <w:rsid w:val="00601E0D"/>
    <w:rsid w:val="006020F1"/>
    <w:rsid w:val="006022C7"/>
    <w:rsid w:val="00602778"/>
    <w:rsid w:val="00602D87"/>
    <w:rsid w:val="00602F91"/>
    <w:rsid w:val="00603232"/>
    <w:rsid w:val="006036B2"/>
    <w:rsid w:val="00603754"/>
    <w:rsid w:val="00603E5C"/>
    <w:rsid w:val="00603F06"/>
    <w:rsid w:val="00603F74"/>
    <w:rsid w:val="0060439D"/>
    <w:rsid w:val="006043A8"/>
    <w:rsid w:val="00604BBE"/>
    <w:rsid w:val="0060605D"/>
    <w:rsid w:val="00606236"/>
    <w:rsid w:val="00606886"/>
    <w:rsid w:val="00606B99"/>
    <w:rsid w:val="00606CB7"/>
    <w:rsid w:val="00607705"/>
    <w:rsid w:val="00607B52"/>
    <w:rsid w:val="00607F14"/>
    <w:rsid w:val="006109BB"/>
    <w:rsid w:val="0061106D"/>
    <w:rsid w:val="0061109B"/>
    <w:rsid w:val="0061134E"/>
    <w:rsid w:val="006113BD"/>
    <w:rsid w:val="006113CC"/>
    <w:rsid w:val="006117B4"/>
    <w:rsid w:val="00611953"/>
    <w:rsid w:val="00611C90"/>
    <w:rsid w:val="00611F6C"/>
    <w:rsid w:val="00612578"/>
    <w:rsid w:val="0061258B"/>
    <w:rsid w:val="006127BF"/>
    <w:rsid w:val="006128F8"/>
    <w:rsid w:val="00612A80"/>
    <w:rsid w:val="00612F0B"/>
    <w:rsid w:val="006130A6"/>
    <w:rsid w:val="0061356B"/>
    <w:rsid w:val="006137F8"/>
    <w:rsid w:val="006137FE"/>
    <w:rsid w:val="0061394D"/>
    <w:rsid w:val="00613C48"/>
    <w:rsid w:val="00613E3B"/>
    <w:rsid w:val="00613F1E"/>
    <w:rsid w:val="00614695"/>
    <w:rsid w:val="00614A56"/>
    <w:rsid w:val="00614CC2"/>
    <w:rsid w:val="00615085"/>
    <w:rsid w:val="0061540E"/>
    <w:rsid w:val="00615C24"/>
    <w:rsid w:val="00615D1F"/>
    <w:rsid w:val="00616442"/>
    <w:rsid w:val="006164D9"/>
    <w:rsid w:val="006164F3"/>
    <w:rsid w:val="00616661"/>
    <w:rsid w:val="00616747"/>
    <w:rsid w:val="00616BDB"/>
    <w:rsid w:val="00616C25"/>
    <w:rsid w:val="00616CE0"/>
    <w:rsid w:val="00616D73"/>
    <w:rsid w:val="00617728"/>
    <w:rsid w:val="006177F6"/>
    <w:rsid w:val="00617B24"/>
    <w:rsid w:val="00617D7E"/>
    <w:rsid w:val="00617F8D"/>
    <w:rsid w:val="00620EB2"/>
    <w:rsid w:val="0062124C"/>
    <w:rsid w:val="0062157E"/>
    <w:rsid w:val="006218CE"/>
    <w:rsid w:val="006219C5"/>
    <w:rsid w:val="00621AEC"/>
    <w:rsid w:val="00622144"/>
    <w:rsid w:val="006231ED"/>
    <w:rsid w:val="0062388A"/>
    <w:rsid w:val="006238CC"/>
    <w:rsid w:val="006243E7"/>
    <w:rsid w:val="006245CA"/>
    <w:rsid w:val="00624EEE"/>
    <w:rsid w:val="00624F7C"/>
    <w:rsid w:val="00625077"/>
    <w:rsid w:val="00625DC4"/>
    <w:rsid w:val="00626084"/>
    <w:rsid w:val="00626112"/>
    <w:rsid w:val="006262C6"/>
    <w:rsid w:val="0062643E"/>
    <w:rsid w:val="00626D56"/>
    <w:rsid w:val="00627100"/>
    <w:rsid w:val="00627384"/>
    <w:rsid w:val="006276AF"/>
    <w:rsid w:val="00627745"/>
    <w:rsid w:val="0062791F"/>
    <w:rsid w:val="00627B83"/>
    <w:rsid w:val="00627E57"/>
    <w:rsid w:val="00631C65"/>
    <w:rsid w:val="00631E20"/>
    <w:rsid w:val="00632A22"/>
    <w:rsid w:val="00632C95"/>
    <w:rsid w:val="006332A7"/>
    <w:rsid w:val="006336AF"/>
    <w:rsid w:val="00633874"/>
    <w:rsid w:val="00633889"/>
    <w:rsid w:val="006339D0"/>
    <w:rsid w:val="00633EAA"/>
    <w:rsid w:val="006340C6"/>
    <w:rsid w:val="006341ED"/>
    <w:rsid w:val="00634454"/>
    <w:rsid w:val="0063447D"/>
    <w:rsid w:val="00634937"/>
    <w:rsid w:val="00634D37"/>
    <w:rsid w:val="00635016"/>
    <w:rsid w:val="0063506E"/>
    <w:rsid w:val="006354C2"/>
    <w:rsid w:val="0063573E"/>
    <w:rsid w:val="00636005"/>
    <w:rsid w:val="006360B8"/>
    <w:rsid w:val="006360F9"/>
    <w:rsid w:val="00636168"/>
    <w:rsid w:val="00636241"/>
    <w:rsid w:val="006362D3"/>
    <w:rsid w:val="006366DC"/>
    <w:rsid w:val="00636812"/>
    <w:rsid w:val="00636927"/>
    <w:rsid w:val="00636BBD"/>
    <w:rsid w:val="0063767F"/>
    <w:rsid w:val="00637827"/>
    <w:rsid w:val="00637837"/>
    <w:rsid w:val="00637D54"/>
    <w:rsid w:val="00640005"/>
    <w:rsid w:val="00640498"/>
    <w:rsid w:val="006405D7"/>
    <w:rsid w:val="00640834"/>
    <w:rsid w:val="006416F0"/>
    <w:rsid w:val="00641707"/>
    <w:rsid w:val="00641B8D"/>
    <w:rsid w:val="00641BA2"/>
    <w:rsid w:val="00642092"/>
    <w:rsid w:val="006421AD"/>
    <w:rsid w:val="0064223C"/>
    <w:rsid w:val="0064283F"/>
    <w:rsid w:val="00642A9B"/>
    <w:rsid w:val="00642D02"/>
    <w:rsid w:val="00642EB6"/>
    <w:rsid w:val="0064301A"/>
    <w:rsid w:val="006435FD"/>
    <w:rsid w:val="00643AA2"/>
    <w:rsid w:val="00643BDB"/>
    <w:rsid w:val="00643DE7"/>
    <w:rsid w:val="00644900"/>
    <w:rsid w:val="006449E0"/>
    <w:rsid w:val="00644DFE"/>
    <w:rsid w:val="00644ED1"/>
    <w:rsid w:val="00645360"/>
    <w:rsid w:val="006455AE"/>
    <w:rsid w:val="006457D8"/>
    <w:rsid w:val="00645B7E"/>
    <w:rsid w:val="00645D75"/>
    <w:rsid w:val="00645DBA"/>
    <w:rsid w:val="006461EB"/>
    <w:rsid w:val="006467A3"/>
    <w:rsid w:val="00646CCB"/>
    <w:rsid w:val="006471E1"/>
    <w:rsid w:val="0064734F"/>
    <w:rsid w:val="006475B9"/>
    <w:rsid w:val="00647C50"/>
    <w:rsid w:val="00647D2A"/>
    <w:rsid w:val="00647D74"/>
    <w:rsid w:val="006500A7"/>
    <w:rsid w:val="00650265"/>
    <w:rsid w:val="006503F5"/>
    <w:rsid w:val="006504E2"/>
    <w:rsid w:val="00650FEF"/>
    <w:rsid w:val="006511C7"/>
    <w:rsid w:val="006512F6"/>
    <w:rsid w:val="0065169A"/>
    <w:rsid w:val="006517D6"/>
    <w:rsid w:val="0065193C"/>
    <w:rsid w:val="00652167"/>
    <w:rsid w:val="00652396"/>
    <w:rsid w:val="00652DEF"/>
    <w:rsid w:val="00653332"/>
    <w:rsid w:val="00653422"/>
    <w:rsid w:val="00653476"/>
    <w:rsid w:val="006534CF"/>
    <w:rsid w:val="0065370B"/>
    <w:rsid w:val="00653EA6"/>
    <w:rsid w:val="0065404E"/>
    <w:rsid w:val="006540D0"/>
    <w:rsid w:val="006540FC"/>
    <w:rsid w:val="006544F2"/>
    <w:rsid w:val="00654B0A"/>
    <w:rsid w:val="00654D04"/>
    <w:rsid w:val="00655518"/>
    <w:rsid w:val="00655BCB"/>
    <w:rsid w:val="00655F5B"/>
    <w:rsid w:val="0065646A"/>
    <w:rsid w:val="006565CD"/>
    <w:rsid w:val="00656770"/>
    <w:rsid w:val="00656B4A"/>
    <w:rsid w:val="00656B78"/>
    <w:rsid w:val="00657024"/>
    <w:rsid w:val="006575CD"/>
    <w:rsid w:val="006578EA"/>
    <w:rsid w:val="00657AA5"/>
    <w:rsid w:val="00657B78"/>
    <w:rsid w:val="00657C90"/>
    <w:rsid w:val="0066003A"/>
    <w:rsid w:val="00660633"/>
    <w:rsid w:val="0066082F"/>
    <w:rsid w:val="006609D4"/>
    <w:rsid w:val="00660B05"/>
    <w:rsid w:val="00660E90"/>
    <w:rsid w:val="006611BE"/>
    <w:rsid w:val="00661248"/>
    <w:rsid w:val="00661277"/>
    <w:rsid w:val="00661D96"/>
    <w:rsid w:val="00661E48"/>
    <w:rsid w:val="00662122"/>
    <w:rsid w:val="006621A9"/>
    <w:rsid w:val="006628A0"/>
    <w:rsid w:val="00662E06"/>
    <w:rsid w:val="0066382F"/>
    <w:rsid w:val="006638A6"/>
    <w:rsid w:val="00663988"/>
    <w:rsid w:val="0066433A"/>
    <w:rsid w:val="00664451"/>
    <w:rsid w:val="006645CA"/>
    <w:rsid w:val="00664AEE"/>
    <w:rsid w:val="00664B59"/>
    <w:rsid w:val="00664BEE"/>
    <w:rsid w:val="00664CBC"/>
    <w:rsid w:val="00664D95"/>
    <w:rsid w:val="0066517F"/>
    <w:rsid w:val="00665353"/>
    <w:rsid w:val="00665565"/>
    <w:rsid w:val="00666221"/>
    <w:rsid w:val="006665C4"/>
    <w:rsid w:val="006666CE"/>
    <w:rsid w:val="006669DB"/>
    <w:rsid w:val="00666DA4"/>
    <w:rsid w:val="006671C9"/>
    <w:rsid w:val="0066761D"/>
    <w:rsid w:val="0066762D"/>
    <w:rsid w:val="00667634"/>
    <w:rsid w:val="00667C8A"/>
    <w:rsid w:val="00667ED5"/>
    <w:rsid w:val="00670501"/>
    <w:rsid w:val="00670855"/>
    <w:rsid w:val="00670B9E"/>
    <w:rsid w:val="00670BBD"/>
    <w:rsid w:val="00670BEE"/>
    <w:rsid w:val="00670D0F"/>
    <w:rsid w:val="00670DCE"/>
    <w:rsid w:val="00670F29"/>
    <w:rsid w:val="00670F9D"/>
    <w:rsid w:val="00671408"/>
    <w:rsid w:val="006716EC"/>
    <w:rsid w:val="00672825"/>
    <w:rsid w:val="0067295B"/>
    <w:rsid w:val="00672A42"/>
    <w:rsid w:val="00672AC9"/>
    <w:rsid w:val="00672B92"/>
    <w:rsid w:val="00672DD7"/>
    <w:rsid w:val="00673092"/>
    <w:rsid w:val="0067398F"/>
    <w:rsid w:val="00673C4F"/>
    <w:rsid w:val="0067423D"/>
    <w:rsid w:val="00674B54"/>
    <w:rsid w:val="00674FD0"/>
    <w:rsid w:val="006751ED"/>
    <w:rsid w:val="006751F0"/>
    <w:rsid w:val="00675A29"/>
    <w:rsid w:val="00675E7A"/>
    <w:rsid w:val="00675EF9"/>
    <w:rsid w:val="00676167"/>
    <w:rsid w:val="006762C1"/>
    <w:rsid w:val="006768A0"/>
    <w:rsid w:val="00676D1E"/>
    <w:rsid w:val="00676F7A"/>
    <w:rsid w:val="00676FDE"/>
    <w:rsid w:val="0067702C"/>
    <w:rsid w:val="00677172"/>
    <w:rsid w:val="00677637"/>
    <w:rsid w:val="00677F91"/>
    <w:rsid w:val="0068009E"/>
    <w:rsid w:val="0068014B"/>
    <w:rsid w:val="006807EC"/>
    <w:rsid w:val="00680991"/>
    <w:rsid w:val="00680E0A"/>
    <w:rsid w:val="00681108"/>
    <w:rsid w:val="00681688"/>
    <w:rsid w:val="00681D9D"/>
    <w:rsid w:val="0068227D"/>
    <w:rsid w:val="006822C1"/>
    <w:rsid w:val="00682346"/>
    <w:rsid w:val="006825BB"/>
    <w:rsid w:val="00682A3E"/>
    <w:rsid w:val="00682F54"/>
    <w:rsid w:val="00683084"/>
    <w:rsid w:val="0068336A"/>
    <w:rsid w:val="00683988"/>
    <w:rsid w:val="006839C4"/>
    <w:rsid w:val="0068426D"/>
    <w:rsid w:val="0068481E"/>
    <w:rsid w:val="00684AA5"/>
    <w:rsid w:val="00684DA6"/>
    <w:rsid w:val="00684FBB"/>
    <w:rsid w:val="00685310"/>
    <w:rsid w:val="0068569E"/>
    <w:rsid w:val="00685B0A"/>
    <w:rsid w:val="00686A94"/>
    <w:rsid w:val="00686F3B"/>
    <w:rsid w:val="00687341"/>
    <w:rsid w:val="00687611"/>
    <w:rsid w:val="00687FB5"/>
    <w:rsid w:val="006902BA"/>
    <w:rsid w:val="006902EB"/>
    <w:rsid w:val="0069037C"/>
    <w:rsid w:val="00690EB0"/>
    <w:rsid w:val="006910C3"/>
    <w:rsid w:val="00691133"/>
    <w:rsid w:val="00691AD0"/>
    <w:rsid w:val="00691BCD"/>
    <w:rsid w:val="00691D8B"/>
    <w:rsid w:val="0069207C"/>
    <w:rsid w:val="00692305"/>
    <w:rsid w:val="006928BA"/>
    <w:rsid w:val="006929A8"/>
    <w:rsid w:val="00692C58"/>
    <w:rsid w:val="0069313E"/>
    <w:rsid w:val="00693C16"/>
    <w:rsid w:val="006941C5"/>
    <w:rsid w:val="006943A3"/>
    <w:rsid w:val="0069492A"/>
    <w:rsid w:val="0069495B"/>
    <w:rsid w:val="00694A7C"/>
    <w:rsid w:val="00694A90"/>
    <w:rsid w:val="00694C07"/>
    <w:rsid w:val="00694CA9"/>
    <w:rsid w:val="006951A5"/>
    <w:rsid w:val="006954B0"/>
    <w:rsid w:val="0069567D"/>
    <w:rsid w:val="00695E0E"/>
    <w:rsid w:val="00696680"/>
    <w:rsid w:val="006967E0"/>
    <w:rsid w:val="00696C25"/>
    <w:rsid w:val="00696FCD"/>
    <w:rsid w:val="0069764B"/>
    <w:rsid w:val="00697D72"/>
    <w:rsid w:val="00697DDD"/>
    <w:rsid w:val="00697EDB"/>
    <w:rsid w:val="00697F54"/>
    <w:rsid w:val="006A06A3"/>
    <w:rsid w:val="006A0A11"/>
    <w:rsid w:val="006A0C5B"/>
    <w:rsid w:val="006A0EEF"/>
    <w:rsid w:val="006A11A6"/>
    <w:rsid w:val="006A11E4"/>
    <w:rsid w:val="006A121F"/>
    <w:rsid w:val="006A1BC4"/>
    <w:rsid w:val="006A21E5"/>
    <w:rsid w:val="006A21F4"/>
    <w:rsid w:val="006A22C1"/>
    <w:rsid w:val="006A28B6"/>
    <w:rsid w:val="006A2D65"/>
    <w:rsid w:val="006A300A"/>
    <w:rsid w:val="006A33A8"/>
    <w:rsid w:val="006A359D"/>
    <w:rsid w:val="006A36AE"/>
    <w:rsid w:val="006A38CF"/>
    <w:rsid w:val="006A3B7B"/>
    <w:rsid w:val="006A3DD4"/>
    <w:rsid w:val="006A4480"/>
    <w:rsid w:val="006A4A8C"/>
    <w:rsid w:val="006A4F9B"/>
    <w:rsid w:val="006A5031"/>
    <w:rsid w:val="006A5658"/>
    <w:rsid w:val="006A579F"/>
    <w:rsid w:val="006A57FB"/>
    <w:rsid w:val="006A61AA"/>
    <w:rsid w:val="006A6377"/>
    <w:rsid w:val="006A6C5B"/>
    <w:rsid w:val="006A7950"/>
    <w:rsid w:val="006A7D15"/>
    <w:rsid w:val="006B02AF"/>
    <w:rsid w:val="006B03DF"/>
    <w:rsid w:val="006B0587"/>
    <w:rsid w:val="006B061A"/>
    <w:rsid w:val="006B0F57"/>
    <w:rsid w:val="006B1017"/>
    <w:rsid w:val="006B12A7"/>
    <w:rsid w:val="006B12CF"/>
    <w:rsid w:val="006B1390"/>
    <w:rsid w:val="006B1499"/>
    <w:rsid w:val="006B157C"/>
    <w:rsid w:val="006B162E"/>
    <w:rsid w:val="006B17AD"/>
    <w:rsid w:val="006B1847"/>
    <w:rsid w:val="006B19C4"/>
    <w:rsid w:val="006B1C99"/>
    <w:rsid w:val="006B1CAE"/>
    <w:rsid w:val="006B204A"/>
    <w:rsid w:val="006B292F"/>
    <w:rsid w:val="006B2954"/>
    <w:rsid w:val="006B2A89"/>
    <w:rsid w:val="006B354E"/>
    <w:rsid w:val="006B3C78"/>
    <w:rsid w:val="006B40F4"/>
    <w:rsid w:val="006B4337"/>
    <w:rsid w:val="006B4774"/>
    <w:rsid w:val="006B47BE"/>
    <w:rsid w:val="006B4829"/>
    <w:rsid w:val="006B53A4"/>
    <w:rsid w:val="006B5481"/>
    <w:rsid w:val="006B59E3"/>
    <w:rsid w:val="006B5D8F"/>
    <w:rsid w:val="006B61D0"/>
    <w:rsid w:val="006B62D9"/>
    <w:rsid w:val="006B6E64"/>
    <w:rsid w:val="006B7096"/>
    <w:rsid w:val="006B727A"/>
    <w:rsid w:val="006B767C"/>
    <w:rsid w:val="006B79CB"/>
    <w:rsid w:val="006B7F05"/>
    <w:rsid w:val="006C0428"/>
    <w:rsid w:val="006C04E7"/>
    <w:rsid w:val="006C069F"/>
    <w:rsid w:val="006C0907"/>
    <w:rsid w:val="006C10E5"/>
    <w:rsid w:val="006C1E6F"/>
    <w:rsid w:val="006C1FD2"/>
    <w:rsid w:val="006C20D0"/>
    <w:rsid w:val="006C28F0"/>
    <w:rsid w:val="006C2E24"/>
    <w:rsid w:val="006C32D8"/>
    <w:rsid w:val="006C35BE"/>
    <w:rsid w:val="006C39D5"/>
    <w:rsid w:val="006C3B47"/>
    <w:rsid w:val="006C3BDD"/>
    <w:rsid w:val="006C3E21"/>
    <w:rsid w:val="006C4194"/>
    <w:rsid w:val="006C44F0"/>
    <w:rsid w:val="006C4525"/>
    <w:rsid w:val="006C4717"/>
    <w:rsid w:val="006C5726"/>
    <w:rsid w:val="006C58DA"/>
    <w:rsid w:val="006C5DC5"/>
    <w:rsid w:val="006C607C"/>
    <w:rsid w:val="006C6147"/>
    <w:rsid w:val="006C6364"/>
    <w:rsid w:val="006C642F"/>
    <w:rsid w:val="006C647D"/>
    <w:rsid w:val="006C668E"/>
    <w:rsid w:val="006C67C5"/>
    <w:rsid w:val="006C67CF"/>
    <w:rsid w:val="006C69B2"/>
    <w:rsid w:val="006C6A64"/>
    <w:rsid w:val="006C6CDF"/>
    <w:rsid w:val="006C730B"/>
    <w:rsid w:val="006C7548"/>
    <w:rsid w:val="006C7B7A"/>
    <w:rsid w:val="006C7FC1"/>
    <w:rsid w:val="006D06D3"/>
    <w:rsid w:val="006D1003"/>
    <w:rsid w:val="006D11D6"/>
    <w:rsid w:val="006D163F"/>
    <w:rsid w:val="006D17AB"/>
    <w:rsid w:val="006D17B1"/>
    <w:rsid w:val="006D209B"/>
    <w:rsid w:val="006D2420"/>
    <w:rsid w:val="006D2602"/>
    <w:rsid w:val="006D2944"/>
    <w:rsid w:val="006D2BB9"/>
    <w:rsid w:val="006D2CAA"/>
    <w:rsid w:val="006D3175"/>
    <w:rsid w:val="006D3280"/>
    <w:rsid w:val="006D3472"/>
    <w:rsid w:val="006D3550"/>
    <w:rsid w:val="006D35A6"/>
    <w:rsid w:val="006D36F5"/>
    <w:rsid w:val="006D374C"/>
    <w:rsid w:val="006D3AC0"/>
    <w:rsid w:val="006D3D8F"/>
    <w:rsid w:val="006D3E5D"/>
    <w:rsid w:val="006D466B"/>
    <w:rsid w:val="006D4759"/>
    <w:rsid w:val="006D48BE"/>
    <w:rsid w:val="006D4B29"/>
    <w:rsid w:val="006D4F5A"/>
    <w:rsid w:val="006D52DC"/>
    <w:rsid w:val="006D5332"/>
    <w:rsid w:val="006D5460"/>
    <w:rsid w:val="006D54F5"/>
    <w:rsid w:val="006D5BAB"/>
    <w:rsid w:val="006D66A8"/>
    <w:rsid w:val="006D6DD3"/>
    <w:rsid w:val="006D7828"/>
    <w:rsid w:val="006D7FA2"/>
    <w:rsid w:val="006E0038"/>
    <w:rsid w:val="006E0125"/>
    <w:rsid w:val="006E0197"/>
    <w:rsid w:val="006E04C4"/>
    <w:rsid w:val="006E0CFD"/>
    <w:rsid w:val="006E1253"/>
    <w:rsid w:val="006E1338"/>
    <w:rsid w:val="006E1592"/>
    <w:rsid w:val="006E15C8"/>
    <w:rsid w:val="006E1614"/>
    <w:rsid w:val="006E1622"/>
    <w:rsid w:val="006E1BEA"/>
    <w:rsid w:val="006E1E35"/>
    <w:rsid w:val="006E2007"/>
    <w:rsid w:val="006E245B"/>
    <w:rsid w:val="006E249C"/>
    <w:rsid w:val="006E2680"/>
    <w:rsid w:val="006E2822"/>
    <w:rsid w:val="006E2A83"/>
    <w:rsid w:val="006E2E7D"/>
    <w:rsid w:val="006E3CAC"/>
    <w:rsid w:val="006E44EC"/>
    <w:rsid w:val="006E4C29"/>
    <w:rsid w:val="006E4DBD"/>
    <w:rsid w:val="006E4EA2"/>
    <w:rsid w:val="006E5545"/>
    <w:rsid w:val="006E5D4C"/>
    <w:rsid w:val="006E6041"/>
    <w:rsid w:val="006E6049"/>
    <w:rsid w:val="006E6419"/>
    <w:rsid w:val="006E695F"/>
    <w:rsid w:val="006E6ED9"/>
    <w:rsid w:val="006E719C"/>
    <w:rsid w:val="006E7271"/>
    <w:rsid w:val="006E76A3"/>
    <w:rsid w:val="006E7B09"/>
    <w:rsid w:val="006E7ED0"/>
    <w:rsid w:val="006E7FD1"/>
    <w:rsid w:val="006F0138"/>
    <w:rsid w:val="006F0144"/>
    <w:rsid w:val="006F0470"/>
    <w:rsid w:val="006F0480"/>
    <w:rsid w:val="006F0553"/>
    <w:rsid w:val="006F0583"/>
    <w:rsid w:val="006F0889"/>
    <w:rsid w:val="006F0DD8"/>
    <w:rsid w:val="006F10BB"/>
    <w:rsid w:val="006F127E"/>
    <w:rsid w:val="006F15F0"/>
    <w:rsid w:val="006F179F"/>
    <w:rsid w:val="006F1A7B"/>
    <w:rsid w:val="006F2081"/>
    <w:rsid w:val="006F2133"/>
    <w:rsid w:val="006F22B9"/>
    <w:rsid w:val="006F2609"/>
    <w:rsid w:val="006F2B36"/>
    <w:rsid w:val="006F3123"/>
    <w:rsid w:val="006F32E8"/>
    <w:rsid w:val="006F446C"/>
    <w:rsid w:val="006F4BAD"/>
    <w:rsid w:val="006F4C36"/>
    <w:rsid w:val="006F51D6"/>
    <w:rsid w:val="006F5232"/>
    <w:rsid w:val="006F59AB"/>
    <w:rsid w:val="006F5B61"/>
    <w:rsid w:val="006F61CA"/>
    <w:rsid w:val="006F658F"/>
    <w:rsid w:val="006F6A40"/>
    <w:rsid w:val="006F6B5E"/>
    <w:rsid w:val="006F6BF0"/>
    <w:rsid w:val="006F6F3F"/>
    <w:rsid w:val="006F70E1"/>
    <w:rsid w:val="006F7301"/>
    <w:rsid w:val="006F7AA6"/>
    <w:rsid w:val="006F7B37"/>
    <w:rsid w:val="006F7BB6"/>
    <w:rsid w:val="00700038"/>
    <w:rsid w:val="0070050E"/>
    <w:rsid w:val="00700D7D"/>
    <w:rsid w:val="00701C61"/>
    <w:rsid w:val="00702087"/>
    <w:rsid w:val="007024B9"/>
    <w:rsid w:val="007028BD"/>
    <w:rsid w:val="00702929"/>
    <w:rsid w:val="00702C18"/>
    <w:rsid w:val="00702DC4"/>
    <w:rsid w:val="0070330F"/>
    <w:rsid w:val="00703351"/>
    <w:rsid w:val="00703D71"/>
    <w:rsid w:val="00703DCE"/>
    <w:rsid w:val="00704754"/>
    <w:rsid w:val="00704AA2"/>
    <w:rsid w:val="00704C4A"/>
    <w:rsid w:val="00704EFC"/>
    <w:rsid w:val="0070507B"/>
    <w:rsid w:val="0070543F"/>
    <w:rsid w:val="0070555E"/>
    <w:rsid w:val="00705E66"/>
    <w:rsid w:val="00706047"/>
    <w:rsid w:val="0070633E"/>
    <w:rsid w:val="007073F3"/>
    <w:rsid w:val="00707ABF"/>
    <w:rsid w:val="00707F9A"/>
    <w:rsid w:val="0071061B"/>
    <w:rsid w:val="00710A1C"/>
    <w:rsid w:val="00710AC1"/>
    <w:rsid w:val="00710E84"/>
    <w:rsid w:val="007111FD"/>
    <w:rsid w:val="00711290"/>
    <w:rsid w:val="00711489"/>
    <w:rsid w:val="007114B5"/>
    <w:rsid w:val="0071190A"/>
    <w:rsid w:val="00711B79"/>
    <w:rsid w:val="00711C32"/>
    <w:rsid w:val="00712386"/>
    <w:rsid w:val="0071239A"/>
    <w:rsid w:val="00712607"/>
    <w:rsid w:val="007126C3"/>
    <w:rsid w:val="007129FF"/>
    <w:rsid w:val="0071309D"/>
    <w:rsid w:val="0071314E"/>
    <w:rsid w:val="0071326B"/>
    <w:rsid w:val="00713717"/>
    <w:rsid w:val="00713CEF"/>
    <w:rsid w:val="00714233"/>
    <w:rsid w:val="007143A4"/>
    <w:rsid w:val="007147E9"/>
    <w:rsid w:val="007149EF"/>
    <w:rsid w:val="00715192"/>
    <w:rsid w:val="007152F9"/>
    <w:rsid w:val="00715D44"/>
    <w:rsid w:val="007162D2"/>
    <w:rsid w:val="00716310"/>
    <w:rsid w:val="007165ED"/>
    <w:rsid w:val="00716F0E"/>
    <w:rsid w:val="00716F5A"/>
    <w:rsid w:val="00717404"/>
    <w:rsid w:val="00717F5C"/>
    <w:rsid w:val="007200F4"/>
    <w:rsid w:val="00720508"/>
    <w:rsid w:val="00720CFB"/>
    <w:rsid w:val="00720DBC"/>
    <w:rsid w:val="00720EFD"/>
    <w:rsid w:val="00720F9E"/>
    <w:rsid w:val="007216AD"/>
    <w:rsid w:val="00721979"/>
    <w:rsid w:val="00721C39"/>
    <w:rsid w:val="00721E0E"/>
    <w:rsid w:val="00721E59"/>
    <w:rsid w:val="00721F48"/>
    <w:rsid w:val="00721FE3"/>
    <w:rsid w:val="007222C0"/>
    <w:rsid w:val="00722492"/>
    <w:rsid w:val="00722F45"/>
    <w:rsid w:val="00723718"/>
    <w:rsid w:val="00723804"/>
    <w:rsid w:val="007239DF"/>
    <w:rsid w:val="007239F0"/>
    <w:rsid w:val="00723A5B"/>
    <w:rsid w:val="007240B5"/>
    <w:rsid w:val="00724C16"/>
    <w:rsid w:val="00724DB0"/>
    <w:rsid w:val="00724FFA"/>
    <w:rsid w:val="0072515F"/>
    <w:rsid w:val="00725667"/>
    <w:rsid w:val="00725D10"/>
    <w:rsid w:val="007266AB"/>
    <w:rsid w:val="007266C9"/>
    <w:rsid w:val="00726F37"/>
    <w:rsid w:val="00727412"/>
    <w:rsid w:val="00727574"/>
    <w:rsid w:val="007276AA"/>
    <w:rsid w:val="00727945"/>
    <w:rsid w:val="00727D6A"/>
    <w:rsid w:val="007300AE"/>
    <w:rsid w:val="007307F0"/>
    <w:rsid w:val="007308A7"/>
    <w:rsid w:val="00730A2B"/>
    <w:rsid w:val="007313DB"/>
    <w:rsid w:val="007314D9"/>
    <w:rsid w:val="007318B3"/>
    <w:rsid w:val="00731F81"/>
    <w:rsid w:val="0073224D"/>
    <w:rsid w:val="00732821"/>
    <w:rsid w:val="00732B14"/>
    <w:rsid w:val="00732BF8"/>
    <w:rsid w:val="00732CB5"/>
    <w:rsid w:val="00732FFC"/>
    <w:rsid w:val="0073324D"/>
    <w:rsid w:val="00733251"/>
    <w:rsid w:val="00733268"/>
    <w:rsid w:val="007335E3"/>
    <w:rsid w:val="0073398E"/>
    <w:rsid w:val="007344D8"/>
    <w:rsid w:val="007349B7"/>
    <w:rsid w:val="00734BA5"/>
    <w:rsid w:val="007352A1"/>
    <w:rsid w:val="007355BF"/>
    <w:rsid w:val="0073564E"/>
    <w:rsid w:val="00735AD3"/>
    <w:rsid w:val="00735D01"/>
    <w:rsid w:val="00736681"/>
    <w:rsid w:val="0073687D"/>
    <w:rsid w:val="00736F50"/>
    <w:rsid w:val="00737B4A"/>
    <w:rsid w:val="00737DEF"/>
    <w:rsid w:val="00740010"/>
    <w:rsid w:val="00740792"/>
    <w:rsid w:val="00740FC8"/>
    <w:rsid w:val="0074116E"/>
    <w:rsid w:val="00741435"/>
    <w:rsid w:val="00741ED9"/>
    <w:rsid w:val="007420DA"/>
    <w:rsid w:val="007428FB"/>
    <w:rsid w:val="00742B09"/>
    <w:rsid w:val="00742EEF"/>
    <w:rsid w:val="0074320A"/>
    <w:rsid w:val="0074324C"/>
    <w:rsid w:val="00743672"/>
    <w:rsid w:val="00743D92"/>
    <w:rsid w:val="007440ED"/>
    <w:rsid w:val="0074432D"/>
    <w:rsid w:val="00744734"/>
    <w:rsid w:val="00744952"/>
    <w:rsid w:val="00744D9C"/>
    <w:rsid w:val="007452E4"/>
    <w:rsid w:val="007456E9"/>
    <w:rsid w:val="007459DD"/>
    <w:rsid w:val="00745A08"/>
    <w:rsid w:val="00745CDE"/>
    <w:rsid w:val="00745D6A"/>
    <w:rsid w:val="00745E43"/>
    <w:rsid w:val="00745EE1"/>
    <w:rsid w:val="00745F11"/>
    <w:rsid w:val="0074665A"/>
    <w:rsid w:val="00746E70"/>
    <w:rsid w:val="00747176"/>
    <w:rsid w:val="0074747A"/>
    <w:rsid w:val="00747490"/>
    <w:rsid w:val="00750192"/>
    <w:rsid w:val="007504A5"/>
    <w:rsid w:val="007505C2"/>
    <w:rsid w:val="00751158"/>
    <w:rsid w:val="007513C1"/>
    <w:rsid w:val="0075149A"/>
    <w:rsid w:val="00751892"/>
    <w:rsid w:val="00751C2D"/>
    <w:rsid w:val="00752816"/>
    <w:rsid w:val="00752D52"/>
    <w:rsid w:val="0075322A"/>
    <w:rsid w:val="0075377E"/>
    <w:rsid w:val="00753CB8"/>
    <w:rsid w:val="007542D4"/>
    <w:rsid w:val="00754CFD"/>
    <w:rsid w:val="00754F18"/>
    <w:rsid w:val="007552AF"/>
    <w:rsid w:val="00755374"/>
    <w:rsid w:val="00755481"/>
    <w:rsid w:val="00755516"/>
    <w:rsid w:val="00755553"/>
    <w:rsid w:val="00755678"/>
    <w:rsid w:val="00755DFE"/>
    <w:rsid w:val="0075625C"/>
    <w:rsid w:val="007575DC"/>
    <w:rsid w:val="007575E8"/>
    <w:rsid w:val="00757950"/>
    <w:rsid w:val="007602A0"/>
    <w:rsid w:val="007604E1"/>
    <w:rsid w:val="00760725"/>
    <w:rsid w:val="00761385"/>
    <w:rsid w:val="00761730"/>
    <w:rsid w:val="0076181A"/>
    <w:rsid w:val="007619C2"/>
    <w:rsid w:val="007619DE"/>
    <w:rsid w:val="00761B35"/>
    <w:rsid w:val="00761B5A"/>
    <w:rsid w:val="0076201F"/>
    <w:rsid w:val="00762372"/>
    <w:rsid w:val="00762837"/>
    <w:rsid w:val="007629AF"/>
    <w:rsid w:val="00762AA6"/>
    <w:rsid w:val="00762D57"/>
    <w:rsid w:val="0076318A"/>
    <w:rsid w:val="007637C1"/>
    <w:rsid w:val="0076397D"/>
    <w:rsid w:val="00763A76"/>
    <w:rsid w:val="0076416B"/>
    <w:rsid w:val="00764E4B"/>
    <w:rsid w:val="007653D8"/>
    <w:rsid w:val="00765643"/>
    <w:rsid w:val="00765708"/>
    <w:rsid w:val="00765917"/>
    <w:rsid w:val="007659BA"/>
    <w:rsid w:val="007659EB"/>
    <w:rsid w:val="00765E87"/>
    <w:rsid w:val="007660E3"/>
    <w:rsid w:val="00766384"/>
    <w:rsid w:val="007664FC"/>
    <w:rsid w:val="00766588"/>
    <w:rsid w:val="00766931"/>
    <w:rsid w:val="007669E5"/>
    <w:rsid w:val="00766EC6"/>
    <w:rsid w:val="00767779"/>
    <w:rsid w:val="007678A0"/>
    <w:rsid w:val="00767A1F"/>
    <w:rsid w:val="00767AE4"/>
    <w:rsid w:val="00767BBB"/>
    <w:rsid w:val="00770172"/>
    <w:rsid w:val="00770D87"/>
    <w:rsid w:val="0077105B"/>
    <w:rsid w:val="00771C67"/>
    <w:rsid w:val="00771FEF"/>
    <w:rsid w:val="0077261B"/>
    <w:rsid w:val="00772C12"/>
    <w:rsid w:val="0077321D"/>
    <w:rsid w:val="007735F8"/>
    <w:rsid w:val="00773854"/>
    <w:rsid w:val="00773DB6"/>
    <w:rsid w:val="007740A5"/>
    <w:rsid w:val="007740F7"/>
    <w:rsid w:val="0077410C"/>
    <w:rsid w:val="0077443C"/>
    <w:rsid w:val="00774746"/>
    <w:rsid w:val="00774C25"/>
    <w:rsid w:val="00774FDB"/>
    <w:rsid w:val="0077559D"/>
    <w:rsid w:val="00775AA8"/>
    <w:rsid w:val="00775B75"/>
    <w:rsid w:val="00775E64"/>
    <w:rsid w:val="00776D2B"/>
    <w:rsid w:val="00776E2C"/>
    <w:rsid w:val="007772EF"/>
    <w:rsid w:val="00777432"/>
    <w:rsid w:val="00777986"/>
    <w:rsid w:val="00777BFE"/>
    <w:rsid w:val="00780897"/>
    <w:rsid w:val="00781306"/>
    <w:rsid w:val="007815ED"/>
    <w:rsid w:val="0078190B"/>
    <w:rsid w:val="0078192A"/>
    <w:rsid w:val="00781C68"/>
    <w:rsid w:val="00781E69"/>
    <w:rsid w:val="007821C1"/>
    <w:rsid w:val="00782D62"/>
    <w:rsid w:val="007838FF"/>
    <w:rsid w:val="00783EBB"/>
    <w:rsid w:val="0078438B"/>
    <w:rsid w:val="0078451D"/>
    <w:rsid w:val="007846CE"/>
    <w:rsid w:val="00784A2B"/>
    <w:rsid w:val="00784CAD"/>
    <w:rsid w:val="00784D68"/>
    <w:rsid w:val="007851A8"/>
    <w:rsid w:val="0078531C"/>
    <w:rsid w:val="0078544D"/>
    <w:rsid w:val="00785788"/>
    <w:rsid w:val="00785862"/>
    <w:rsid w:val="0078649D"/>
    <w:rsid w:val="007864C1"/>
    <w:rsid w:val="007865A6"/>
    <w:rsid w:val="00786902"/>
    <w:rsid w:val="00786A09"/>
    <w:rsid w:val="00786EAA"/>
    <w:rsid w:val="007871CA"/>
    <w:rsid w:val="007874F6"/>
    <w:rsid w:val="00787A69"/>
    <w:rsid w:val="00787EEF"/>
    <w:rsid w:val="0079034C"/>
    <w:rsid w:val="0079040F"/>
    <w:rsid w:val="0079062A"/>
    <w:rsid w:val="00790899"/>
    <w:rsid w:val="00791007"/>
    <w:rsid w:val="007912F9"/>
    <w:rsid w:val="00791DD8"/>
    <w:rsid w:val="00792041"/>
    <w:rsid w:val="00792444"/>
    <w:rsid w:val="007924E3"/>
    <w:rsid w:val="0079273F"/>
    <w:rsid w:val="00792899"/>
    <w:rsid w:val="00792BAF"/>
    <w:rsid w:val="00792D5D"/>
    <w:rsid w:val="007930B2"/>
    <w:rsid w:val="007930F4"/>
    <w:rsid w:val="00793975"/>
    <w:rsid w:val="007943EE"/>
    <w:rsid w:val="00794469"/>
    <w:rsid w:val="00795383"/>
    <w:rsid w:val="0079692E"/>
    <w:rsid w:val="00796942"/>
    <w:rsid w:val="00796A34"/>
    <w:rsid w:val="00797011"/>
    <w:rsid w:val="007974B5"/>
    <w:rsid w:val="007978B4"/>
    <w:rsid w:val="00797AB1"/>
    <w:rsid w:val="00797BC8"/>
    <w:rsid w:val="00797F59"/>
    <w:rsid w:val="007A0036"/>
    <w:rsid w:val="007A0284"/>
    <w:rsid w:val="007A02BC"/>
    <w:rsid w:val="007A05D5"/>
    <w:rsid w:val="007A069F"/>
    <w:rsid w:val="007A08D1"/>
    <w:rsid w:val="007A0C74"/>
    <w:rsid w:val="007A0E8E"/>
    <w:rsid w:val="007A128E"/>
    <w:rsid w:val="007A14A3"/>
    <w:rsid w:val="007A1DCB"/>
    <w:rsid w:val="007A20B9"/>
    <w:rsid w:val="007A235A"/>
    <w:rsid w:val="007A28AB"/>
    <w:rsid w:val="007A28EC"/>
    <w:rsid w:val="007A2A3A"/>
    <w:rsid w:val="007A2D8C"/>
    <w:rsid w:val="007A34AE"/>
    <w:rsid w:val="007A3505"/>
    <w:rsid w:val="007A35CD"/>
    <w:rsid w:val="007A3A9B"/>
    <w:rsid w:val="007A3AD9"/>
    <w:rsid w:val="007A3B98"/>
    <w:rsid w:val="007A3E1C"/>
    <w:rsid w:val="007A43DE"/>
    <w:rsid w:val="007A4682"/>
    <w:rsid w:val="007A47C1"/>
    <w:rsid w:val="007A48A3"/>
    <w:rsid w:val="007A4CC8"/>
    <w:rsid w:val="007A4DFF"/>
    <w:rsid w:val="007A54C5"/>
    <w:rsid w:val="007A5B1C"/>
    <w:rsid w:val="007A5D40"/>
    <w:rsid w:val="007A62BB"/>
    <w:rsid w:val="007A63C1"/>
    <w:rsid w:val="007A6501"/>
    <w:rsid w:val="007A65BD"/>
    <w:rsid w:val="007A67B3"/>
    <w:rsid w:val="007A6FCF"/>
    <w:rsid w:val="007A736E"/>
    <w:rsid w:val="007A77E8"/>
    <w:rsid w:val="007A7857"/>
    <w:rsid w:val="007B01E9"/>
    <w:rsid w:val="007B0265"/>
    <w:rsid w:val="007B0DAA"/>
    <w:rsid w:val="007B0EF2"/>
    <w:rsid w:val="007B10A8"/>
    <w:rsid w:val="007B1429"/>
    <w:rsid w:val="007B1811"/>
    <w:rsid w:val="007B21C2"/>
    <w:rsid w:val="007B225A"/>
    <w:rsid w:val="007B2492"/>
    <w:rsid w:val="007B2504"/>
    <w:rsid w:val="007B262B"/>
    <w:rsid w:val="007B2F5E"/>
    <w:rsid w:val="007B32BA"/>
    <w:rsid w:val="007B3B23"/>
    <w:rsid w:val="007B4164"/>
    <w:rsid w:val="007B42CE"/>
    <w:rsid w:val="007B556F"/>
    <w:rsid w:val="007B55D6"/>
    <w:rsid w:val="007B55E8"/>
    <w:rsid w:val="007B59C2"/>
    <w:rsid w:val="007B5B27"/>
    <w:rsid w:val="007B5D6B"/>
    <w:rsid w:val="007B5F5F"/>
    <w:rsid w:val="007B63FA"/>
    <w:rsid w:val="007B6524"/>
    <w:rsid w:val="007B70F6"/>
    <w:rsid w:val="007B7166"/>
    <w:rsid w:val="007B7278"/>
    <w:rsid w:val="007B73AA"/>
    <w:rsid w:val="007B7420"/>
    <w:rsid w:val="007B79E7"/>
    <w:rsid w:val="007B79F1"/>
    <w:rsid w:val="007B7B93"/>
    <w:rsid w:val="007B7F30"/>
    <w:rsid w:val="007C04A5"/>
    <w:rsid w:val="007C07F7"/>
    <w:rsid w:val="007C0FAA"/>
    <w:rsid w:val="007C16B2"/>
    <w:rsid w:val="007C1AA6"/>
    <w:rsid w:val="007C2536"/>
    <w:rsid w:val="007C2C3F"/>
    <w:rsid w:val="007C2CAF"/>
    <w:rsid w:val="007C35C9"/>
    <w:rsid w:val="007C3A5D"/>
    <w:rsid w:val="007C3CF5"/>
    <w:rsid w:val="007C4012"/>
    <w:rsid w:val="007C4633"/>
    <w:rsid w:val="007C4CA0"/>
    <w:rsid w:val="007C4DF0"/>
    <w:rsid w:val="007C5F2F"/>
    <w:rsid w:val="007C5F78"/>
    <w:rsid w:val="007C6163"/>
    <w:rsid w:val="007C6177"/>
    <w:rsid w:val="007C65F9"/>
    <w:rsid w:val="007C7529"/>
    <w:rsid w:val="007C762F"/>
    <w:rsid w:val="007C7A1B"/>
    <w:rsid w:val="007C7C71"/>
    <w:rsid w:val="007C7CA6"/>
    <w:rsid w:val="007C7D00"/>
    <w:rsid w:val="007C7E05"/>
    <w:rsid w:val="007D01FD"/>
    <w:rsid w:val="007D0289"/>
    <w:rsid w:val="007D0382"/>
    <w:rsid w:val="007D038A"/>
    <w:rsid w:val="007D06B1"/>
    <w:rsid w:val="007D120C"/>
    <w:rsid w:val="007D14CF"/>
    <w:rsid w:val="007D16FA"/>
    <w:rsid w:val="007D1855"/>
    <w:rsid w:val="007D193D"/>
    <w:rsid w:val="007D1EA4"/>
    <w:rsid w:val="007D2332"/>
    <w:rsid w:val="007D24BA"/>
    <w:rsid w:val="007D2579"/>
    <w:rsid w:val="007D2656"/>
    <w:rsid w:val="007D2940"/>
    <w:rsid w:val="007D2D22"/>
    <w:rsid w:val="007D3125"/>
    <w:rsid w:val="007D3B5C"/>
    <w:rsid w:val="007D3D59"/>
    <w:rsid w:val="007D4266"/>
    <w:rsid w:val="007D43EC"/>
    <w:rsid w:val="007D4529"/>
    <w:rsid w:val="007D45C3"/>
    <w:rsid w:val="007D4655"/>
    <w:rsid w:val="007D46BA"/>
    <w:rsid w:val="007D46FC"/>
    <w:rsid w:val="007D4886"/>
    <w:rsid w:val="007D4971"/>
    <w:rsid w:val="007D4ABA"/>
    <w:rsid w:val="007D4F32"/>
    <w:rsid w:val="007D5037"/>
    <w:rsid w:val="007D54B3"/>
    <w:rsid w:val="007D57E8"/>
    <w:rsid w:val="007D5C6F"/>
    <w:rsid w:val="007D5F20"/>
    <w:rsid w:val="007D6142"/>
    <w:rsid w:val="007D61F3"/>
    <w:rsid w:val="007D6740"/>
    <w:rsid w:val="007D6ACF"/>
    <w:rsid w:val="007D6BCD"/>
    <w:rsid w:val="007D702F"/>
    <w:rsid w:val="007D73D7"/>
    <w:rsid w:val="007D7D67"/>
    <w:rsid w:val="007E01ED"/>
    <w:rsid w:val="007E0D0E"/>
    <w:rsid w:val="007E1314"/>
    <w:rsid w:val="007E13FF"/>
    <w:rsid w:val="007E1713"/>
    <w:rsid w:val="007E2120"/>
    <w:rsid w:val="007E2130"/>
    <w:rsid w:val="007E237C"/>
    <w:rsid w:val="007E260F"/>
    <w:rsid w:val="007E2FCF"/>
    <w:rsid w:val="007E3C41"/>
    <w:rsid w:val="007E3C8C"/>
    <w:rsid w:val="007E3F39"/>
    <w:rsid w:val="007E418F"/>
    <w:rsid w:val="007E44B7"/>
    <w:rsid w:val="007E47F6"/>
    <w:rsid w:val="007E5EAC"/>
    <w:rsid w:val="007E5EC6"/>
    <w:rsid w:val="007E613A"/>
    <w:rsid w:val="007E6291"/>
    <w:rsid w:val="007E7408"/>
    <w:rsid w:val="007E7AE8"/>
    <w:rsid w:val="007E7C36"/>
    <w:rsid w:val="007F05D4"/>
    <w:rsid w:val="007F0E97"/>
    <w:rsid w:val="007F109F"/>
    <w:rsid w:val="007F1200"/>
    <w:rsid w:val="007F167E"/>
    <w:rsid w:val="007F16D4"/>
    <w:rsid w:val="007F1A02"/>
    <w:rsid w:val="007F2273"/>
    <w:rsid w:val="007F2285"/>
    <w:rsid w:val="007F261E"/>
    <w:rsid w:val="007F262C"/>
    <w:rsid w:val="007F2B77"/>
    <w:rsid w:val="007F3B8F"/>
    <w:rsid w:val="007F45FE"/>
    <w:rsid w:val="007F4AC8"/>
    <w:rsid w:val="007F4C18"/>
    <w:rsid w:val="007F4E4C"/>
    <w:rsid w:val="007F6156"/>
    <w:rsid w:val="007F6379"/>
    <w:rsid w:val="007F648B"/>
    <w:rsid w:val="007F6657"/>
    <w:rsid w:val="007F6805"/>
    <w:rsid w:val="007F6B57"/>
    <w:rsid w:val="007F6C13"/>
    <w:rsid w:val="007F7043"/>
    <w:rsid w:val="007F7190"/>
    <w:rsid w:val="007F72C9"/>
    <w:rsid w:val="007F744F"/>
    <w:rsid w:val="007F7A92"/>
    <w:rsid w:val="00800A3E"/>
    <w:rsid w:val="00800C44"/>
    <w:rsid w:val="00800CDA"/>
    <w:rsid w:val="00800D86"/>
    <w:rsid w:val="00800EA0"/>
    <w:rsid w:val="0080117E"/>
    <w:rsid w:val="008013C4"/>
    <w:rsid w:val="008014E9"/>
    <w:rsid w:val="0080160E"/>
    <w:rsid w:val="00801802"/>
    <w:rsid w:val="00801C6C"/>
    <w:rsid w:val="00801D40"/>
    <w:rsid w:val="00801E11"/>
    <w:rsid w:val="00801EAB"/>
    <w:rsid w:val="00802064"/>
    <w:rsid w:val="008024AA"/>
    <w:rsid w:val="00802FC4"/>
    <w:rsid w:val="00803ADC"/>
    <w:rsid w:val="00803E8D"/>
    <w:rsid w:val="0080410C"/>
    <w:rsid w:val="0080446C"/>
    <w:rsid w:val="008044AA"/>
    <w:rsid w:val="00804D75"/>
    <w:rsid w:val="008058D7"/>
    <w:rsid w:val="00805D04"/>
    <w:rsid w:val="00805E7F"/>
    <w:rsid w:val="00806081"/>
    <w:rsid w:val="0080637B"/>
    <w:rsid w:val="00806819"/>
    <w:rsid w:val="00807036"/>
    <w:rsid w:val="00807410"/>
    <w:rsid w:val="0080755F"/>
    <w:rsid w:val="0080760E"/>
    <w:rsid w:val="0080764B"/>
    <w:rsid w:val="008077E2"/>
    <w:rsid w:val="00807C7C"/>
    <w:rsid w:val="00810386"/>
    <w:rsid w:val="008115DE"/>
    <w:rsid w:val="008118BE"/>
    <w:rsid w:val="00811CCA"/>
    <w:rsid w:val="00811EE5"/>
    <w:rsid w:val="00811EF9"/>
    <w:rsid w:val="008120EE"/>
    <w:rsid w:val="00812296"/>
    <w:rsid w:val="0081272F"/>
    <w:rsid w:val="00812A22"/>
    <w:rsid w:val="00813256"/>
    <w:rsid w:val="00813950"/>
    <w:rsid w:val="008140BB"/>
    <w:rsid w:val="00814138"/>
    <w:rsid w:val="0081419D"/>
    <w:rsid w:val="00815261"/>
    <w:rsid w:val="00815348"/>
    <w:rsid w:val="0081564B"/>
    <w:rsid w:val="0081572D"/>
    <w:rsid w:val="00815B1A"/>
    <w:rsid w:val="00815BDA"/>
    <w:rsid w:val="008162D4"/>
    <w:rsid w:val="00816332"/>
    <w:rsid w:val="008167D6"/>
    <w:rsid w:val="00816CA6"/>
    <w:rsid w:val="00816DCD"/>
    <w:rsid w:val="00816F39"/>
    <w:rsid w:val="00816FD8"/>
    <w:rsid w:val="00816FFA"/>
    <w:rsid w:val="0081722D"/>
    <w:rsid w:val="00817513"/>
    <w:rsid w:val="00817E9A"/>
    <w:rsid w:val="00817EA6"/>
    <w:rsid w:val="00817EF0"/>
    <w:rsid w:val="008200F3"/>
    <w:rsid w:val="008203CF"/>
    <w:rsid w:val="008205DB"/>
    <w:rsid w:val="0082114F"/>
    <w:rsid w:val="008219AF"/>
    <w:rsid w:val="00821CF6"/>
    <w:rsid w:val="008222E0"/>
    <w:rsid w:val="00822D87"/>
    <w:rsid w:val="00822DAB"/>
    <w:rsid w:val="008231F9"/>
    <w:rsid w:val="0082356F"/>
    <w:rsid w:val="0082358D"/>
    <w:rsid w:val="008236D2"/>
    <w:rsid w:val="0082374B"/>
    <w:rsid w:val="00823CDA"/>
    <w:rsid w:val="00824072"/>
    <w:rsid w:val="0082413A"/>
    <w:rsid w:val="00824508"/>
    <w:rsid w:val="0082454E"/>
    <w:rsid w:val="0082518B"/>
    <w:rsid w:val="00826469"/>
    <w:rsid w:val="008264C2"/>
    <w:rsid w:val="00826C10"/>
    <w:rsid w:val="00826C96"/>
    <w:rsid w:val="00826DF0"/>
    <w:rsid w:val="008275D0"/>
    <w:rsid w:val="0082772E"/>
    <w:rsid w:val="00830052"/>
    <w:rsid w:val="00830080"/>
    <w:rsid w:val="008302CC"/>
    <w:rsid w:val="00830A0D"/>
    <w:rsid w:val="00830C70"/>
    <w:rsid w:val="008311BD"/>
    <w:rsid w:val="008315B7"/>
    <w:rsid w:val="00831779"/>
    <w:rsid w:val="00831923"/>
    <w:rsid w:val="00831A40"/>
    <w:rsid w:val="00831B61"/>
    <w:rsid w:val="00831CE6"/>
    <w:rsid w:val="00831F58"/>
    <w:rsid w:val="00832044"/>
    <w:rsid w:val="008325B8"/>
    <w:rsid w:val="008326F6"/>
    <w:rsid w:val="0083296B"/>
    <w:rsid w:val="008329A9"/>
    <w:rsid w:val="00833A9F"/>
    <w:rsid w:val="00833D24"/>
    <w:rsid w:val="00833E52"/>
    <w:rsid w:val="00833ED5"/>
    <w:rsid w:val="00834730"/>
    <w:rsid w:val="0083475D"/>
    <w:rsid w:val="008348F3"/>
    <w:rsid w:val="00834C6B"/>
    <w:rsid w:val="008351BD"/>
    <w:rsid w:val="00835CA0"/>
    <w:rsid w:val="00835D55"/>
    <w:rsid w:val="00835DE8"/>
    <w:rsid w:val="00836B5D"/>
    <w:rsid w:val="0083720E"/>
    <w:rsid w:val="008376DB"/>
    <w:rsid w:val="0083774D"/>
    <w:rsid w:val="00837B3C"/>
    <w:rsid w:val="00837E2F"/>
    <w:rsid w:val="008402F2"/>
    <w:rsid w:val="0084050F"/>
    <w:rsid w:val="00840C10"/>
    <w:rsid w:val="00840CF5"/>
    <w:rsid w:val="00840E91"/>
    <w:rsid w:val="00840F0C"/>
    <w:rsid w:val="008410BE"/>
    <w:rsid w:val="00841211"/>
    <w:rsid w:val="008413CD"/>
    <w:rsid w:val="008416DD"/>
    <w:rsid w:val="008419EA"/>
    <w:rsid w:val="00841A8D"/>
    <w:rsid w:val="008422A9"/>
    <w:rsid w:val="00842CC4"/>
    <w:rsid w:val="00842F2F"/>
    <w:rsid w:val="0084367E"/>
    <w:rsid w:val="008438AF"/>
    <w:rsid w:val="00843B03"/>
    <w:rsid w:val="00843C94"/>
    <w:rsid w:val="00844BBD"/>
    <w:rsid w:val="00844C51"/>
    <w:rsid w:val="00845809"/>
    <w:rsid w:val="00845D05"/>
    <w:rsid w:val="008465C4"/>
    <w:rsid w:val="00846694"/>
    <w:rsid w:val="008471EB"/>
    <w:rsid w:val="00847300"/>
    <w:rsid w:val="00847366"/>
    <w:rsid w:val="00847436"/>
    <w:rsid w:val="00847590"/>
    <w:rsid w:val="008475A0"/>
    <w:rsid w:val="008475B5"/>
    <w:rsid w:val="0084769B"/>
    <w:rsid w:val="00847B76"/>
    <w:rsid w:val="00847E48"/>
    <w:rsid w:val="00850CA7"/>
    <w:rsid w:val="00850EF5"/>
    <w:rsid w:val="008517B6"/>
    <w:rsid w:val="0085199C"/>
    <w:rsid w:val="00851F99"/>
    <w:rsid w:val="00852428"/>
    <w:rsid w:val="00852858"/>
    <w:rsid w:val="00852B24"/>
    <w:rsid w:val="00852CAE"/>
    <w:rsid w:val="00852D6D"/>
    <w:rsid w:val="00852EDF"/>
    <w:rsid w:val="00853444"/>
    <w:rsid w:val="008534E6"/>
    <w:rsid w:val="008536B8"/>
    <w:rsid w:val="008537D9"/>
    <w:rsid w:val="0085389A"/>
    <w:rsid w:val="00854075"/>
    <w:rsid w:val="008549A6"/>
    <w:rsid w:val="008549DE"/>
    <w:rsid w:val="00855A18"/>
    <w:rsid w:val="00855DD9"/>
    <w:rsid w:val="008565A6"/>
    <w:rsid w:val="008567EB"/>
    <w:rsid w:val="00856A2D"/>
    <w:rsid w:val="00856AF6"/>
    <w:rsid w:val="00856DC4"/>
    <w:rsid w:val="0085707D"/>
    <w:rsid w:val="008572A0"/>
    <w:rsid w:val="0085730B"/>
    <w:rsid w:val="00857596"/>
    <w:rsid w:val="00857A80"/>
    <w:rsid w:val="00857A96"/>
    <w:rsid w:val="00857B28"/>
    <w:rsid w:val="00857E5E"/>
    <w:rsid w:val="00860317"/>
    <w:rsid w:val="008603FA"/>
    <w:rsid w:val="00860B89"/>
    <w:rsid w:val="0086166B"/>
    <w:rsid w:val="0086168D"/>
    <w:rsid w:val="00861A2B"/>
    <w:rsid w:val="00861B19"/>
    <w:rsid w:val="00862061"/>
    <w:rsid w:val="008628EA"/>
    <w:rsid w:val="00862949"/>
    <w:rsid w:val="00862DA5"/>
    <w:rsid w:val="008639F3"/>
    <w:rsid w:val="00863DF2"/>
    <w:rsid w:val="00863FB2"/>
    <w:rsid w:val="008641C5"/>
    <w:rsid w:val="00864E63"/>
    <w:rsid w:val="00864EFD"/>
    <w:rsid w:val="0086523C"/>
    <w:rsid w:val="0086535C"/>
    <w:rsid w:val="00865539"/>
    <w:rsid w:val="008658A6"/>
    <w:rsid w:val="00865C9B"/>
    <w:rsid w:val="0086624C"/>
    <w:rsid w:val="008664B3"/>
    <w:rsid w:val="0086687C"/>
    <w:rsid w:val="00866CC6"/>
    <w:rsid w:val="00866EC0"/>
    <w:rsid w:val="00867047"/>
    <w:rsid w:val="0086711E"/>
    <w:rsid w:val="0086791E"/>
    <w:rsid w:val="008679CB"/>
    <w:rsid w:val="00867EB0"/>
    <w:rsid w:val="008706AE"/>
    <w:rsid w:val="0087171C"/>
    <w:rsid w:val="008718F2"/>
    <w:rsid w:val="00871AD3"/>
    <w:rsid w:val="00872220"/>
    <w:rsid w:val="0087223E"/>
    <w:rsid w:val="008725F3"/>
    <w:rsid w:val="008726B8"/>
    <w:rsid w:val="00872A36"/>
    <w:rsid w:val="008733E0"/>
    <w:rsid w:val="00873539"/>
    <w:rsid w:val="008737DA"/>
    <w:rsid w:val="00873827"/>
    <w:rsid w:val="0087419B"/>
    <w:rsid w:val="008743BB"/>
    <w:rsid w:val="00874644"/>
    <w:rsid w:val="00874730"/>
    <w:rsid w:val="00874E94"/>
    <w:rsid w:val="00875C0D"/>
    <w:rsid w:val="00875D54"/>
    <w:rsid w:val="00875EF1"/>
    <w:rsid w:val="00875FCC"/>
    <w:rsid w:val="00876025"/>
    <w:rsid w:val="008760F3"/>
    <w:rsid w:val="00876482"/>
    <w:rsid w:val="0087675C"/>
    <w:rsid w:val="00877089"/>
    <w:rsid w:val="00877191"/>
    <w:rsid w:val="008773F4"/>
    <w:rsid w:val="00877421"/>
    <w:rsid w:val="00877433"/>
    <w:rsid w:val="008774A9"/>
    <w:rsid w:val="008774CB"/>
    <w:rsid w:val="008779FF"/>
    <w:rsid w:val="0088039B"/>
    <w:rsid w:val="008803E8"/>
    <w:rsid w:val="00880B6F"/>
    <w:rsid w:val="0088142E"/>
    <w:rsid w:val="00881AFF"/>
    <w:rsid w:val="00881B49"/>
    <w:rsid w:val="008820FD"/>
    <w:rsid w:val="00882366"/>
    <w:rsid w:val="0088251A"/>
    <w:rsid w:val="00882692"/>
    <w:rsid w:val="008828FA"/>
    <w:rsid w:val="00882A68"/>
    <w:rsid w:val="00882C58"/>
    <w:rsid w:val="00882FDE"/>
    <w:rsid w:val="00883035"/>
    <w:rsid w:val="008831BD"/>
    <w:rsid w:val="00883214"/>
    <w:rsid w:val="0088328C"/>
    <w:rsid w:val="008834FB"/>
    <w:rsid w:val="008835A8"/>
    <w:rsid w:val="0088374E"/>
    <w:rsid w:val="00884080"/>
    <w:rsid w:val="00884218"/>
    <w:rsid w:val="0088422E"/>
    <w:rsid w:val="0088425A"/>
    <w:rsid w:val="00884BEA"/>
    <w:rsid w:val="00884C0E"/>
    <w:rsid w:val="00884CB4"/>
    <w:rsid w:val="00884E51"/>
    <w:rsid w:val="00885CAE"/>
    <w:rsid w:val="00885E17"/>
    <w:rsid w:val="00885FC2"/>
    <w:rsid w:val="008860CC"/>
    <w:rsid w:val="00886CB7"/>
    <w:rsid w:val="008870B3"/>
    <w:rsid w:val="0088780F"/>
    <w:rsid w:val="00887A91"/>
    <w:rsid w:val="00887CEB"/>
    <w:rsid w:val="0089017C"/>
    <w:rsid w:val="008903FB"/>
    <w:rsid w:val="00890BEB"/>
    <w:rsid w:val="00891346"/>
    <w:rsid w:val="00891CDA"/>
    <w:rsid w:val="00891D6F"/>
    <w:rsid w:val="00892841"/>
    <w:rsid w:val="00892898"/>
    <w:rsid w:val="008928C6"/>
    <w:rsid w:val="008929C9"/>
    <w:rsid w:val="00892B50"/>
    <w:rsid w:val="008930A4"/>
    <w:rsid w:val="00893101"/>
    <w:rsid w:val="00893225"/>
    <w:rsid w:val="00893A94"/>
    <w:rsid w:val="00893B13"/>
    <w:rsid w:val="00893C8C"/>
    <w:rsid w:val="00894417"/>
    <w:rsid w:val="0089449E"/>
    <w:rsid w:val="0089456A"/>
    <w:rsid w:val="0089468A"/>
    <w:rsid w:val="008949EF"/>
    <w:rsid w:val="008952F3"/>
    <w:rsid w:val="0089548F"/>
    <w:rsid w:val="00895527"/>
    <w:rsid w:val="008955A8"/>
    <w:rsid w:val="00895AC7"/>
    <w:rsid w:val="00895E29"/>
    <w:rsid w:val="008961E7"/>
    <w:rsid w:val="0089647F"/>
    <w:rsid w:val="00896AE9"/>
    <w:rsid w:val="00896D1E"/>
    <w:rsid w:val="00896FAD"/>
    <w:rsid w:val="0089786D"/>
    <w:rsid w:val="00897936"/>
    <w:rsid w:val="008A00D2"/>
    <w:rsid w:val="008A0357"/>
    <w:rsid w:val="008A03E2"/>
    <w:rsid w:val="008A08FD"/>
    <w:rsid w:val="008A1526"/>
    <w:rsid w:val="008A15DB"/>
    <w:rsid w:val="008A17A1"/>
    <w:rsid w:val="008A1977"/>
    <w:rsid w:val="008A1CA2"/>
    <w:rsid w:val="008A1D4D"/>
    <w:rsid w:val="008A1DD4"/>
    <w:rsid w:val="008A1DD5"/>
    <w:rsid w:val="008A1FDD"/>
    <w:rsid w:val="008A201A"/>
    <w:rsid w:val="008A2465"/>
    <w:rsid w:val="008A256C"/>
    <w:rsid w:val="008A2852"/>
    <w:rsid w:val="008A2AF4"/>
    <w:rsid w:val="008A2C28"/>
    <w:rsid w:val="008A2DD7"/>
    <w:rsid w:val="008A351C"/>
    <w:rsid w:val="008A3B35"/>
    <w:rsid w:val="008A40A1"/>
    <w:rsid w:val="008A4139"/>
    <w:rsid w:val="008A4323"/>
    <w:rsid w:val="008A45C1"/>
    <w:rsid w:val="008A45EE"/>
    <w:rsid w:val="008A46D1"/>
    <w:rsid w:val="008A4964"/>
    <w:rsid w:val="008A4C3C"/>
    <w:rsid w:val="008A4DF9"/>
    <w:rsid w:val="008A4E5C"/>
    <w:rsid w:val="008A517C"/>
    <w:rsid w:val="008A51D1"/>
    <w:rsid w:val="008A52C8"/>
    <w:rsid w:val="008A5AEF"/>
    <w:rsid w:val="008A5E56"/>
    <w:rsid w:val="008A63B9"/>
    <w:rsid w:val="008A70F4"/>
    <w:rsid w:val="008A7697"/>
    <w:rsid w:val="008A7745"/>
    <w:rsid w:val="008A7B18"/>
    <w:rsid w:val="008A7E9E"/>
    <w:rsid w:val="008A7EB5"/>
    <w:rsid w:val="008B0487"/>
    <w:rsid w:val="008B0646"/>
    <w:rsid w:val="008B0CB1"/>
    <w:rsid w:val="008B0EC4"/>
    <w:rsid w:val="008B18D4"/>
    <w:rsid w:val="008B1940"/>
    <w:rsid w:val="008B1E65"/>
    <w:rsid w:val="008B1FEE"/>
    <w:rsid w:val="008B23DC"/>
    <w:rsid w:val="008B2817"/>
    <w:rsid w:val="008B2867"/>
    <w:rsid w:val="008B2960"/>
    <w:rsid w:val="008B2B54"/>
    <w:rsid w:val="008B2CA0"/>
    <w:rsid w:val="008B2CB4"/>
    <w:rsid w:val="008B2DC6"/>
    <w:rsid w:val="008B307A"/>
    <w:rsid w:val="008B36AD"/>
    <w:rsid w:val="008B4358"/>
    <w:rsid w:val="008B44C4"/>
    <w:rsid w:val="008B468E"/>
    <w:rsid w:val="008B4972"/>
    <w:rsid w:val="008B512F"/>
    <w:rsid w:val="008B517D"/>
    <w:rsid w:val="008B55BE"/>
    <w:rsid w:val="008B57AA"/>
    <w:rsid w:val="008B57E8"/>
    <w:rsid w:val="008B58AF"/>
    <w:rsid w:val="008B597B"/>
    <w:rsid w:val="008B5F6C"/>
    <w:rsid w:val="008B62C9"/>
    <w:rsid w:val="008B6862"/>
    <w:rsid w:val="008B6F06"/>
    <w:rsid w:val="008B70BC"/>
    <w:rsid w:val="008B7E06"/>
    <w:rsid w:val="008B7EF2"/>
    <w:rsid w:val="008C0444"/>
    <w:rsid w:val="008C0588"/>
    <w:rsid w:val="008C0F1A"/>
    <w:rsid w:val="008C102A"/>
    <w:rsid w:val="008C103B"/>
    <w:rsid w:val="008C137C"/>
    <w:rsid w:val="008C157A"/>
    <w:rsid w:val="008C179F"/>
    <w:rsid w:val="008C19A0"/>
    <w:rsid w:val="008C1B8A"/>
    <w:rsid w:val="008C1D02"/>
    <w:rsid w:val="008C1FD7"/>
    <w:rsid w:val="008C20A0"/>
    <w:rsid w:val="008C21B7"/>
    <w:rsid w:val="008C22F1"/>
    <w:rsid w:val="008C2379"/>
    <w:rsid w:val="008C2575"/>
    <w:rsid w:val="008C2661"/>
    <w:rsid w:val="008C2734"/>
    <w:rsid w:val="008C28F3"/>
    <w:rsid w:val="008C33C8"/>
    <w:rsid w:val="008C3519"/>
    <w:rsid w:val="008C377C"/>
    <w:rsid w:val="008C38C0"/>
    <w:rsid w:val="008C41AD"/>
    <w:rsid w:val="008C4550"/>
    <w:rsid w:val="008C456F"/>
    <w:rsid w:val="008C4E2E"/>
    <w:rsid w:val="008C5555"/>
    <w:rsid w:val="008C562F"/>
    <w:rsid w:val="008C5B89"/>
    <w:rsid w:val="008C5E3C"/>
    <w:rsid w:val="008C6B23"/>
    <w:rsid w:val="008C6CE9"/>
    <w:rsid w:val="008C7013"/>
    <w:rsid w:val="008C7394"/>
    <w:rsid w:val="008C73EC"/>
    <w:rsid w:val="008C75A7"/>
    <w:rsid w:val="008C792A"/>
    <w:rsid w:val="008C7B89"/>
    <w:rsid w:val="008C7F97"/>
    <w:rsid w:val="008D01B9"/>
    <w:rsid w:val="008D03FB"/>
    <w:rsid w:val="008D0D3F"/>
    <w:rsid w:val="008D0E74"/>
    <w:rsid w:val="008D146A"/>
    <w:rsid w:val="008D1809"/>
    <w:rsid w:val="008D18B0"/>
    <w:rsid w:val="008D1D76"/>
    <w:rsid w:val="008D2747"/>
    <w:rsid w:val="008D390E"/>
    <w:rsid w:val="008D3EF1"/>
    <w:rsid w:val="008D3F17"/>
    <w:rsid w:val="008D426D"/>
    <w:rsid w:val="008D4460"/>
    <w:rsid w:val="008D49CA"/>
    <w:rsid w:val="008D4D53"/>
    <w:rsid w:val="008D530E"/>
    <w:rsid w:val="008D5EF0"/>
    <w:rsid w:val="008D60EF"/>
    <w:rsid w:val="008D62ED"/>
    <w:rsid w:val="008D63BE"/>
    <w:rsid w:val="008D66EC"/>
    <w:rsid w:val="008D6A94"/>
    <w:rsid w:val="008D6B34"/>
    <w:rsid w:val="008D6DCA"/>
    <w:rsid w:val="008D6DE3"/>
    <w:rsid w:val="008D6F39"/>
    <w:rsid w:val="008D78DE"/>
    <w:rsid w:val="008E015C"/>
    <w:rsid w:val="008E01E0"/>
    <w:rsid w:val="008E02E1"/>
    <w:rsid w:val="008E0610"/>
    <w:rsid w:val="008E0717"/>
    <w:rsid w:val="008E0B8B"/>
    <w:rsid w:val="008E0C83"/>
    <w:rsid w:val="008E0CC2"/>
    <w:rsid w:val="008E0EB6"/>
    <w:rsid w:val="008E10FC"/>
    <w:rsid w:val="008E1D6F"/>
    <w:rsid w:val="008E220F"/>
    <w:rsid w:val="008E267F"/>
    <w:rsid w:val="008E27DE"/>
    <w:rsid w:val="008E299C"/>
    <w:rsid w:val="008E2BCC"/>
    <w:rsid w:val="008E3077"/>
    <w:rsid w:val="008E30CF"/>
    <w:rsid w:val="008E369E"/>
    <w:rsid w:val="008E3771"/>
    <w:rsid w:val="008E383B"/>
    <w:rsid w:val="008E3E2C"/>
    <w:rsid w:val="008E4133"/>
    <w:rsid w:val="008E433C"/>
    <w:rsid w:val="008E481B"/>
    <w:rsid w:val="008E4CCB"/>
    <w:rsid w:val="008E4FFA"/>
    <w:rsid w:val="008E577C"/>
    <w:rsid w:val="008E5887"/>
    <w:rsid w:val="008E63E0"/>
    <w:rsid w:val="008E641A"/>
    <w:rsid w:val="008E70F6"/>
    <w:rsid w:val="008E718D"/>
    <w:rsid w:val="008E7649"/>
    <w:rsid w:val="008E77F2"/>
    <w:rsid w:val="008E7D20"/>
    <w:rsid w:val="008F0E28"/>
    <w:rsid w:val="008F0F3C"/>
    <w:rsid w:val="008F10F8"/>
    <w:rsid w:val="008F1231"/>
    <w:rsid w:val="008F1300"/>
    <w:rsid w:val="008F1563"/>
    <w:rsid w:val="008F18CA"/>
    <w:rsid w:val="008F1AB0"/>
    <w:rsid w:val="008F1EA4"/>
    <w:rsid w:val="008F2666"/>
    <w:rsid w:val="008F286E"/>
    <w:rsid w:val="008F2B09"/>
    <w:rsid w:val="008F35B5"/>
    <w:rsid w:val="008F3778"/>
    <w:rsid w:val="008F3817"/>
    <w:rsid w:val="008F3D28"/>
    <w:rsid w:val="008F4146"/>
    <w:rsid w:val="008F45BE"/>
    <w:rsid w:val="008F4B49"/>
    <w:rsid w:val="008F4BE6"/>
    <w:rsid w:val="008F5026"/>
    <w:rsid w:val="008F5345"/>
    <w:rsid w:val="008F5464"/>
    <w:rsid w:val="008F54C1"/>
    <w:rsid w:val="008F54F0"/>
    <w:rsid w:val="008F5A6E"/>
    <w:rsid w:val="008F5CE6"/>
    <w:rsid w:val="008F60D5"/>
    <w:rsid w:val="008F60F5"/>
    <w:rsid w:val="008F6214"/>
    <w:rsid w:val="008F62A1"/>
    <w:rsid w:val="008F67C4"/>
    <w:rsid w:val="008F67CF"/>
    <w:rsid w:val="008F6DBC"/>
    <w:rsid w:val="008F6EE6"/>
    <w:rsid w:val="008F71BD"/>
    <w:rsid w:val="008F7378"/>
    <w:rsid w:val="008F773C"/>
    <w:rsid w:val="008F78D6"/>
    <w:rsid w:val="008F79A0"/>
    <w:rsid w:val="0090006C"/>
    <w:rsid w:val="00900B03"/>
    <w:rsid w:val="00901145"/>
    <w:rsid w:val="00901D4A"/>
    <w:rsid w:val="0090234B"/>
    <w:rsid w:val="009023F9"/>
    <w:rsid w:val="0090266F"/>
    <w:rsid w:val="0090337C"/>
    <w:rsid w:val="00903515"/>
    <w:rsid w:val="009035B4"/>
    <w:rsid w:val="00903BCA"/>
    <w:rsid w:val="00904598"/>
    <w:rsid w:val="0090527B"/>
    <w:rsid w:val="00905620"/>
    <w:rsid w:val="00905743"/>
    <w:rsid w:val="00905ECE"/>
    <w:rsid w:val="0090605C"/>
    <w:rsid w:val="00906333"/>
    <w:rsid w:val="00906371"/>
    <w:rsid w:val="009067C5"/>
    <w:rsid w:val="009067ED"/>
    <w:rsid w:val="00906BCE"/>
    <w:rsid w:val="00907407"/>
    <w:rsid w:val="0090760B"/>
    <w:rsid w:val="00907659"/>
    <w:rsid w:val="0090785F"/>
    <w:rsid w:val="00907923"/>
    <w:rsid w:val="00907EBE"/>
    <w:rsid w:val="009101B1"/>
    <w:rsid w:val="0091063B"/>
    <w:rsid w:val="00911075"/>
    <w:rsid w:val="009113E6"/>
    <w:rsid w:val="0091177F"/>
    <w:rsid w:val="00911945"/>
    <w:rsid w:val="00911DAF"/>
    <w:rsid w:val="00912637"/>
    <w:rsid w:val="00912804"/>
    <w:rsid w:val="00912A27"/>
    <w:rsid w:val="00912A5B"/>
    <w:rsid w:val="00912A6C"/>
    <w:rsid w:val="00912DA6"/>
    <w:rsid w:val="00912DC5"/>
    <w:rsid w:val="009138B1"/>
    <w:rsid w:val="009139C5"/>
    <w:rsid w:val="00913CD1"/>
    <w:rsid w:val="00913D57"/>
    <w:rsid w:val="00913DE6"/>
    <w:rsid w:val="009144AF"/>
    <w:rsid w:val="009148D3"/>
    <w:rsid w:val="00914B4C"/>
    <w:rsid w:val="00915595"/>
    <w:rsid w:val="00915752"/>
    <w:rsid w:val="00915B47"/>
    <w:rsid w:val="00915D5A"/>
    <w:rsid w:val="00915E0D"/>
    <w:rsid w:val="00916472"/>
    <w:rsid w:val="0091685C"/>
    <w:rsid w:val="00916D7B"/>
    <w:rsid w:val="00916DF0"/>
    <w:rsid w:val="00916E29"/>
    <w:rsid w:val="0091705E"/>
    <w:rsid w:val="00917223"/>
    <w:rsid w:val="0092034C"/>
    <w:rsid w:val="009207E8"/>
    <w:rsid w:val="00920943"/>
    <w:rsid w:val="0092105F"/>
    <w:rsid w:val="009214A4"/>
    <w:rsid w:val="0092153C"/>
    <w:rsid w:val="009215E6"/>
    <w:rsid w:val="00921E3B"/>
    <w:rsid w:val="009221D3"/>
    <w:rsid w:val="009225DB"/>
    <w:rsid w:val="0092328E"/>
    <w:rsid w:val="0092330C"/>
    <w:rsid w:val="00923568"/>
    <w:rsid w:val="009237C2"/>
    <w:rsid w:val="0092380A"/>
    <w:rsid w:val="00923902"/>
    <w:rsid w:val="009239E8"/>
    <w:rsid w:val="00923F5A"/>
    <w:rsid w:val="00924235"/>
    <w:rsid w:val="0092476E"/>
    <w:rsid w:val="00925205"/>
    <w:rsid w:val="009253D8"/>
    <w:rsid w:val="009257EF"/>
    <w:rsid w:val="00926664"/>
    <w:rsid w:val="009267EF"/>
    <w:rsid w:val="009268FC"/>
    <w:rsid w:val="00926A7D"/>
    <w:rsid w:val="00926F3B"/>
    <w:rsid w:val="009272DD"/>
    <w:rsid w:val="009278CF"/>
    <w:rsid w:val="00927921"/>
    <w:rsid w:val="009279CD"/>
    <w:rsid w:val="00927A35"/>
    <w:rsid w:val="00927C3C"/>
    <w:rsid w:val="00927E1F"/>
    <w:rsid w:val="00930096"/>
    <w:rsid w:val="00930D87"/>
    <w:rsid w:val="00931089"/>
    <w:rsid w:val="0093111B"/>
    <w:rsid w:val="0093178B"/>
    <w:rsid w:val="0093218B"/>
    <w:rsid w:val="00932612"/>
    <w:rsid w:val="0093266A"/>
    <w:rsid w:val="0093278B"/>
    <w:rsid w:val="00932822"/>
    <w:rsid w:val="00932828"/>
    <w:rsid w:val="009332E8"/>
    <w:rsid w:val="00933575"/>
    <w:rsid w:val="009338F8"/>
    <w:rsid w:val="00933DEB"/>
    <w:rsid w:val="00933EF0"/>
    <w:rsid w:val="009346B6"/>
    <w:rsid w:val="009348D9"/>
    <w:rsid w:val="00934C4D"/>
    <w:rsid w:val="00934C4F"/>
    <w:rsid w:val="009350C6"/>
    <w:rsid w:val="00935349"/>
    <w:rsid w:val="009353FA"/>
    <w:rsid w:val="00935407"/>
    <w:rsid w:val="009354D9"/>
    <w:rsid w:val="00935FEA"/>
    <w:rsid w:val="009365A5"/>
    <w:rsid w:val="00936F59"/>
    <w:rsid w:val="009370CE"/>
    <w:rsid w:val="00937272"/>
    <w:rsid w:val="00937317"/>
    <w:rsid w:val="009377C0"/>
    <w:rsid w:val="00937A99"/>
    <w:rsid w:val="009400BF"/>
    <w:rsid w:val="009409B6"/>
    <w:rsid w:val="00940B15"/>
    <w:rsid w:val="00940ED8"/>
    <w:rsid w:val="00941464"/>
    <w:rsid w:val="009414D7"/>
    <w:rsid w:val="009419CD"/>
    <w:rsid w:val="00941CB7"/>
    <w:rsid w:val="00942428"/>
    <w:rsid w:val="009429C4"/>
    <w:rsid w:val="00942C22"/>
    <w:rsid w:val="00942D96"/>
    <w:rsid w:val="00943159"/>
    <w:rsid w:val="009434B9"/>
    <w:rsid w:val="009434CE"/>
    <w:rsid w:val="009435BC"/>
    <w:rsid w:val="0094374A"/>
    <w:rsid w:val="00943BC3"/>
    <w:rsid w:val="009444C2"/>
    <w:rsid w:val="00944673"/>
    <w:rsid w:val="00944751"/>
    <w:rsid w:val="009447E3"/>
    <w:rsid w:val="00944A91"/>
    <w:rsid w:val="0094500A"/>
    <w:rsid w:val="0094597B"/>
    <w:rsid w:val="00945F66"/>
    <w:rsid w:val="009462F5"/>
    <w:rsid w:val="0094635A"/>
    <w:rsid w:val="00946462"/>
    <w:rsid w:val="00946514"/>
    <w:rsid w:val="00946606"/>
    <w:rsid w:val="0094682C"/>
    <w:rsid w:val="009470DE"/>
    <w:rsid w:val="00947464"/>
    <w:rsid w:val="00947777"/>
    <w:rsid w:val="00947907"/>
    <w:rsid w:val="00947A68"/>
    <w:rsid w:val="00947D22"/>
    <w:rsid w:val="00950670"/>
    <w:rsid w:val="00952349"/>
    <w:rsid w:val="009529A0"/>
    <w:rsid w:val="00952E84"/>
    <w:rsid w:val="009530AE"/>
    <w:rsid w:val="00953574"/>
    <w:rsid w:val="0095371E"/>
    <w:rsid w:val="00953A30"/>
    <w:rsid w:val="0095418D"/>
    <w:rsid w:val="009543FF"/>
    <w:rsid w:val="00954A20"/>
    <w:rsid w:val="009551A2"/>
    <w:rsid w:val="009554F2"/>
    <w:rsid w:val="0095563D"/>
    <w:rsid w:val="0095568E"/>
    <w:rsid w:val="00955C65"/>
    <w:rsid w:val="00955E81"/>
    <w:rsid w:val="009564D1"/>
    <w:rsid w:val="00957622"/>
    <w:rsid w:val="00957CF8"/>
    <w:rsid w:val="00957EC2"/>
    <w:rsid w:val="0096028C"/>
    <w:rsid w:val="00960563"/>
    <w:rsid w:val="00960791"/>
    <w:rsid w:val="00960A3D"/>
    <w:rsid w:val="00960EA8"/>
    <w:rsid w:val="00960FA5"/>
    <w:rsid w:val="00961218"/>
    <w:rsid w:val="009613C1"/>
    <w:rsid w:val="009614F1"/>
    <w:rsid w:val="0096165E"/>
    <w:rsid w:val="009616E2"/>
    <w:rsid w:val="00961B9C"/>
    <w:rsid w:val="009622F3"/>
    <w:rsid w:val="00962304"/>
    <w:rsid w:val="00962B6C"/>
    <w:rsid w:val="00962F44"/>
    <w:rsid w:val="0096301A"/>
    <w:rsid w:val="0096313F"/>
    <w:rsid w:val="00963479"/>
    <w:rsid w:val="00964337"/>
    <w:rsid w:val="00964389"/>
    <w:rsid w:val="00964467"/>
    <w:rsid w:val="009650EF"/>
    <w:rsid w:val="00965331"/>
    <w:rsid w:val="00966052"/>
    <w:rsid w:val="009661D0"/>
    <w:rsid w:val="00966C36"/>
    <w:rsid w:val="00967139"/>
    <w:rsid w:val="0096727A"/>
    <w:rsid w:val="00967773"/>
    <w:rsid w:val="0096781B"/>
    <w:rsid w:val="00967D09"/>
    <w:rsid w:val="00970377"/>
    <w:rsid w:val="00970392"/>
    <w:rsid w:val="00970FC6"/>
    <w:rsid w:val="0097157E"/>
    <w:rsid w:val="00971A21"/>
    <w:rsid w:val="00972054"/>
    <w:rsid w:val="00972A1B"/>
    <w:rsid w:val="00972C44"/>
    <w:rsid w:val="009733AE"/>
    <w:rsid w:val="00973545"/>
    <w:rsid w:val="00973CBA"/>
    <w:rsid w:val="00973F8E"/>
    <w:rsid w:val="0097465C"/>
    <w:rsid w:val="009746F4"/>
    <w:rsid w:val="00975A9A"/>
    <w:rsid w:val="0097673A"/>
    <w:rsid w:val="00976F7F"/>
    <w:rsid w:val="009770CC"/>
    <w:rsid w:val="00977ABA"/>
    <w:rsid w:val="00980128"/>
    <w:rsid w:val="009801FC"/>
    <w:rsid w:val="0098085C"/>
    <w:rsid w:val="0098098C"/>
    <w:rsid w:val="00980EBD"/>
    <w:rsid w:val="00981344"/>
    <w:rsid w:val="009826D9"/>
    <w:rsid w:val="00983533"/>
    <w:rsid w:val="0098373B"/>
    <w:rsid w:val="0098393E"/>
    <w:rsid w:val="00983943"/>
    <w:rsid w:val="00983BF4"/>
    <w:rsid w:val="00983EBA"/>
    <w:rsid w:val="00983F8E"/>
    <w:rsid w:val="00984112"/>
    <w:rsid w:val="00984696"/>
    <w:rsid w:val="009846F6"/>
    <w:rsid w:val="00984892"/>
    <w:rsid w:val="00984D31"/>
    <w:rsid w:val="00984D7A"/>
    <w:rsid w:val="00984EE1"/>
    <w:rsid w:val="00984F46"/>
    <w:rsid w:val="00985040"/>
    <w:rsid w:val="009850B8"/>
    <w:rsid w:val="00985C15"/>
    <w:rsid w:val="00985F89"/>
    <w:rsid w:val="00986457"/>
    <w:rsid w:val="00986530"/>
    <w:rsid w:val="00986A78"/>
    <w:rsid w:val="00987332"/>
    <w:rsid w:val="0098777E"/>
    <w:rsid w:val="00987B7F"/>
    <w:rsid w:val="00987C13"/>
    <w:rsid w:val="00987E38"/>
    <w:rsid w:val="0099008A"/>
    <w:rsid w:val="00990411"/>
    <w:rsid w:val="00990413"/>
    <w:rsid w:val="009906A4"/>
    <w:rsid w:val="00990EE0"/>
    <w:rsid w:val="00990FC4"/>
    <w:rsid w:val="009911FD"/>
    <w:rsid w:val="0099178E"/>
    <w:rsid w:val="00991CCA"/>
    <w:rsid w:val="00992C25"/>
    <w:rsid w:val="00992C96"/>
    <w:rsid w:val="00993226"/>
    <w:rsid w:val="0099322F"/>
    <w:rsid w:val="00993A68"/>
    <w:rsid w:val="00993DE6"/>
    <w:rsid w:val="009945B3"/>
    <w:rsid w:val="00994809"/>
    <w:rsid w:val="00994831"/>
    <w:rsid w:val="00994CC6"/>
    <w:rsid w:val="00995180"/>
    <w:rsid w:val="00995427"/>
    <w:rsid w:val="0099549A"/>
    <w:rsid w:val="00995CEA"/>
    <w:rsid w:val="00995D5B"/>
    <w:rsid w:val="00995F52"/>
    <w:rsid w:val="009964BA"/>
    <w:rsid w:val="0099653D"/>
    <w:rsid w:val="009967CC"/>
    <w:rsid w:val="00996DE6"/>
    <w:rsid w:val="00997235"/>
    <w:rsid w:val="00997540"/>
    <w:rsid w:val="009976BD"/>
    <w:rsid w:val="00997F4F"/>
    <w:rsid w:val="009A09B7"/>
    <w:rsid w:val="009A0ECF"/>
    <w:rsid w:val="009A1119"/>
    <w:rsid w:val="009A1369"/>
    <w:rsid w:val="009A1547"/>
    <w:rsid w:val="009A177E"/>
    <w:rsid w:val="009A1A84"/>
    <w:rsid w:val="009A28BA"/>
    <w:rsid w:val="009A2FDC"/>
    <w:rsid w:val="009A35B0"/>
    <w:rsid w:val="009A35CA"/>
    <w:rsid w:val="009A4096"/>
    <w:rsid w:val="009A4B84"/>
    <w:rsid w:val="009A4E1D"/>
    <w:rsid w:val="009A5151"/>
    <w:rsid w:val="009A58B0"/>
    <w:rsid w:val="009A5D53"/>
    <w:rsid w:val="009A5D7A"/>
    <w:rsid w:val="009A5F87"/>
    <w:rsid w:val="009A5F8E"/>
    <w:rsid w:val="009A62F4"/>
    <w:rsid w:val="009A6C43"/>
    <w:rsid w:val="009A6F6B"/>
    <w:rsid w:val="009A6FFE"/>
    <w:rsid w:val="009A774C"/>
    <w:rsid w:val="009A7C0B"/>
    <w:rsid w:val="009A7CE0"/>
    <w:rsid w:val="009A7CFC"/>
    <w:rsid w:val="009B008F"/>
    <w:rsid w:val="009B0233"/>
    <w:rsid w:val="009B043E"/>
    <w:rsid w:val="009B06CF"/>
    <w:rsid w:val="009B0B9C"/>
    <w:rsid w:val="009B0BCE"/>
    <w:rsid w:val="009B0BD8"/>
    <w:rsid w:val="009B0BF5"/>
    <w:rsid w:val="009B1134"/>
    <w:rsid w:val="009B1990"/>
    <w:rsid w:val="009B377B"/>
    <w:rsid w:val="009B3A98"/>
    <w:rsid w:val="009B3D5F"/>
    <w:rsid w:val="009B446F"/>
    <w:rsid w:val="009B4F17"/>
    <w:rsid w:val="009B4F9E"/>
    <w:rsid w:val="009B4FE5"/>
    <w:rsid w:val="009B5A8F"/>
    <w:rsid w:val="009B5D53"/>
    <w:rsid w:val="009B6113"/>
    <w:rsid w:val="009B6501"/>
    <w:rsid w:val="009B6C22"/>
    <w:rsid w:val="009B6CB5"/>
    <w:rsid w:val="009B6EFC"/>
    <w:rsid w:val="009B73AE"/>
    <w:rsid w:val="009B751C"/>
    <w:rsid w:val="009B7771"/>
    <w:rsid w:val="009B78A4"/>
    <w:rsid w:val="009B7E53"/>
    <w:rsid w:val="009B7F61"/>
    <w:rsid w:val="009C015B"/>
    <w:rsid w:val="009C01BD"/>
    <w:rsid w:val="009C01DD"/>
    <w:rsid w:val="009C06CE"/>
    <w:rsid w:val="009C1390"/>
    <w:rsid w:val="009C15E8"/>
    <w:rsid w:val="009C16CD"/>
    <w:rsid w:val="009C17E5"/>
    <w:rsid w:val="009C1A1A"/>
    <w:rsid w:val="009C22D6"/>
    <w:rsid w:val="009C2581"/>
    <w:rsid w:val="009C281D"/>
    <w:rsid w:val="009C28A4"/>
    <w:rsid w:val="009C2B38"/>
    <w:rsid w:val="009C30CF"/>
    <w:rsid w:val="009C3444"/>
    <w:rsid w:val="009C3781"/>
    <w:rsid w:val="009C385C"/>
    <w:rsid w:val="009C3C1A"/>
    <w:rsid w:val="009C4096"/>
    <w:rsid w:val="009C4947"/>
    <w:rsid w:val="009C4C59"/>
    <w:rsid w:val="009C5383"/>
    <w:rsid w:val="009C539A"/>
    <w:rsid w:val="009C53D5"/>
    <w:rsid w:val="009C5643"/>
    <w:rsid w:val="009C5B64"/>
    <w:rsid w:val="009C5E7B"/>
    <w:rsid w:val="009C6040"/>
    <w:rsid w:val="009C65E7"/>
    <w:rsid w:val="009C6BF6"/>
    <w:rsid w:val="009C6C0E"/>
    <w:rsid w:val="009C6C69"/>
    <w:rsid w:val="009C6D9F"/>
    <w:rsid w:val="009C7264"/>
    <w:rsid w:val="009C72FB"/>
    <w:rsid w:val="009C7783"/>
    <w:rsid w:val="009C7897"/>
    <w:rsid w:val="009C7BC8"/>
    <w:rsid w:val="009D032A"/>
    <w:rsid w:val="009D04C7"/>
    <w:rsid w:val="009D05F9"/>
    <w:rsid w:val="009D08B1"/>
    <w:rsid w:val="009D0ADE"/>
    <w:rsid w:val="009D0B13"/>
    <w:rsid w:val="009D20E0"/>
    <w:rsid w:val="009D315F"/>
    <w:rsid w:val="009D33C3"/>
    <w:rsid w:val="009D3A1D"/>
    <w:rsid w:val="009D3FF3"/>
    <w:rsid w:val="009D424A"/>
    <w:rsid w:val="009D471A"/>
    <w:rsid w:val="009D4D91"/>
    <w:rsid w:val="009D4EFF"/>
    <w:rsid w:val="009D5361"/>
    <w:rsid w:val="009D564A"/>
    <w:rsid w:val="009D641B"/>
    <w:rsid w:val="009D67EF"/>
    <w:rsid w:val="009D6D1E"/>
    <w:rsid w:val="009D6E84"/>
    <w:rsid w:val="009D73F2"/>
    <w:rsid w:val="009D7B22"/>
    <w:rsid w:val="009D7E09"/>
    <w:rsid w:val="009E00C8"/>
    <w:rsid w:val="009E04D4"/>
    <w:rsid w:val="009E0708"/>
    <w:rsid w:val="009E095D"/>
    <w:rsid w:val="009E100C"/>
    <w:rsid w:val="009E1296"/>
    <w:rsid w:val="009E1888"/>
    <w:rsid w:val="009E19E0"/>
    <w:rsid w:val="009E1E01"/>
    <w:rsid w:val="009E22FD"/>
    <w:rsid w:val="009E2416"/>
    <w:rsid w:val="009E2AC9"/>
    <w:rsid w:val="009E2B1B"/>
    <w:rsid w:val="009E2FF5"/>
    <w:rsid w:val="009E3D4A"/>
    <w:rsid w:val="009E4841"/>
    <w:rsid w:val="009E4D8C"/>
    <w:rsid w:val="009E4FC9"/>
    <w:rsid w:val="009E561F"/>
    <w:rsid w:val="009E6502"/>
    <w:rsid w:val="009E655A"/>
    <w:rsid w:val="009E6EA2"/>
    <w:rsid w:val="009E79A0"/>
    <w:rsid w:val="009E7ABF"/>
    <w:rsid w:val="009F000F"/>
    <w:rsid w:val="009F0146"/>
    <w:rsid w:val="009F1934"/>
    <w:rsid w:val="009F1B0D"/>
    <w:rsid w:val="009F1F30"/>
    <w:rsid w:val="009F224F"/>
    <w:rsid w:val="009F2453"/>
    <w:rsid w:val="009F2467"/>
    <w:rsid w:val="009F2A02"/>
    <w:rsid w:val="009F2A77"/>
    <w:rsid w:val="009F3414"/>
    <w:rsid w:val="009F368A"/>
    <w:rsid w:val="009F3D2F"/>
    <w:rsid w:val="009F3FBC"/>
    <w:rsid w:val="009F446F"/>
    <w:rsid w:val="009F4515"/>
    <w:rsid w:val="009F4BB8"/>
    <w:rsid w:val="009F5231"/>
    <w:rsid w:val="009F587F"/>
    <w:rsid w:val="009F59B1"/>
    <w:rsid w:val="009F5CDC"/>
    <w:rsid w:val="009F5D43"/>
    <w:rsid w:val="009F6020"/>
    <w:rsid w:val="009F6877"/>
    <w:rsid w:val="009F6893"/>
    <w:rsid w:val="009F690A"/>
    <w:rsid w:val="009F6DAD"/>
    <w:rsid w:val="009F6FCB"/>
    <w:rsid w:val="009F70F9"/>
    <w:rsid w:val="009F7710"/>
    <w:rsid w:val="009F7CAC"/>
    <w:rsid w:val="00A002FD"/>
    <w:rsid w:val="00A0046D"/>
    <w:rsid w:val="00A01161"/>
    <w:rsid w:val="00A012BB"/>
    <w:rsid w:val="00A014C3"/>
    <w:rsid w:val="00A0171C"/>
    <w:rsid w:val="00A01A51"/>
    <w:rsid w:val="00A01A6F"/>
    <w:rsid w:val="00A0260A"/>
    <w:rsid w:val="00A0268A"/>
    <w:rsid w:val="00A02AE2"/>
    <w:rsid w:val="00A032D3"/>
    <w:rsid w:val="00A038CC"/>
    <w:rsid w:val="00A044A1"/>
    <w:rsid w:val="00A04D53"/>
    <w:rsid w:val="00A05136"/>
    <w:rsid w:val="00A05F06"/>
    <w:rsid w:val="00A06219"/>
    <w:rsid w:val="00A0757A"/>
    <w:rsid w:val="00A075A3"/>
    <w:rsid w:val="00A0763F"/>
    <w:rsid w:val="00A077DC"/>
    <w:rsid w:val="00A07AB9"/>
    <w:rsid w:val="00A07AE9"/>
    <w:rsid w:val="00A07B29"/>
    <w:rsid w:val="00A07C96"/>
    <w:rsid w:val="00A1024C"/>
    <w:rsid w:val="00A102B1"/>
    <w:rsid w:val="00A1096A"/>
    <w:rsid w:val="00A109A0"/>
    <w:rsid w:val="00A10E5C"/>
    <w:rsid w:val="00A11547"/>
    <w:rsid w:val="00A115E1"/>
    <w:rsid w:val="00A11911"/>
    <w:rsid w:val="00A11A8E"/>
    <w:rsid w:val="00A11DBB"/>
    <w:rsid w:val="00A12169"/>
    <w:rsid w:val="00A122B0"/>
    <w:rsid w:val="00A122BF"/>
    <w:rsid w:val="00A12FAC"/>
    <w:rsid w:val="00A1321B"/>
    <w:rsid w:val="00A133FF"/>
    <w:rsid w:val="00A1393D"/>
    <w:rsid w:val="00A13CA8"/>
    <w:rsid w:val="00A13E0A"/>
    <w:rsid w:val="00A13FEF"/>
    <w:rsid w:val="00A14012"/>
    <w:rsid w:val="00A147EB"/>
    <w:rsid w:val="00A14992"/>
    <w:rsid w:val="00A14D22"/>
    <w:rsid w:val="00A14D61"/>
    <w:rsid w:val="00A14DF6"/>
    <w:rsid w:val="00A1576A"/>
    <w:rsid w:val="00A157AC"/>
    <w:rsid w:val="00A158D2"/>
    <w:rsid w:val="00A15938"/>
    <w:rsid w:val="00A1660B"/>
    <w:rsid w:val="00A16640"/>
    <w:rsid w:val="00A16855"/>
    <w:rsid w:val="00A168F1"/>
    <w:rsid w:val="00A169B3"/>
    <w:rsid w:val="00A17464"/>
    <w:rsid w:val="00A1783D"/>
    <w:rsid w:val="00A178DB"/>
    <w:rsid w:val="00A2001F"/>
    <w:rsid w:val="00A20098"/>
    <w:rsid w:val="00A200FD"/>
    <w:rsid w:val="00A206A9"/>
    <w:rsid w:val="00A20828"/>
    <w:rsid w:val="00A20D6C"/>
    <w:rsid w:val="00A21058"/>
    <w:rsid w:val="00A21148"/>
    <w:rsid w:val="00A21583"/>
    <w:rsid w:val="00A219FD"/>
    <w:rsid w:val="00A21D83"/>
    <w:rsid w:val="00A2205A"/>
    <w:rsid w:val="00A2239A"/>
    <w:rsid w:val="00A22F58"/>
    <w:rsid w:val="00A23263"/>
    <w:rsid w:val="00A23358"/>
    <w:rsid w:val="00A2369F"/>
    <w:rsid w:val="00A23A9F"/>
    <w:rsid w:val="00A24335"/>
    <w:rsid w:val="00A24529"/>
    <w:rsid w:val="00A247C5"/>
    <w:rsid w:val="00A24BBA"/>
    <w:rsid w:val="00A24CB8"/>
    <w:rsid w:val="00A24E81"/>
    <w:rsid w:val="00A24F45"/>
    <w:rsid w:val="00A25209"/>
    <w:rsid w:val="00A252AE"/>
    <w:rsid w:val="00A253AC"/>
    <w:rsid w:val="00A257D1"/>
    <w:rsid w:val="00A25DEF"/>
    <w:rsid w:val="00A26093"/>
    <w:rsid w:val="00A26170"/>
    <w:rsid w:val="00A26177"/>
    <w:rsid w:val="00A26323"/>
    <w:rsid w:val="00A263EB"/>
    <w:rsid w:val="00A26A18"/>
    <w:rsid w:val="00A26A4C"/>
    <w:rsid w:val="00A2709E"/>
    <w:rsid w:val="00A27142"/>
    <w:rsid w:val="00A272F8"/>
    <w:rsid w:val="00A2752C"/>
    <w:rsid w:val="00A27792"/>
    <w:rsid w:val="00A27896"/>
    <w:rsid w:val="00A30290"/>
    <w:rsid w:val="00A3053B"/>
    <w:rsid w:val="00A30613"/>
    <w:rsid w:val="00A30AA2"/>
    <w:rsid w:val="00A30FB9"/>
    <w:rsid w:val="00A31DBF"/>
    <w:rsid w:val="00A31E63"/>
    <w:rsid w:val="00A32465"/>
    <w:rsid w:val="00A32625"/>
    <w:rsid w:val="00A331C8"/>
    <w:rsid w:val="00A3330A"/>
    <w:rsid w:val="00A3374E"/>
    <w:rsid w:val="00A337C0"/>
    <w:rsid w:val="00A33B0C"/>
    <w:rsid w:val="00A33BD1"/>
    <w:rsid w:val="00A33FED"/>
    <w:rsid w:val="00A3414F"/>
    <w:rsid w:val="00A348A3"/>
    <w:rsid w:val="00A3499F"/>
    <w:rsid w:val="00A34BF9"/>
    <w:rsid w:val="00A3558D"/>
    <w:rsid w:val="00A35BDE"/>
    <w:rsid w:val="00A35E05"/>
    <w:rsid w:val="00A35E90"/>
    <w:rsid w:val="00A35F5A"/>
    <w:rsid w:val="00A35FE9"/>
    <w:rsid w:val="00A369EF"/>
    <w:rsid w:val="00A37007"/>
    <w:rsid w:val="00A37866"/>
    <w:rsid w:val="00A37999"/>
    <w:rsid w:val="00A379C7"/>
    <w:rsid w:val="00A37C7C"/>
    <w:rsid w:val="00A408C8"/>
    <w:rsid w:val="00A40BAA"/>
    <w:rsid w:val="00A40F85"/>
    <w:rsid w:val="00A40F94"/>
    <w:rsid w:val="00A41924"/>
    <w:rsid w:val="00A41A3C"/>
    <w:rsid w:val="00A423B0"/>
    <w:rsid w:val="00A42667"/>
    <w:rsid w:val="00A42F5B"/>
    <w:rsid w:val="00A4316A"/>
    <w:rsid w:val="00A431BA"/>
    <w:rsid w:val="00A43499"/>
    <w:rsid w:val="00A43EC7"/>
    <w:rsid w:val="00A44216"/>
    <w:rsid w:val="00A44409"/>
    <w:rsid w:val="00A4457E"/>
    <w:rsid w:val="00A44871"/>
    <w:rsid w:val="00A44E6D"/>
    <w:rsid w:val="00A45015"/>
    <w:rsid w:val="00A4505B"/>
    <w:rsid w:val="00A4537B"/>
    <w:rsid w:val="00A453B0"/>
    <w:rsid w:val="00A454FC"/>
    <w:rsid w:val="00A4565F"/>
    <w:rsid w:val="00A456A3"/>
    <w:rsid w:val="00A45846"/>
    <w:rsid w:val="00A45EF0"/>
    <w:rsid w:val="00A45F6E"/>
    <w:rsid w:val="00A46195"/>
    <w:rsid w:val="00A46A4C"/>
    <w:rsid w:val="00A46E0B"/>
    <w:rsid w:val="00A4766A"/>
    <w:rsid w:val="00A502BA"/>
    <w:rsid w:val="00A50371"/>
    <w:rsid w:val="00A505C0"/>
    <w:rsid w:val="00A5060F"/>
    <w:rsid w:val="00A50660"/>
    <w:rsid w:val="00A50681"/>
    <w:rsid w:val="00A5082F"/>
    <w:rsid w:val="00A508DC"/>
    <w:rsid w:val="00A510DE"/>
    <w:rsid w:val="00A51B2A"/>
    <w:rsid w:val="00A51B53"/>
    <w:rsid w:val="00A521C1"/>
    <w:rsid w:val="00A522B0"/>
    <w:rsid w:val="00A5235B"/>
    <w:rsid w:val="00A52966"/>
    <w:rsid w:val="00A52B98"/>
    <w:rsid w:val="00A5372B"/>
    <w:rsid w:val="00A545BF"/>
    <w:rsid w:val="00A54B50"/>
    <w:rsid w:val="00A54D6B"/>
    <w:rsid w:val="00A54DDA"/>
    <w:rsid w:val="00A550B8"/>
    <w:rsid w:val="00A55A10"/>
    <w:rsid w:val="00A55DC8"/>
    <w:rsid w:val="00A55ED3"/>
    <w:rsid w:val="00A5632B"/>
    <w:rsid w:val="00A563D3"/>
    <w:rsid w:val="00A56579"/>
    <w:rsid w:val="00A56726"/>
    <w:rsid w:val="00A56765"/>
    <w:rsid w:val="00A56AC5"/>
    <w:rsid w:val="00A574F0"/>
    <w:rsid w:val="00A57755"/>
    <w:rsid w:val="00A57B63"/>
    <w:rsid w:val="00A57BA9"/>
    <w:rsid w:val="00A60132"/>
    <w:rsid w:val="00A60939"/>
    <w:rsid w:val="00A60A0F"/>
    <w:rsid w:val="00A60A69"/>
    <w:rsid w:val="00A617E7"/>
    <w:rsid w:val="00A619F3"/>
    <w:rsid w:val="00A61DC9"/>
    <w:rsid w:val="00A61F1E"/>
    <w:rsid w:val="00A61F43"/>
    <w:rsid w:val="00A62ED1"/>
    <w:rsid w:val="00A633E0"/>
    <w:rsid w:val="00A63601"/>
    <w:rsid w:val="00A63B2D"/>
    <w:rsid w:val="00A63D29"/>
    <w:rsid w:val="00A6404F"/>
    <w:rsid w:val="00A640B5"/>
    <w:rsid w:val="00A64426"/>
    <w:rsid w:val="00A64468"/>
    <w:rsid w:val="00A64728"/>
    <w:rsid w:val="00A64904"/>
    <w:rsid w:val="00A64C1C"/>
    <w:rsid w:val="00A64CBA"/>
    <w:rsid w:val="00A64E4E"/>
    <w:rsid w:val="00A659D8"/>
    <w:rsid w:val="00A65AFA"/>
    <w:rsid w:val="00A65B38"/>
    <w:rsid w:val="00A65E89"/>
    <w:rsid w:val="00A66603"/>
    <w:rsid w:val="00A66D4C"/>
    <w:rsid w:val="00A67379"/>
    <w:rsid w:val="00A67676"/>
    <w:rsid w:val="00A67BCA"/>
    <w:rsid w:val="00A67CCE"/>
    <w:rsid w:val="00A70054"/>
    <w:rsid w:val="00A70EBC"/>
    <w:rsid w:val="00A70FE3"/>
    <w:rsid w:val="00A710D0"/>
    <w:rsid w:val="00A7118D"/>
    <w:rsid w:val="00A71339"/>
    <w:rsid w:val="00A7135B"/>
    <w:rsid w:val="00A71759"/>
    <w:rsid w:val="00A71A83"/>
    <w:rsid w:val="00A72091"/>
    <w:rsid w:val="00A723BF"/>
    <w:rsid w:val="00A72469"/>
    <w:rsid w:val="00A72829"/>
    <w:rsid w:val="00A72BFA"/>
    <w:rsid w:val="00A72CAF"/>
    <w:rsid w:val="00A730EA"/>
    <w:rsid w:val="00A73139"/>
    <w:rsid w:val="00A7374F"/>
    <w:rsid w:val="00A73894"/>
    <w:rsid w:val="00A73993"/>
    <w:rsid w:val="00A73BB9"/>
    <w:rsid w:val="00A73F82"/>
    <w:rsid w:val="00A742B1"/>
    <w:rsid w:val="00A74CDF"/>
    <w:rsid w:val="00A75408"/>
    <w:rsid w:val="00A75598"/>
    <w:rsid w:val="00A756D0"/>
    <w:rsid w:val="00A75BCB"/>
    <w:rsid w:val="00A75CC3"/>
    <w:rsid w:val="00A75E56"/>
    <w:rsid w:val="00A75F1D"/>
    <w:rsid w:val="00A75F8C"/>
    <w:rsid w:val="00A761CF"/>
    <w:rsid w:val="00A7631D"/>
    <w:rsid w:val="00A7667E"/>
    <w:rsid w:val="00A76D19"/>
    <w:rsid w:val="00A775E6"/>
    <w:rsid w:val="00A7768F"/>
    <w:rsid w:val="00A7771D"/>
    <w:rsid w:val="00A80BF6"/>
    <w:rsid w:val="00A80E98"/>
    <w:rsid w:val="00A80F4A"/>
    <w:rsid w:val="00A81694"/>
    <w:rsid w:val="00A81791"/>
    <w:rsid w:val="00A817CD"/>
    <w:rsid w:val="00A818A0"/>
    <w:rsid w:val="00A81935"/>
    <w:rsid w:val="00A82113"/>
    <w:rsid w:val="00A825A5"/>
    <w:rsid w:val="00A82899"/>
    <w:rsid w:val="00A82D87"/>
    <w:rsid w:val="00A83251"/>
    <w:rsid w:val="00A83ACB"/>
    <w:rsid w:val="00A844C2"/>
    <w:rsid w:val="00A84BBC"/>
    <w:rsid w:val="00A85698"/>
    <w:rsid w:val="00A859E4"/>
    <w:rsid w:val="00A85BDC"/>
    <w:rsid w:val="00A85C83"/>
    <w:rsid w:val="00A85CBA"/>
    <w:rsid w:val="00A861BB"/>
    <w:rsid w:val="00A8620B"/>
    <w:rsid w:val="00A866EE"/>
    <w:rsid w:val="00A8686B"/>
    <w:rsid w:val="00A875BA"/>
    <w:rsid w:val="00A875BE"/>
    <w:rsid w:val="00A87D9B"/>
    <w:rsid w:val="00A87DB4"/>
    <w:rsid w:val="00A901A1"/>
    <w:rsid w:val="00A9043C"/>
    <w:rsid w:val="00A90BEF"/>
    <w:rsid w:val="00A90D4F"/>
    <w:rsid w:val="00A90DF4"/>
    <w:rsid w:val="00A9166F"/>
    <w:rsid w:val="00A91DEE"/>
    <w:rsid w:val="00A92531"/>
    <w:rsid w:val="00A92A1A"/>
    <w:rsid w:val="00A937D2"/>
    <w:rsid w:val="00A94191"/>
    <w:rsid w:val="00A9428C"/>
    <w:rsid w:val="00A94A38"/>
    <w:rsid w:val="00A94E56"/>
    <w:rsid w:val="00A956DD"/>
    <w:rsid w:val="00A95A68"/>
    <w:rsid w:val="00A95ACC"/>
    <w:rsid w:val="00A95F24"/>
    <w:rsid w:val="00A96451"/>
    <w:rsid w:val="00A96524"/>
    <w:rsid w:val="00A9665E"/>
    <w:rsid w:val="00A96673"/>
    <w:rsid w:val="00A96DEB"/>
    <w:rsid w:val="00A96E97"/>
    <w:rsid w:val="00A96F5F"/>
    <w:rsid w:val="00A97168"/>
    <w:rsid w:val="00A9755C"/>
    <w:rsid w:val="00A978CC"/>
    <w:rsid w:val="00A97A15"/>
    <w:rsid w:val="00A97A3F"/>
    <w:rsid w:val="00A97BF0"/>
    <w:rsid w:val="00AA00E4"/>
    <w:rsid w:val="00AA0275"/>
    <w:rsid w:val="00AA04F7"/>
    <w:rsid w:val="00AA06BA"/>
    <w:rsid w:val="00AA0AD4"/>
    <w:rsid w:val="00AA0CBC"/>
    <w:rsid w:val="00AA0E60"/>
    <w:rsid w:val="00AA0EF1"/>
    <w:rsid w:val="00AA15D3"/>
    <w:rsid w:val="00AA1639"/>
    <w:rsid w:val="00AA165D"/>
    <w:rsid w:val="00AA1F49"/>
    <w:rsid w:val="00AA21D3"/>
    <w:rsid w:val="00AA2482"/>
    <w:rsid w:val="00AA25C1"/>
    <w:rsid w:val="00AA2EEE"/>
    <w:rsid w:val="00AA31A5"/>
    <w:rsid w:val="00AA3BB3"/>
    <w:rsid w:val="00AA42BD"/>
    <w:rsid w:val="00AA4F20"/>
    <w:rsid w:val="00AA617C"/>
    <w:rsid w:val="00AA626C"/>
    <w:rsid w:val="00AA65C9"/>
    <w:rsid w:val="00AA6BD8"/>
    <w:rsid w:val="00AA7B21"/>
    <w:rsid w:val="00AA7ED7"/>
    <w:rsid w:val="00AA7EE4"/>
    <w:rsid w:val="00AB0537"/>
    <w:rsid w:val="00AB06EC"/>
    <w:rsid w:val="00AB0845"/>
    <w:rsid w:val="00AB08D7"/>
    <w:rsid w:val="00AB0984"/>
    <w:rsid w:val="00AB0DC4"/>
    <w:rsid w:val="00AB0EFB"/>
    <w:rsid w:val="00AB28F6"/>
    <w:rsid w:val="00AB2949"/>
    <w:rsid w:val="00AB2B40"/>
    <w:rsid w:val="00AB2B51"/>
    <w:rsid w:val="00AB2C97"/>
    <w:rsid w:val="00AB304A"/>
    <w:rsid w:val="00AB331C"/>
    <w:rsid w:val="00AB34E3"/>
    <w:rsid w:val="00AB3533"/>
    <w:rsid w:val="00AB354B"/>
    <w:rsid w:val="00AB3B1C"/>
    <w:rsid w:val="00AB3B95"/>
    <w:rsid w:val="00AB45BE"/>
    <w:rsid w:val="00AB4670"/>
    <w:rsid w:val="00AB4835"/>
    <w:rsid w:val="00AB4A4E"/>
    <w:rsid w:val="00AB4CB4"/>
    <w:rsid w:val="00AB4DB7"/>
    <w:rsid w:val="00AB4EBF"/>
    <w:rsid w:val="00AB5709"/>
    <w:rsid w:val="00AB57DC"/>
    <w:rsid w:val="00AB592A"/>
    <w:rsid w:val="00AB5AA7"/>
    <w:rsid w:val="00AB5C1D"/>
    <w:rsid w:val="00AB5C38"/>
    <w:rsid w:val="00AB751C"/>
    <w:rsid w:val="00AB7625"/>
    <w:rsid w:val="00AB7910"/>
    <w:rsid w:val="00AB7C8E"/>
    <w:rsid w:val="00AC0214"/>
    <w:rsid w:val="00AC0251"/>
    <w:rsid w:val="00AC0646"/>
    <w:rsid w:val="00AC06D6"/>
    <w:rsid w:val="00AC0996"/>
    <w:rsid w:val="00AC0BA3"/>
    <w:rsid w:val="00AC0E98"/>
    <w:rsid w:val="00AC1341"/>
    <w:rsid w:val="00AC146B"/>
    <w:rsid w:val="00AC1919"/>
    <w:rsid w:val="00AC19A1"/>
    <w:rsid w:val="00AC1FB2"/>
    <w:rsid w:val="00AC24B4"/>
    <w:rsid w:val="00AC2A78"/>
    <w:rsid w:val="00AC2C4C"/>
    <w:rsid w:val="00AC2C5B"/>
    <w:rsid w:val="00AC2D57"/>
    <w:rsid w:val="00AC2DCB"/>
    <w:rsid w:val="00AC3531"/>
    <w:rsid w:val="00AC3665"/>
    <w:rsid w:val="00AC38A9"/>
    <w:rsid w:val="00AC3BC2"/>
    <w:rsid w:val="00AC40CC"/>
    <w:rsid w:val="00AC4122"/>
    <w:rsid w:val="00AC4C3A"/>
    <w:rsid w:val="00AC4DEF"/>
    <w:rsid w:val="00AC4F21"/>
    <w:rsid w:val="00AC4FD5"/>
    <w:rsid w:val="00AC4FF5"/>
    <w:rsid w:val="00AC547E"/>
    <w:rsid w:val="00AC54F6"/>
    <w:rsid w:val="00AC5642"/>
    <w:rsid w:val="00AC61B7"/>
    <w:rsid w:val="00AC6345"/>
    <w:rsid w:val="00AC656B"/>
    <w:rsid w:val="00AC67DD"/>
    <w:rsid w:val="00AC7039"/>
    <w:rsid w:val="00AC7174"/>
    <w:rsid w:val="00AC7595"/>
    <w:rsid w:val="00AC7801"/>
    <w:rsid w:val="00AC79F8"/>
    <w:rsid w:val="00AC7F37"/>
    <w:rsid w:val="00AD004B"/>
    <w:rsid w:val="00AD049F"/>
    <w:rsid w:val="00AD0C1E"/>
    <w:rsid w:val="00AD0E10"/>
    <w:rsid w:val="00AD12B8"/>
    <w:rsid w:val="00AD2D23"/>
    <w:rsid w:val="00AD2DBB"/>
    <w:rsid w:val="00AD2EFE"/>
    <w:rsid w:val="00AD317F"/>
    <w:rsid w:val="00AD4106"/>
    <w:rsid w:val="00AD4620"/>
    <w:rsid w:val="00AD4C1D"/>
    <w:rsid w:val="00AD5BF8"/>
    <w:rsid w:val="00AD5E5E"/>
    <w:rsid w:val="00AD602C"/>
    <w:rsid w:val="00AD6141"/>
    <w:rsid w:val="00AD62A3"/>
    <w:rsid w:val="00AD657D"/>
    <w:rsid w:val="00AD660E"/>
    <w:rsid w:val="00AD6D8B"/>
    <w:rsid w:val="00AD6FA9"/>
    <w:rsid w:val="00AD6FC8"/>
    <w:rsid w:val="00AD739E"/>
    <w:rsid w:val="00AD7C60"/>
    <w:rsid w:val="00AE013C"/>
    <w:rsid w:val="00AE0375"/>
    <w:rsid w:val="00AE044B"/>
    <w:rsid w:val="00AE061D"/>
    <w:rsid w:val="00AE06C9"/>
    <w:rsid w:val="00AE0777"/>
    <w:rsid w:val="00AE0879"/>
    <w:rsid w:val="00AE0B80"/>
    <w:rsid w:val="00AE137C"/>
    <w:rsid w:val="00AE13AD"/>
    <w:rsid w:val="00AE1601"/>
    <w:rsid w:val="00AE18EF"/>
    <w:rsid w:val="00AE1DA7"/>
    <w:rsid w:val="00AE20B3"/>
    <w:rsid w:val="00AE228C"/>
    <w:rsid w:val="00AE2757"/>
    <w:rsid w:val="00AE2DB2"/>
    <w:rsid w:val="00AE31F9"/>
    <w:rsid w:val="00AE3435"/>
    <w:rsid w:val="00AE34E1"/>
    <w:rsid w:val="00AE3C76"/>
    <w:rsid w:val="00AE3D7A"/>
    <w:rsid w:val="00AE4060"/>
    <w:rsid w:val="00AE4B0F"/>
    <w:rsid w:val="00AE4F52"/>
    <w:rsid w:val="00AE5F79"/>
    <w:rsid w:val="00AE6AA2"/>
    <w:rsid w:val="00AE6CA7"/>
    <w:rsid w:val="00AE7293"/>
    <w:rsid w:val="00AE761B"/>
    <w:rsid w:val="00AF0080"/>
    <w:rsid w:val="00AF020A"/>
    <w:rsid w:val="00AF0365"/>
    <w:rsid w:val="00AF0760"/>
    <w:rsid w:val="00AF0B54"/>
    <w:rsid w:val="00AF0D06"/>
    <w:rsid w:val="00AF0F01"/>
    <w:rsid w:val="00AF1227"/>
    <w:rsid w:val="00AF1AF2"/>
    <w:rsid w:val="00AF1E4E"/>
    <w:rsid w:val="00AF22DA"/>
    <w:rsid w:val="00AF306E"/>
    <w:rsid w:val="00AF3538"/>
    <w:rsid w:val="00AF387E"/>
    <w:rsid w:val="00AF39AD"/>
    <w:rsid w:val="00AF3B0A"/>
    <w:rsid w:val="00AF4055"/>
    <w:rsid w:val="00AF40DB"/>
    <w:rsid w:val="00AF4110"/>
    <w:rsid w:val="00AF45F2"/>
    <w:rsid w:val="00AF4672"/>
    <w:rsid w:val="00AF4A64"/>
    <w:rsid w:val="00AF550D"/>
    <w:rsid w:val="00AF5F2C"/>
    <w:rsid w:val="00AF6052"/>
    <w:rsid w:val="00AF614E"/>
    <w:rsid w:val="00AF638E"/>
    <w:rsid w:val="00AF63CB"/>
    <w:rsid w:val="00AF6717"/>
    <w:rsid w:val="00AF715D"/>
    <w:rsid w:val="00AF7FE0"/>
    <w:rsid w:val="00B001A4"/>
    <w:rsid w:val="00B00499"/>
    <w:rsid w:val="00B006BD"/>
    <w:rsid w:val="00B0084A"/>
    <w:rsid w:val="00B01065"/>
    <w:rsid w:val="00B01112"/>
    <w:rsid w:val="00B01C92"/>
    <w:rsid w:val="00B024DF"/>
    <w:rsid w:val="00B0257E"/>
    <w:rsid w:val="00B02B74"/>
    <w:rsid w:val="00B035BC"/>
    <w:rsid w:val="00B03661"/>
    <w:rsid w:val="00B03856"/>
    <w:rsid w:val="00B042C2"/>
    <w:rsid w:val="00B04665"/>
    <w:rsid w:val="00B04C1F"/>
    <w:rsid w:val="00B04C3B"/>
    <w:rsid w:val="00B04F8B"/>
    <w:rsid w:val="00B057B8"/>
    <w:rsid w:val="00B05899"/>
    <w:rsid w:val="00B059B9"/>
    <w:rsid w:val="00B0678A"/>
    <w:rsid w:val="00B06859"/>
    <w:rsid w:val="00B06C77"/>
    <w:rsid w:val="00B0744B"/>
    <w:rsid w:val="00B07605"/>
    <w:rsid w:val="00B07B64"/>
    <w:rsid w:val="00B07BB2"/>
    <w:rsid w:val="00B1011A"/>
    <w:rsid w:val="00B101F3"/>
    <w:rsid w:val="00B10408"/>
    <w:rsid w:val="00B106E2"/>
    <w:rsid w:val="00B1097C"/>
    <w:rsid w:val="00B10DBF"/>
    <w:rsid w:val="00B10E4A"/>
    <w:rsid w:val="00B10FAB"/>
    <w:rsid w:val="00B110B4"/>
    <w:rsid w:val="00B114BF"/>
    <w:rsid w:val="00B116EF"/>
    <w:rsid w:val="00B11861"/>
    <w:rsid w:val="00B126D6"/>
    <w:rsid w:val="00B128F9"/>
    <w:rsid w:val="00B129C4"/>
    <w:rsid w:val="00B12C78"/>
    <w:rsid w:val="00B12EE3"/>
    <w:rsid w:val="00B13500"/>
    <w:rsid w:val="00B1373F"/>
    <w:rsid w:val="00B13C92"/>
    <w:rsid w:val="00B13D65"/>
    <w:rsid w:val="00B14227"/>
    <w:rsid w:val="00B144B4"/>
    <w:rsid w:val="00B14651"/>
    <w:rsid w:val="00B14738"/>
    <w:rsid w:val="00B14AF7"/>
    <w:rsid w:val="00B14F4E"/>
    <w:rsid w:val="00B15478"/>
    <w:rsid w:val="00B15797"/>
    <w:rsid w:val="00B15A5B"/>
    <w:rsid w:val="00B15B47"/>
    <w:rsid w:val="00B15FC9"/>
    <w:rsid w:val="00B16398"/>
    <w:rsid w:val="00B166EB"/>
    <w:rsid w:val="00B168D1"/>
    <w:rsid w:val="00B16D40"/>
    <w:rsid w:val="00B16DA1"/>
    <w:rsid w:val="00B173D9"/>
    <w:rsid w:val="00B1741E"/>
    <w:rsid w:val="00B17F04"/>
    <w:rsid w:val="00B2013D"/>
    <w:rsid w:val="00B20236"/>
    <w:rsid w:val="00B202A7"/>
    <w:rsid w:val="00B20535"/>
    <w:rsid w:val="00B21592"/>
    <w:rsid w:val="00B21CDE"/>
    <w:rsid w:val="00B22497"/>
    <w:rsid w:val="00B22786"/>
    <w:rsid w:val="00B228A5"/>
    <w:rsid w:val="00B238C1"/>
    <w:rsid w:val="00B23E9D"/>
    <w:rsid w:val="00B24054"/>
    <w:rsid w:val="00B240CB"/>
    <w:rsid w:val="00B24453"/>
    <w:rsid w:val="00B244B9"/>
    <w:rsid w:val="00B24B62"/>
    <w:rsid w:val="00B24BE1"/>
    <w:rsid w:val="00B2536C"/>
    <w:rsid w:val="00B25A88"/>
    <w:rsid w:val="00B25D3C"/>
    <w:rsid w:val="00B2602A"/>
    <w:rsid w:val="00B260A5"/>
    <w:rsid w:val="00B260F1"/>
    <w:rsid w:val="00B2621D"/>
    <w:rsid w:val="00B26A85"/>
    <w:rsid w:val="00B2708A"/>
    <w:rsid w:val="00B27DD2"/>
    <w:rsid w:val="00B317D1"/>
    <w:rsid w:val="00B31CAC"/>
    <w:rsid w:val="00B31E02"/>
    <w:rsid w:val="00B3330F"/>
    <w:rsid w:val="00B334A7"/>
    <w:rsid w:val="00B3359A"/>
    <w:rsid w:val="00B3372F"/>
    <w:rsid w:val="00B337F4"/>
    <w:rsid w:val="00B33B4C"/>
    <w:rsid w:val="00B34F9E"/>
    <w:rsid w:val="00B35048"/>
    <w:rsid w:val="00B35250"/>
    <w:rsid w:val="00B3582D"/>
    <w:rsid w:val="00B35926"/>
    <w:rsid w:val="00B359DB"/>
    <w:rsid w:val="00B35ABB"/>
    <w:rsid w:val="00B35BA6"/>
    <w:rsid w:val="00B361E0"/>
    <w:rsid w:val="00B3675A"/>
    <w:rsid w:val="00B36927"/>
    <w:rsid w:val="00B373FA"/>
    <w:rsid w:val="00B37963"/>
    <w:rsid w:val="00B37C4D"/>
    <w:rsid w:val="00B37D48"/>
    <w:rsid w:val="00B37E43"/>
    <w:rsid w:val="00B40734"/>
    <w:rsid w:val="00B40D66"/>
    <w:rsid w:val="00B410BA"/>
    <w:rsid w:val="00B4111B"/>
    <w:rsid w:val="00B41511"/>
    <w:rsid w:val="00B41566"/>
    <w:rsid w:val="00B41998"/>
    <w:rsid w:val="00B41F4B"/>
    <w:rsid w:val="00B42035"/>
    <w:rsid w:val="00B42177"/>
    <w:rsid w:val="00B4240B"/>
    <w:rsid w:val="00B42525"/>
    <w:rsid w:val="00B42526"/>
    <w:rsid w:val="00B42CB3"/>
    <w:rsid w:val="00B42D7C"/>
    <w:rsid w:val="00B42FED"/>
    <w:rsid w:val="00B4322C"/>
    <w:rsid w:val="00B4324C"/>
    <w:rsid w:val="00B43E18"/>
    <w:rsid w:val="00B43E91"/>
    <w:rsid w:val="00B444A9"/>
    <w:rsid w:val="00B44AE5"/>
    <w:rsid w:val="00B44D61"/>
    <w:rsid w:val="00B44F06"/>
    <w:rsid w:val="00B454F3"/>
    <w:rsid w:val="00B45A17"/>
    <w:rsid w:val="00B45E84"/>
    <w:rsid w:val="00B4650D"/>
    <w:rsid w:val="00B46571"/>
    <w:rsid w:val="00B4657C"/>
    <w:rsid w:val="00B4667D"/>
    <w:rsid w:val="00B466D1"/>
    <w:rsid w:val="00B4683D"/>
    <w:rsid w:val="00B46907"/>
    <w:rsid w:val="00B46B38"/>
    <w:rsid w:val="00B46C0D"/>
    <w:rsid w:val="00B46CC8"/>
    <w:rsid w:val="00B46D06"/>
    <w:rsid w:val="00B47381"/>
    <w:rsid w:val="00B47724"/>
    <w:rsid w:val="00B47839"/>
    <w:rsid w:val="00B47991"/>
    <w:rsid w:val="00B47E30"/>
    <w:rsid w:val="00B506D1"/>
    <w:rsid w:val="00B5074D"/>
    <w:rsid w:val="00B50CE6"/>
    <w:rsid w:val="00B50E94"/>
    <w:rsid w:val="00B510EC"/>
    <w:rsid w:val="00B5160D"/>
    <w:rsid w:val="00B51656"/>
    <w:rsid w:val="00B51745"/>
    <w:rsid w:val="00B51A4C"/>
    <w:rsid w:val="00B51B65"/>
    <w:rsid w:val="00B51E74"/>
    <w:rsid w:val="00B522E0"/>
    <w:rsid w:val="00B52359"/>
    <w:rsid w:val="00B5250D"/>
    <w:rsid w:val="00B5279D"/>
    <w:rsid w:val="00B52894"/>
    <w:rsid w:val="00B53506"/>
    <w:rsid w:val="00B5350C"/>
    <w:rsid w:val="00B536C4"/>
    <w:rsid w:val="00B53715"/>
    <w:rsid w:val="00B53D25"/>
    <w:rsid w:val="00B53DA1"/>
    <w:rsid w:val="00B53F14"/>
    <w:rsid w:val="00B551C4"/>
    <w:rsid w:val="00B553E8"/>
    <w:rsid w:val="00B554A0"/>
    <w:rsid w:val="00B55A94"/>
    <w:rsid w:val="00B55CD5"/>
    <w:rsid w:val="00B561B3"/>
    <w:rsid w:val="00B57550"/>
    <w:rsid w:val="00B57908"/>
    <w:rsid w:val="00B57CBD"/>
    <w:rsid w:val="00B57DC8"/>
    <w:rsid w:val="00B60447"/>
    <w:rsid w:val="00B60819"/>
    <w:rsid w:val="00B60887"/>
    <w:rsid w:val="00B609E0"/>
    <w:rsid w:val="00B61427"/>
    <w:rsid w:val="00B629E7"/>
    <w:rsid w:val="00B62ABF"/>
    <w:rsid w:val="00B62D32"/>
    <w:rsid w:val="00B63594"/>
    <w:rsid w:val="00B6383A"/>
    <w:rsid w:val="00B638C5"/>
    <w:rsid w:val="00B63E7F"/>
    <w:rsid w:val="00B640A0"/>
    <w:rsid w:val="00B6489E"/>
    <w:rsid w:val="00B6494F"/>
    <w:rsid w:val="00B64A1C"/>
    <w:rsid w:val="00B64E53"/>
    <w:rsid w:val="00B64EF0"/>
    <w:rsid w:val="00B658E6"/>
    <w:rsid w:val="00B6599C"/>
    <w:rsid w:val="00B665EE"/>
    <w:rsid w:val="00B666AB"/>
    <w:rsid w:val="00B66B42"/>
    <w:rsid w:val="00B66E89"/>
    <w:rsid w:val="00B6715C"/>
    <w:rsid w:val="00B674F2"/>
    <w:rsid w:val="00B677F3"/>
    <w:rsid w:val="00B67C95"/>
    <w:rsid w:val="00B7040F"/>
    <w:rsid w:val="00B709AD"/>
    <w:rsid w:val="00B70ED5"/>
    <w:rsid w:val="00B712A1"/>
    <w:rsid w:val="00B7139C"/>
    <w:rsid w:val="00B7171E"/>
    <w:rsid w:val="00B719F8"/>
    <w:rsid w:val="00B720D1"/>
    <w:rsid w:val="00B7220E"/>
    <w:rsid w:val="00B726F9"/>
    <w:rsid w:val="00B72C03"/>
    <w:rsid w:val="00B72C33"/>
    <w:rsid w:val="00B72EA2"/>
    <w:rsid w:val="00B72EE3"/>
    <w:rsid w:val="00B72FCB"/>
    <w:rsid w:val="00B73764"/>
    <w:rsid w:val="00B73A04"/>
    <w:rsid w:val="00B73C01"/>
    <w:rsid w:val="00B73C54"/>
    <w:rsid w:val="00B74070"/>
    <w:rsid w:val="00B74B48"/>
    <w:rsid w:val="00B74C67"/>
    <w:rsid w:val="00B74C8F"/>
    <w:rsid w:val="00B74DBE"/>
    <w:rsid w:val="00B754A2"/>
    <w:rsid w:val="00B7598D"/>
    <w:rsid w:val="00B75D12"/>
    <w:rsid w:val="00B75DB6"/>
    <w:rsid w:val="00B75E41"/>
    <w:rsid w:val="00B7631F"/>
    <w:rsid w:val="00B766D8"/>
    <w:rsid w:val="00B76A9D"/>
    <w:rsid w:val="00B77544"/>
    <w:rsid w:val="00B7772A"/>
    <w:rsid w:val="00B77C61"/>
    <w:rsid w:val="00B77DC4"/>
    <w:rsid w:val="00B77F5B"/>
    <w:rsid w:val="00B801B0"/>
    <w:rsid w:val="00B807D8"/>
    <w:rsid w:val="00B8092F"/>
    <w:rsid w:val="00B80F88"/>
    <w:rsid w:val="00B81008"/>
    <w:rsid w:val="00B81261"/>
    <w:rsid w:val="00B81987"/>
    <w:rsid w:val="00B81BE4"/>
    <w:rsid w:val="00B81E3B"/>
    <w:rsid w:val="00B81FD8"/>
    <w:rsid w:val="00B8235A"/>
    <w:rsid w:val="00B826F5"/>
    <w:rsid w:val="00B8291A"/>
    <w:rsid w:val="00B82DCD"/>
    <w:rsid w:val="00B83136"/>
    <w:rsid w:val="00B8325C"/>
    <w:rsid w:val="00B83C71"/>
    <w:rsid w:val="00B83CA3"/>
    <w:rsid w:val="00B83F54"/>
    <w:rsid w:val="00B840C8"/>
    <w:rsid w:val="00B8442C"/>
    <w:rsid w:val="00B855D9"/>
    <w:rsid w:val="00B856BA"/>
    <w:rsid w:val="00B85859"/>
    <w:rsid w:val="00B8600A"/>
    <w:rsid w:val="00B86261"/>
    <w:rsid w:val="00B8639B"/>
    <w:rsid w:val="00B86764"/>
    <w:rsid w:val="00B87561"/>
    <w:rsid w:val="00B87596"/>
    <w:rsid w:val="00B87721"/>
    <w:rsid w:val="00B8772F"/>
    <w:rsid w:val="00B87BA2"/>
    <w:rsid w:val="00B90433"/>
    <w:rsid w:val="00B9061C"/>
    <w:rsid w:val="00B908AA"/>
    <w:rsid w:val="00B90B13"/>
    <w:rsid w:val="00B90EAE"/>
    <w:rsid w:val="00B90F57"/>
    <w:rsid w:val="00B91894"/>
    <w:rsid w:val="00B91C4A"/>
    <w:rsid w:val="00B91F3B"/>
    <w:rsid w:val="00B9237D"/>
    <w:rsid w:val="00B92E95"/>
    <w:rsid w:val="00B937B5"/>
    <w:rsid w:val="00B938A0"/>
    <w:rsid w:val="00B938BA"/>
    <w:rsid w:val="00B94311"/>
    <w:rsid w:val="00B944CC"/>
    <w:rsid w:val="00B94553"/>
    <w:rsid w:val="00B94B2D"/>
    <w:rsid w:val="00B94D07"/>
    <w:rsid w:val="00B94DDD"/>
    <w:rsid w:val="00B94F7C"/>
    <w:rsid w:val="00B95063"/>
    <w:rsid w:val="00B955DE"/>
    <w:rsid w:val="00B957B1"/>
    <w:rsid w:val="00B95942"/>
    <w:rsid w:val="00B95C5E"/>
    <w:rsid w:val="00B96463"/>
    <w:rsid w:val="00B96A98"/>
    <w:rsid w:val="00B96E45"/>
    <w:rsid w:val="00B96F11"/>
    <w:rsid w:val="00BA09EA"/>
    <w:rsid w:val="00BA0A64"/>
    <w:rsid w:val="00BA0AA5"/>
    <w:rsid w:val="00BA0AE1"/>
    <w:rsid w:val="00BA0DBB"/>
    <w:rsid w:val="00BA1359"/>
    <w:rsid w:val="00BA1A08"/>
    <w:rsid w:val="00BA1B39"/>
    <w:rsid w:val="00BA1DD6"/>
    <w:rsid w:val="00BA2416"/>
    <w:rsid w:val="00BA30C4"/>
    <w:rsid w:val="00BA326A"/>
    <w:rsid w:val="00BA32CB"/>
    <w:rsid w:val="00BA3D4F"/>
    <w:rsid w:val="00BA3E27"/>
    <w:rsid w:val="00BA3FD8"/>
    <w:rsid w:val="00BA41DC"/>
    <w:rsid w:val="00BA4402"/>
    <w:rsid w:val="00BA44A8"/>
    <w:rsid w:val="00BA4DB5"/>
    <w:rsid w:val="00BA56C3"/>
    <w:rsid w:val="00BA65A9"/>
    <w:rsid w:val="00BA6967"/>
    <w:rsid w:val="00BA6983"/>
    <w:rsid w:val="00BA6B44"/>
    <w:rsid w:val="00BA7251"/>
    <w:rsid w:val="00BA7320"/>
    <w:rsid w:val="00BA7712"/>
    <w:rsid w:val="00BA7C0C"/>
    <w:rsid w:val="00BB0503"/>
    <w:rsid w:val="00BB1143"/>
    <w:rsid w:val="00BB115A"/>
    <w:rsid w:val="00BB1A5C"/>
    <w:rsid w:val="00BB1CCC"/>
    <w:rsid w:val="00BB21AA"/>
    <w:rsid w:val="00BB24DB"/>
    <w:rsid w:val="00BB24FE"/>
    <w:rsid w:val="00BB2777"/>
    <w:rsid w:val="00BB2A1B"/>
    <w:rsid w:val="00BB2D69"/>
    <w:rsid w:val="00BB3F8B"/>
    <w:rsid w:val="00BB429F"/>
    <w:rsid w:val="00BB45B7"/>
    <w:rsid w:val="00BB4A6A"/>
    <w:rsid w:val="00BB51AE"/>
    <w:rsid w:val="00BB5BE7"/>
    <w:rsid w:val="00BB6025"/>
    <w:rsid w:val="00BB624A"/>
    <w:rsid w:val="00BB63B6"/>
    <w:rsid w:val="00BB64E2"/>
    <w:rsid w:val="00BB653D"/>
    <w:rsid w:val="00BB6A29"/>
    <w:rsid w:val="00BB6E1A"/>
    <w:rsid w:val="00BB731C"/>
    <w:rsid w:val="00BC0016"/>
    <w:rsid w:val="00BC0399"/>
    <w:rsid w:val="00BC0D47"/>
    <w:rsid w:val="00BC1223"/>
    <w:rsid w:val="00BC1278"/>
    <w:rsid w:val="00BC153B"/>
    <w:rsid w:val="00BC1791"/>
    <w:rsid w:val="00BC1DCC"/>
    <w:rsid w:val="00BC2582"/>
    <w:rsid w:val="00BC28E9"/>
    <w:rsid w:val="00BC2C71"/>
    <w:rsid w:val="00BC301D"/>
    <w:rsid w:val="00BC348F"/>
    <w:rsid w:val="00BC36CF"/>
    <w:rsid w:val="00BC39F8"/>
    <w:rsid w:val="00BC3BA2"/>
    <w:rsid w:val="00BC3CC1"/>
    <w:rsid w:val="00BC47F7"/>
    <w:rsid w:val="00BC4808"/>
    <w:rsid w:val="00BC490A"/>
    <w:rsid w:val="00BC4A08"/>
    <w:rsid w:val="00BC4CE5"/>
    <w:rsid w:val="00BC4CF2"/>
    <w:rsid w:val="00BC4D7B"/>
    <w:rsid w:val="00BC607E"/>
    <w:rsid w:val="00BC637E"/>
    <w:rsid w:val="00BC6401"/>
    <w:rsid w:val="00BC651F"/>
    <w:rsid w:val="00BC6901"/>
    <w:rsid w:val="00BC6A9D"/>
    <w:rsid w:val="00BC6F0A"/>
    <w:rsid w:val="00BC6FD6"/>
    <w:rsid w:val="00BC71B8"/>
    <w:rsid w:val="00BC76B8"/>
    <w:rsid w:val="00BD0A4C"/>
    <w:rsid w:val="00BD0D7D"/>
    <w:rsid w:val="00BD0D96"/>
    <w:rsid w:val="00BD12C4"/>
    <w:rsid w:val="00BD1929"/>
    <w:rsid w:val="00BD230A"/>
    <w:rsid w:val="00BD2465"/>
    <w:rsid w:val="00BD27E4"/>
    <w:rsid w:val="00BD2DF0"/>
    <w:rsid w:val="00BD31F3"/>
    <w:rsid w:val="00BD3ABB"/>
    <w:rsid w:val="00BD3EAE"/>
    <w:rsid w:val="00BD44C2"/>
    <w:rsid w:val="00BD490F"/>
    <w:rsid w:val="00BD4AA1"/>
    <w:rsid w:val="00BD5054"/>
    <w:rsid w:val="00BD55C2"/>
    <w:rsid w:val="00BD5716"/>
    <w:rsid w:val="00BD59A6"/>
    <w:rsid w:val="00BD59AA"/>
    <w:rsid w:val="00BD5C11"/>
    <w:rsid w:val="00BD5C90"/>
    <w:rsid w:val="00BD5CD1"/>
    <w:rsid w:val="00BD60F0"/>
    <w:rsid w:val="00BD677F"/>
    <w:rsid w:val="00BD6DA7"/>
    <w:rsid w:val="00BD6EF0"/>
    <w:rsid w:val="00BD6F0B"/>
    <w:rsid w:val="00BD7081"/>
    <w:rsid w:val="00BD718A"/>
    <w:rsid w:val="00BD728B"/>
    <w:rsid w:val="00BD761F"/>
    <w:rsid w:val="00BD76EA"/>
    <w:rsid w:val="00BD78A0"/>
    <w:rsid w:val="00BE06B6"/>
    <w:rsid w:val="00BE06E8"/>
    <w:rsid w:val="00BE0BE3"/>
    <w:rsid w:val="00BE12F5"/>
    <w:rsid w:val="00BE14F6"/>
    <w:rsid w:val="00BE15A9"/>
    <w:rsid w:val="00BE1669"/>
    <w:rsid w:val="00BE18D4"/>
    <w:rsid w:val="00BE1BA1"/>
    <w:rsid w:val="00BE27F2"/>
    <w:rsid w:val="00BE290C"/>
    <w:rsid w:val="00BE2963"/>
    <w:rsid w:val="00BE319B"/>
    <w:rsid w:val="00BE3619"/>
    <w:rsid w:val="00BE3B0F"/>
    <w:rsid w:val="00BE4068"/>
    <w:rsid w:val="00BE4A38"/>
    <w:rsid w:val="00BE4C8B"/>
    <w:rsid w:val="00BE5A1D"/>
    <w:rsid w:val="00BE5D38"/>
    <w:rsid w:val="00BE5DDA"/>
    <w:rsid w:val="00BE621A"/>
    <w:rsid w:val="00BE670A"/>
    <w:rsid w:val="00BE6B8C"/>
    <w:rsid w:val="00BE6BCE"/>
    <w:rsid w:val="00BE6D6C"/>
    <w:rsid w:val="00BE6DC1"/>
    <w:rsid w:val="00BE72D2"/>
    <w:rsid w:val="00BE72D4"/>
    <w:rsid w:val="00BE7433"/>
    <w:rsid w:val="00BE7618"/>
    <w:rsid w:val="00BE79AB"/>
    <w:rsid w:val="00BE7AFB"/>
    <w:rsid w:val="00BF06B6"/>
    <w:rsid w:val="00BF0A8D"/>
    <w:rsid w:val="00BF0C1D"/>
    <w:rsid w:val="00BF0E00"/>
    <w:rsid w:val="00BF133B"/>
    <w:rsid w:val="00BF1937"/>
    <w:rsid w:val="00BF1A02"/>
    <w:rsid w:val="00BF1A9C"/>
    <w:rsid w:val="00BF1AB6"/>
    <w:rsid w:val="00BF1C3C"/>
    <w:rsid w:val="00BF1FA4"/>
    <w:rsid w:val="00BF2309"/>
    <w:rsid w:val="00BF2597"/>
    <w:rsid w:val="00BF337F"/>
    <w:rsid w:val="00BF380D"/>
    <w:rsid w:val="00BF3867"/>
    <w:rsid w:val="00BF4122"/>
    <w:rsid w:val="00BF41E2"/>
    <w:rsid w:val="00BF4910"/>
    <w:rsid w:val="00BF4E4A"/>
    <w:rsid w:val="00BF5399"/>
    <w:rsid w:val="00BF57D7"/>
    <w:rsid w:val="00BF5CFF"/>
    <w:rsid w:val="00BF5E79"/>
    <w:rsid w:val="00BF648C"/>
    <w:rsid w:val="00BF7B16"/>
    <w:rsid w:val="00BF7BBC"/>
    <w:rsid w:val="00BF7C02"/>
    <w:rsid w:val="00BF7C26"/>
    <w:rsid w:val="00C00877"/>
    <w:rsid w:val="00C00BF6"/>
    <w:rsid w:val="00C011A5"/>
    <w:rsid w:val="00C011B1"/>
    <w:rsid w:val="00C011E4"/>
    <w:rsid w:val="00C011EC"/>
    <w:rsid w:val="00C01C82"/>
    <w:rsid w:val="00C01CC5"/>
    <w:rsid w:val="00C01CF9"/>
    <w:rsid w:val="00C01DEF"/>
    <w:rsid w:val="00C01E8D"/>
    <w:rsid w:val="00C020AC"/>
    <w:rsid w:val="00C027DC"/>
    <w:rsid w:val="00C02954"/>
    <w:rsid w:val="00C02AEA"/>
    <w:rsid w:val="00C02EB0"/>
    <w:rsid w:val="00C03037"/>
    <w:rsid w:val="00C031A5"/>
    <w:rsid w:val="00C03262"/>
    <w:rsid w:val="00C034BB"/>
    <w:rsid w:val="00C034F9"/>
    <w:rsid w:val="00C0368E"/>
    <w:rsid w:val="00C03788"/>
    <w:rsid w:val="00C03AC7"/>
    <w:rsid w:val="00C03D25"/>
    <w:rsid w:val="00C040CF"/>
    <w:rsid w:val="00C0422F"/>
    <w:rsid w:val="00C04588"/>
    <w:rsid w:val="00C046E0"/>
    <w:rsid w:val="00C046EE"/>
    <w:rsid w:val="00C0475C"/>
    <w:rsid w:val="00C04D2A"/>
    <w:rsid w:val="00C0514C"/>
    <w:rsid w:val="00C05298"/>
    <w:rsid w:val="00C054D6"/>
    <w:rsid w:val="00C055A5"/>
    <w:rsid w:val="00C05695"/>
    <w:rsid w:val="00C05D41"/>
    <w:rsid w:val="00C05FAF"/>
    <w:rsid w:val="00C061A5"/>
    <w:rsid w:val="00C064D4"/>
    <w:rsid w:val="00C07572"/>
    <w:rsid w:val="00C0786D"/>
    <w:rsid w:val="00C07FC7"/>
    <w:rsid w:val="00C10FEB"/>
    <w:rsid w:val="00C11239"/>
    <w:rsid w:val="00C11246"/>
    <w:rsid w:val="00C1176E"/>
    <w:rsid w:val="00C119CC"/>
    <w:rsid w:val="00C11CE5"/>
    <w:rsid w:val="00C11E5F"/>
    <w:rsid w:val="00C1226A"/>
    <w:rsid w:val="00C127B2"/>
    <w:rsid w:val="00C12E50"/>
    <w:rsid w:val="00C133B1"/>
    <w:rsid w:val="00C133C1"/>
    <w:rsid w:val="00C1381E"/>
    <w:rsid w:val="00C13858"/>
    <w:rsid w:val="00C1394A"/>
    <w:rsid w:val="00C13DB9"/>
    <w:rsid w:val="00C13F70"/>
    <w:rsid w:val="00C14423"/>
    <w:rsid w:val="00C14E00"/>
    <w:rsid w:val="00C15627"/>
    <w:rsid w:val="00C15696"/>
    <w:rsid w:val="00C1588C"/>
    <w:rsid w:val="00C15932"/>
    <w:rsid w:val="00C15A5A"/>
    <w:rsid w:val="00C15F19"/>
    <w:rsid w:val="00C1624A"/>
    <w:rsid w:val="00C16A8B"/>
    <w:rsid w:val="00C17519"/>
    <w:rsid w:val="00C1790D"/>
    <w:rsid w:val="00C17919"/>
    <w:rsid w:val="00C17C6C"/>
    <w:rsid w:val="00C17F4D"/>
    <w:rsid w:val="00C20121"/>
    <w:rsid w:val="00C202FA"/>
    <w:rsid w:val="00C208FE"/>
    <w:rsid w:val="00C20BFC"/>
    <w:rsid w:val="00C20FA0"/>
    <w:rsid w:val="00C216EC"/>
    <w:rsid w:val="00C2260B"/>
    <w:rsid w:val="00C22F97"/>
    <w:rsid w:val="00C22FA7"/>
    <w:rsid w:val="00C23113"/>
    <w:rsid w:val="00C23158"/>
    <w:rsid w:val="00C23666"/>
    <w:rsid w:val="00C24067"/>
    <w:rsid w:val="00C2406D"/>
    <w:rsid w:val="00C241B3"/>
    <w:rsid w:val="00C24E68"/>
    <w:rsid w:val="00C255D8"/>
    <w:rsid w:val="00C256D8"/>
    <w:rsid w:val="00C2572B"/>
    <w:rsid w:val="00C259B2"/>
    <w:rsid w:val="00C25AC1"/>
    <w:rsid w:val="00C2616C"/>
    <w:rsid w:val="00C2656D"/>
    <w:rsid w:val="00C26E51"/>
    <w:rsid w:val="00C272A8"/>
    <w:rsid w:val="00C273F9"/>
    <w:rsid w:val="00C27DB6"/>
    <w:rsid w:val="00C30029"/>
    <w:rsid w:val="00C3042A"/>
    <w:rsid w:val="00C3065B"/>
    <w:rsid w:val="00C30662"/>
    <w:rsid w:val="00C306EF"/>
    <w:rsid w:val="00C30DA4"/>
    <w:rsid w:val="00C3123C"/>
    <w:rsid w:val="00C314C5"/>
    <w:rsid w:val="00C315D6"/>
    <w:rsid w:val="00C316B1"/>
    <w:rsid w:val="00C31F2E"/>
    <w:rsid w:val="00C31FCB"/>
    <w:rsid w:val="00C3217F"/>
    <w:rsid w:val="00C3234E"/>
    <w:rsid w:val="00C32473"/>
    <w:rsid w:val="00C32771"/>
    <w:rsid w:val="00C32981"/>
    <w:rsid w:val="00C32D0D"/>
    <w:rsid w:val="00C32E2F"/>
    <w:rsid w:val="00C32E35"/>
    <w:rsid w:val="00C336A0"/>
    <w:rsid w:val="00C337F5"/>
    <w:rsid w:val="00C33A95"/>
    <w:rsid w:val="00C33F24"/>
    <w:rsid w:val="00C33FD7"/>
    <w:rsid w:val="00C33FF1"/>
    <w:rsid w:val="00C34B4F"/>
    <w:rsid w:val="00C34DA4"/>
    <w:rsid w:val="00C34DBA"/>
    <w:rsid w:val="00C34F52"/>
    <w:rsid w:val="00C3515C"/>
    <w:rsid w:val="00C353C6"/>
    <w:rsid w:val="00C35B4B"/>
    <w:rsid w:val="00C35C36"/>
    <w:rsid w:val="00C35F16"/>
    <w:rsid w:val="00C36277"/>
    <w:rsid w:val="00C36907"/>
    <w:rsid w:val="00C37450"/>
    <w:rsid w:val="00C374B9"/>
    <w:rsid w:val="00C37827"/>
    <w:rsid w:val="00C37894"/>
    <w:rsid w:val="00C41021"/>
    <w:rsid w:val="00C41315"/>
    <w:rsid w:val="00C4144B"/>
    <w:rsid w:val="00C4144E"/>
    <w:rsid w:val="00C415D1"/>
    <w:rsid w:val="00C41937"/>
    <w:rsid w:val="00C41DC4"/>
    <w:rsid w:val="00C41F79"/>
    <w:rsid w:val="00C420D9"/>
    <w:rsid w:val="00C42249"/>
    <w:rsid w:val="00C42525"/>
    <w:rsid w:val="00C430F1"/>
    <w:rsid w:val="00C43331"/>
    <w:rsid w:val="00C4391C"/>
    <w:rsid w:val="00C43B8C"/>
    <w:rsid w:val="00C43FAC"/>
    <w:rsid w:val="00C4407C"/>
    <w:rsid w:val="00C4439D"/>
    <w:rsid w:val="00C443CA"/>
    <w:rsid w:val="00C44643"/>
    <w:rsid w:val="00C448B0"/>
    <w:rsid w:val="00C44B84"/>
    <w:rsid w:val="00C44BBE"/>
    <w:rsid w:val="00C44C55"/>
    <w:rsid w:val="00C450D9"/>
    <w:rsid w:val="00C45917"/>
    <w:rsid w:val="00C45C22"/>
    <w:rsid w:val="00C45D1F"/>
    <w:rsid w:val="00C46448"/>
    <w:rsid w:val="00C4652B"/>
    <w:rsid w:val="00C465C4"/>
    <w:rsid w:val="00C46605"/>
    <w:rsid w:val="00C46662"/>
    <w:rsid w:val="00C466BC"/>
    <w:rsid w:val="00C467ED"/>
    <w:rsid w:val="00C46866"/>
    <w:rsid w:val="00C469F0"/>
    <w:rsid w:val="00C46E53"/>
    <w:rsid w:val="00C46F20"/>
    <w:rsid w:val="00C4705F"/>
    <w:rsid w:val="00C47207"/>
    <w:rsid w:val="00C473F7"/>
    <w:rsid w:val="00C476CC"/>
    <w:rsid w:val="00C47864"/>
    <w:rsid w:val="00C50190"/>
    <w:rsid w:val="00C501B3"/>
    <w:rsid w:val="00C502F9"/>
    <w:rsid w:val="00C50307"/>
    <w:rsid w:val="00C5044E"/>
    <w:rsid w:val="00C50646"/>
    <w:rsid w:val="00C508ED"/>
    <w:rsid w:val="00C50ACB"/>
    <w:rsid w:val="00C50C36"/>
    <w:rsid w:val="00C50C44"/>
    <w:rsid w:val="00C511E1"/>
    <w:rsid w:val="00C5176A"/>
    <w:rsid w:val="00C5188E"/>
    <w:rsid w:val="00C5191D"/>
    <w:rsid w:val="00C51F95"/>
    <w:rsid w:val="00C5208F"/>
    <w:rsid w:val="00C5247E"/>
    <w:rsid w:val="00C52F7E"/>
    <w:rsid w:val="00C537A0"/>
    <w:rsid w:val="00C538F9"/>
    <w:rsid w:val="00C53913"/>
    <w:rsid w:val="00C53BB9"/>
    <w:rsid w:val="00C53EA4"/>
    <w:rsid w:val="00C547C3"/>
    <w:rsid w:val="00C54918"/>
    <w:rsid w:val="00C550F7"/>
    <w:rsid w:val="00C553D5"/>
    <w:rsid w:val="00C55BC6"/>
    <w:rsid w:val="00C55FCD"/>
    <w:rsid w:val="00C5625F"/>
    <w:rsid w:val="00C5636F"/>
    <w:rsid w:val="00C568D5"/>
    <w:rsid w:val="00C57248"/>
    <w:rsid w:val="00C57595"/>
    <w:rsid w:val="00C57852"/>
    <w:rsid w:val="00C6021D"/>
    <w:rsid w:val="00C603C5"/>
    <w:rsid w:val="00C60B1F"/>
    <w:rsid w:val="00C60D71"/>
    <w:rsid w:val="00C60D8F"/>
    <w:rsid w:val="00C60E2A"/>
    <w:rsid w:val="00C60E31"/>
    <w:rsid w:val="00C610AB"/>
    <w:rsid w:val="00C6145A"/>
    <w:rsid w:val="00C61CDA"/>
    <w:rsid w:val="00C621D4"/>
    <w:rsid w:val="00C621F6"/>
    <w:rsid w:val="00C623C1"/>
    <w:rsid w:val="00C6279E"/>
    <w:rsid w:val="00C6294E"/>
    <w:rsid w:val="00C62EA3"/>
    <w:rsid w:val="00C635E0"/>
    <w:rsid w:val="00C63701"/>
    <w:rsid w:val="00C63A69"/>
    <w:rsid w:val="00C63A94"/>
    <w:rsid w:val="00C63B07"/>
    <w:rsid w:val="00C647C5"/>
    <w:rsid w:val="00C64989"/>
    <w:rsid w:val="00C659F9"/>
    <w:rsid w:val="00C65D21"/>
    <w:rsid w:val="00C65FDD"/>
    <w:rsid w:val="00C662DB"/>
    <w:rsid w:val="00C66666"/>
    <w:rsid w:val="00C66669"/>
    <w:rsid w:val="00C66DE2"/>
    <w:rsid w:val="00C66E87"/>
    <w:rsid w:val="00C6730B"/>
    <w:rsid w:val="00C67DE5"/>
    <w:rsid w:val="00C70743"/>
    <w:rsid w:val="00C70884"/>
    <w:rsid w:val="00C708E3"/>
    <w:rsid w:val="00C709B9"/>
    <w:rsid w:val="00C70DF7"/>
    <w:rsid w:val="00C70EF3"/>
    <w:rsid w:val="00C711AB"/>
    <w:rsid w:val="00C71469"/>
    <w:rsid w:val="00C717E7"/>
    <w:rsid w:val="00C71CA4"/>
    <w:rsid w:val="00C725D8"/>
    <w:rsid w:val="00C72A4D"/>
    <w:rsid w:val="00C7306C"/>
    <w:rsid w:val="00C733ED"/>
    <w:rsid w:val="00C735CC"/>
    <w:rsid w:val="00C7390B"/>
    <w:rsid w:val="00C739A6"/>
    <w:rsid w:val="00C739FC"/>
    <w:rsid w:val="00C739FF"/>
    <w:rsid w:val="00C73AF8"/>
    <w:rsid w:val="00C74A34"/>
    <w:rsid w:val="00C7537A"/>
    <w:rsid w:val="00C75665"/>
    <w:rsid w:val="00C75E90"/>
    <w:rsid w:val="00C761BD"/>
    <w:rsid w:val="00C761BE"/>
    <w:rsid w:val="00C762F4"/>
    <w:rsid w:val="00C763E3"/>
    <w:rsid w:val="00C7657E"/>
    <w:rsid w:val="00C766EE"/>
    <w:rsid w:val="00C769DC"/>
    <w:rsid w:val="00C76FF2"/>
    <w:rsid w:val="00C7702F"/>
    <w:rsid w:val="00C77054"/>
    <w:rsid w:val="00C77222"/>
    <w:rsid w:val="00C77EF6"/>
    <w:rsid w:val="00C80278"/>
    <w:rsid w:val="00C808EC"/>
    <w:rsid w:val="00C80A5B"/>
    <w:rsid w:val="00C80A9E"/>
    <w:rsid w:val="00C80D20"/>
    <w:rsid w:val="00C8151C"/>
    <w:rsid w:val="00C8155D"/>
    <w:rsid w:val="00C817C3"/>
    <w:rsid w:val="00C81848"/>
    <w:rsid w:val="00C81E75"/>
    <w:rsid w:val="00C81EB1"/>
    <w:rsid w:val="00C82012"/>
    <w:rsid w:val="00C82387"/>
    <w:rsid w:val="00C82548"/>
    <w:rsid w:val="00C828BA"/>
    <w:rsid w:val="00C82990"/>
    <w:rsid w:val="00C82D95"/>
    <w:rsid w:val="00C835CD"/>
    <w:rsid w:val="00C83787"/>
    <w:rsid w:val="00C8394C"/>
    <w:rsid w:val="00C83C6D"/>
    <w:rsid w:val="00C84400"/>
    <w:rsid w:val="00C8443D"/>
    <w:rsid w:val="00C845E7"/>
    <w:rsid w:val="00C84CDA"/>
    <w:rsid w:val="00C85352"/>
    <w:rsid w:val="00C85938"/>
    <w:rsid w:val="00C860B6"/>
    <w:rsid w:val="00C86B6D"/>
    <w:rsid w:val="00C86EC5"/>
    <w:rsid w:val="00C87072"/>
    <w:rsid w:val="00C870C0"/>
    <w:rsid w:val="00C87E79"/>
    <w:rsid w:val="00C87FCB"/>
    <w:rsid w:val="00C90123"/>
    <w:rsid w:val="00C9022E"/>
    <w:rsid w:val="00C90244"/>
    <w:rsid w:val="00C902C5"/>
    <w:rsid w:val="00C902E5"/>
    <w:rsid w:val="00C903EE"/>
    <w:rsid w:val="00C905F6"/>
    <w:rsid w:val="00C9097A"/>
    <w:rsid w:val="00C9104E"/>
    <w:rsid w:val="00C91554"/>
    <w:rsid w:val="00C91770"/>
    <w:rsid w:val="00C91884"/>
    <w:rsid w:val="00C91F7F"/>
    <w:rsid w:val="00C9218E"/>
    <w:rsid w:val="00C922BB"/>
    <w:rsid w:val="00C927F3"/>
    <w:rsid w:val="00C92FD6"/>
    <w:rsid w:val="00C9308C"/>
    <w:rsid w:val="00C934AF"/>
    <w:rsid w:val="00C939A9"/>
    <w:rsid w:val="00C93FDC"/>
    <w:rsid w:val="00C946AC"/>
    <w:rsid w:val="00C95099"/>
    <w:rsid w:val="00C951CA"/>
    <w:rsid w:val="00C95518"/>
    <w:rsid w:val="00C955D2"/>
    <w:rsid w:val="00C95866"/>
    <w:rsid w:val="00C96D33"/>
    <w:rsid w:val="00C96DA8"/>
    <w:rsid w:val="00C96FB2"/>
    <w:rsid w:val="00C97137"/>
    <w:rsid w:val="00C972E0"/>
    <w:rsid w:val="00C972FE"/>
    <w:rsid w:val="00C976C5"/>
    <w:rsid w:val="00C97A1B"/>
    <w:rsid w:val="00CA02CE"/>
    <w:rsid w:val="00CA02CF"/>
    <w:rsid w:val="00CA03EC"/>
    <w:rsid w:val="00CA0984"/>
    <w:rsid w:val="00CA0AC9"/>
    <w:rsid w:val="00CA128F"/>
    <w:rsid w:val="00CA1C89"/>
    <w:rsid w:val="00CA1E33"/>
    <w:rsid w:val="00CA1ED3"/>
    <w:rsid w:val="00CA2AFD"/>
    <w:rsid w:val="00CA2C66"/>
    <w:rsid w:val="00CA2E00"/>
    <w:rsid w:val="00CA3558"/>
    <w:rsid w:val="00CA3950"/>
    <w:rsid w:val="00CA3A6C"/>
    <w:rsid w:val="00CA3B6B"/>
    <w:rsid w:val="00CA3CB8"/>
    <w:rsid w:val="00CA42E1"/>
    <w:rsid w:val="00CA4947"/>
    <w:rsid w:val="00CA4BB7"/>
    <w:rsid w:val="00CA4D0F"/>
    <w:rsid w:val="00CA5EBA"/>
    <w:rsid w:val="00CA5F70"/>
    <w:rsid w:val="00CA6488"/>
    <w:rsid w:val="00CA64CB"/>
    <w:rsid w:val="00CA6799"/>
    <w:rsid w:val="00CA69C5"/>
    <w:rsid w:val="00CA6A66"/>
    <w:rsid w:val="00CA6B8F"/>
    <w:rsid w:val="00CA6BD2"/>
    <w:rsid w:val="00CA6C49"/>
    <w:rsid w:val="00CA6CC0"/>
    <w:rsid w:val="00CA7CB0"/>
    <w:rsid w:val="00CA7E94"/>
    <w:rsid w:val="00CA7EAF"/>
    <w:rsid w:val="00CB01D3"/>
    <w:rsid w:val="00CB0465"/>
    <w:rsid w:val="00CB04F1"/>
    <w:rsid w:val="00CB0918"/>
    <w:rsid w:val="00CB0E4C"/>
    <w:rsid w:val="00CB1154"/>
    <w:rsid w:val="00CB18E2"/>
    <w:rsid w:val="00CB2789"/>
    <w:rsid w:val="00CB2827"/>
    <w:rsid w:val="00CB2A8C"/>
    <w:rsid w:val="00CB2C72"/>
    <w:rsid w:val="00CB2EA9"/>
    <w:rsid w:val="00CB2FD6"/>
    <w:rsid w:val="00CB3124"/>
    <w:rsid w:val="00CB3DB0"/>
    <w:rsid w:val="00CB3F6E"/>
    <w:rsid w:val="00CB4950"/>
    <w:rsid w:val="00CB4A0E"/>
    <w:rsid w:val="00CB4C8C"/>
    <w:rsid w:val="00CB4FA4"/>
    <w:rsid w:val="00CB55D5"/>
    <w:rsid w:val="00CB5BC1"/>
    <w:rsid w:val="00CB5DEA"/>
    <w:rsid w:val="00CB6269"/>
    <w:rsid w:val="00CB62F1"/>
    <w:rsid w:val="00CB6344"/>
    <w:rsid w:val="00CB66DE"/>
    <w:rsid w:val="00CB67C5"/>
    <w:rsid w:val="00CB6DA0"/>
    <w:rsid w:val="00CB6FC5"/>
    <w:rsid w:val="00CB7B12"/>
    <w:rsid w:val="00CB7C0A"/>
    <w:rsid w:val="00CB7CB1"/>
    <w:rsid w:val="00CC0827"/>
    <w:rsid w:val="00CC0AB9"/>
    <w:rsid w:val="00CC0CA3"/>
    <w:rsid w:val="00CC112F"/>
    <w:rsid w:val="00CC1466"/>
    <w:rsid w:val="00CC15E9"/>
    <w:rsid w:val="00CC19B8"/>
    <w:rsid w:val="00CC1B9B"/>
    <w:rsid w:val="00CC22BF"/>
    <w:rsid w:val="00CC2611"/>
    <w:rsid w:val="00CC2BB1"/>
    <w:rsid w:val="00CC2DE3"/>
    <w:rsid w:val="00CC34BB"/>
    <w:rsid w:val="00CC3C5A"/>
    <w:rsid w:val="00CC3E5D"/>
    <w:rsid w:val="00CC4261"/>
    <w:rsid w:val="00CC44A5"/>
    <w:rsid w:val="00CC50DB"/>
    <w:rsid w:val="00CC53D9"/>
    <w:rsid w:val="00CC6507"/>
    <w:rsid w:val="00CC74F6"/>
    <w:rsid w:val="00CD003F"/>
    <w:rsid w:val="00CD021E"/>
    <w:rsid w:val="00CD03EC"/>
    <w:rsid w:val="00CD072C"/>
    <w:rsid w:val="00CD087F"/>
    <w:rsid w:val="00CD0892"/>
    <w:rsid w:val="00CD0DE6"/>
    <w:rsid w:val="00CD1A2E"/>
    <w:rsid w:val="00CD1C33"/>
    <w:rsid w:val="00CD27BA"/>
    <w:rsid w:val="00CD2944"/>
    <w:rsid w:val="00CD2B5B"/>
    <w:rsid w:val="00CD2DA6"/>
    <w:rsid w:val="00CD2DE4"/>
    <w:rsid w:val="00CD2FF2"/>
    <w:rsid w:val="00CD311C"/>
    <w:rsid w:val="00CD32F4"/>
    <w:rsid w:val="00CD3362"/>
    <w:rsid w:val="00CD33AD"/>
    <w:rsid w:val="00CD3806"/>
    <w:rsid w:val="00CD408D"/>
    <w:rsid w:val="00CD4120"/>
    <w:rsid w:val="00CD412E"/>
    <w:rsid w:val="00CD4308"/>
    <w:rsid w:val="00CD442C"/>
    <w:rsid w:val="00CD48EC"/>
    <w:rsid w:val="00CD4AA5"/>
    <w:rsid w:val="00CD5201"/>
    <w:rsid w:val="00CD5537"/>
    <w:rsid w:val="00CD5682"/>
    <w:rsid w:val="00CD66B3"/>
    <w:rsid w:val="00CD6799"/>
    <w:rsid w:val="00CD6825"/>
    <w:rsid w:val="00CD6DFF"/>
    <w:rsid w:val="00CD6FAE"/>
    <w:rsid w:val="00CE0076"/>
    <w:rsid w:val="00CE00B5"/>
    <w:rsid w:val="00CE00B7"/>
    <w:rsid w:val="00CE01A8"/>
    <w:rsid w:val="00CE024F"/>
    <w:rsid w:val="00CE06C4"/>
    <w:rsid w:val="00CE0752"/>
    <w:rsid w:val="00CE0962"/>
    <w:rsid w:val="00CE0CA4"/>
    <w:rsid w:val="00CE16BE"/>
    <w:rsid w:val="00CE1774"/>
    <w:rsid w:val="00CE1957"/>
    <w:rsid w:val="00CE1977"/>
    <w:rsid w:val="00CE202D"/>
    <w:rsid w:val="00CE230F"/>
    <w:rsid w:val="00CE2C1E"/>
    <w:rsid w:val="00CE3531"/>
    <w:rsid w:val="00CE3F0B"/>
    <w:rsid w:val="00CE4C99"/>
    <w:rsid w:val="00CE4DCA"/>
    <w:rsid w:val="00CE4DEC"/>
    <w:rsid w:val="00CE5093"/>
    <w:rsid w:val="00CE55D9"/>
    <w:rsid w:val="00CE57A1"/>
    <w:rsid w:val="00CE6002"/>
    <w:rsid w:val="00CE60CA"/>
    <w:rsid w:val="00CE613A"/>
    <w:rsid w:val="00CE6CB6"/>
    <w:rsid w:val="00CE6FBA"/>
    <w:rsid w:val="00CE7321"/>
    <w:rsid w:val="00CE741B"/>
    <w:rsid w:val="00CE76A1"/>
    <w:rsid w:val="00CE7733"/>
    <w:rsid w:val="00CE78C1"/>
    <w:rsid w:val="00CE78D7"/>
    <w:rsid w:val="00CE7CF2"/>
    <w:rsid w:val="00CF0112"/>
    <w:rsid w:val="00CF02FE"/>
    <w:rsid w:val="00CF0788"/>
    <w:rsid w:val="00CF0A9D"/>
    <w:rsid w:val="00CF0D15"/>
    <w:rsid w:val="00CF0D7F"/>
    <w:rsid w:val="00CF0EA2"/>
    <w:rsid w:val="00CF0ED8"/>
    <w:rsid w:val="00CF0F4D"/>
    <w:rsid w:val="00CF11B0"/>
    <w:rsid w:val="00CF134F"/>
    <w:rsid w:val="00CF13CC"/>
    <w:rsid w:val="00CF1788"/>
    <w:rsid w:val="00CF17A6"/>
    <w:rsid w:val="00CF18BA"/>
    <w:rsid w:val="00CF1E64"/>
    <w:rsid w:val="00CF224B"/>
    <w:rsid w:val="00CF2503"/>
    <w:rsid w:val="00CF2889"/>
    <w:rsid w:val="00CF2A7D"/>
    <w:rsid w:val="00CF2C08"/>
    <w:rsid w:val="00CF2C65"/>
    <w:rsid w:val="00CF2CA9"/>
    <w:rsid w:val="00CF2E0D"/>
    <w:rsid w:val="00CF324E"/>
    <w:rsid w:val="00CF3934"/>
    <w:rsid w:val="00CF3986"/>
    <w:rsid w:val="00CF39E8"/>
    <w:rsid w:val="00CF3A14"/>
    <w:rsid w:val="00CF3CD5"/>
    <w:rsid w:val="00CF42AF"/>
    <w:rsid w:val="00CF43BA"/>
    <w:rsid w:val="00CF44F4"/>
    <w:rsid w:val="00CF450C"/>
    <w:rsid w:val="00CF472B"/>
    <w:rsid w:val="00CF51DE"/>
    <w:rsid w:val="00CF56B7"/>
    <w:rsid w:val="00CF56D5"/>
    <w:rsid w:val="00CF581C"/>
    <w:rsid w:val="00CF5F3A"/>
    <w:rsid w:val="00CF6318"/>
    <w:rsid w:val="00CF6B1B"/>
    <w:rsid w:val="00CF6E1B"/>
    <w:rsid w:val="00CF6FF1"/>
    <w:rsid w:val="00CF702F"/>
    <w:rsid w:val="00CF7075"/>
    <w:rsid w:val="00CF724E"/>
    <w:rsid w:val="00CF74E3"/>
    <w:rsid w:val="00CF75A4"/>
    <w:rsid w:val="00CF773E"/>
    <w:rsid w:val="00CF7757"/>
    <w:rsid w:val="00CF7C54"/>
    <w:rsid w:val="00CF7D1F"/>
    <w:rsid w:val="00D000F1"/>
    <w:rsid w:val="00D00297"/>
    <w:rsid w:val="00D0081E"/>
    <w:rsid w:val="00D00C46"/>
    <w:rsid w:val="00D010A1"/>
    <w:rsid w:val="00D013D0"/>
    <w:rsid w:val="00D0148E"/>
    <w:rsid w:val="00D01491"/>
    <w:rsid w:val="00D014BC"/>
    <w:rsid w:val="00D0181A"/>
    <w:rsid w:val="00D01FC6"/>
    <w:rsid w:val="00D02280"/>
    <w:rsid w:val="00D0248A"/>
    <w:rsid w:val="00D025B4"/>
    <w:rsid w:val="00D02B3C"/>
    <w:rsid w:val="00D038AC"/>
    <w:rsid w:val="00D03A90"/>
    <w:rsid w:val="00D03E66"/>
    <w:rsid w:val="00D0403D"/>
    <w:rsid w:val="00D0409A"/>
    <w:rsid w:val="00D04E3E"/>
    <w:rsid w:val="00D05196"/>
    <w:rsid w:val="00D052D5"/>
    <w:rsid w:val="00D05E6C"/>
    <w:rsid w:val="00D062D0"/>
    <w:rsid w:val="00D06335"/>
    <w:rsid w:val="00D06A58"/>
    <w:rsid w:val="00D07354"/>
    <w:rsid w:val="00D07630"/>
    <w:rsid w:val="00D076B1"/>
    <w:rsid w:val="00D078CA"/>
    <w:rsid w:val="00D07B7A"/>
    <w:rsid w:val="00D07DF8"/>
    <w:rsid w:val="00D07EE1"/>
    <w:rsid w:val="00D10645"/>
    <w:rsid w:val="00D10E41"/>
    <w:rsid w:val="00D111FB"/>
    <w:rsid w:val="00D1179A"/>
    <w:rsid w:val="00D11B16"/>
    <w:rsid w:val="00D12872"/>
    <w:rsid w:val="00D12E2C"/>
    <w:rsid w:val="00D12FF9"/>
    <w:rsid w:val="00D132B2"/>
    <w:rsid w:val="00D136E5"/>
    <w:rsid w:val="00D13A0B"/>
    <w:rsid w:val="00D13D58"/>
    <w:rsid w:val="00D14922"/>
    <w:rsid w:val="00D14D14"/>
    <w:rsid w:val="00D14EB4"/>
    <w:rsid w:val="00D150AE"/>
    <w:rsid w:val="00D1540B"/>
    <w:rsid w:val="00D156F3"/>
    <w:rsid w:val="00D15796"/>
    <w:rsid w:val="00D159CF"/>
    <w:rsid w:val="00D15C52"/>
    <w:rsid w:val="00D16648"/>
    <w:rsid w:val="00D16B48"/>
    <w:rsid w:val="00D16BB4"/>
    <w:rsid w:val="00D16CE7"/>
    <w:rsid w:val="00D170D2"/>
    <w:rsid w:val="00D17228"/>
    <w:rsid w:val="00D1733C"/>
    <w:rsid w:val="00D1753D"/>
    <w:rsid w:val="00D17E7C"/>
    <w:rsid w:val="00D203D0"/>
    <w:rsid w:val="00D20966"/>
    <w:rsid w:val="00D20CDE"/>
    <w:rsid w:val="00D20DB8"/>
    <w:rsid w:val="00D21302"/>
    <w:rsid w:val="00D2167E"/>
    <w:rsid w:val="00D21C13"/>
    <w:rsid w:val="00D229CF"/>
    <w:rsid w:val="00D22BE6"/>
    <w:rsid w:val="00D22D3D"/>
    <w:rsid w:val="00D22D56"/>
    <w:rsid w:val="00D23356"/>
    <w:rsid w:val="00D234C6"/>
    <w:rsid w:val="00D236FD"/>
    <w:rsid w:val="00D23AF3"/>
    <w:rsid w:val="00D23C83"/>
    <w:rsid w:val="00D23E16"/>
    <w:rsid w:val="00D23E40"/>
    <w:rsid w:val="00D2402E"/>
    <w:rsid w:val="00D242D2"/>
    <w:rsid w:val="00D24C6C"/>
    <w:rsid w:val="00D24D8E"/>
    <w:rsid w:val="00D24FD9"/>
    <w:rsid w:val="00D25395"/>
    <w:rsid w:val="00D25B96"/>
    <w:rsid w:val="00D260F4"/>
    <w:rsid w:val="00D27694"/>
    <w:rsid w:val="00D27F3B"/>
    <w:rsid w:val="00D30031"/>
    <w:rsid w:val="00D30799"/>
    <w:rsid w:val="00D3124C"/>
    <w:rsid w:val="00D31967"/>
    <w:rsid w:val="00D31DE7"/>
    <w:rsid w:val="00D32557"/>
    <w:rsid w:val="00D32F47"/>
    <w:rsid w:val="00D330A5"/>
    <w:rsid w:val="00D33121"/>
    <w:rsid w:val="00D33576"/>
    <w:rsid w:val="00D337C4"/>
    <w:rsid w:val="00D33A99"/>
    <w:rsid w:val="00D33BCB"/>
    <w:rsid w:val="00D33CE4"/>
    <w:rsid w:val="00D33FD3"/>
    <w:rsid w:val="00D3479A"/>
    <w:rsid w:val="00D34A0E"/>
    <w:rsid w:val="00D34A40"/>
    <w:rsid w:val="00D34BBF"/>
    <w:rsid w:val="00D34D3C"/>
    <w:rsid w:val="00D34D59"/>
    <w:rsid w:val="00D34E03"/>
    <w:rsid w:val="00D34E47"/>
    <w:rsid w:val="00D358F0"/>
    <w:rsid w:val="00D35CBE"/>
    <w:rsid w:val="00D368DE"/>
    <w:rsid w:val="00D36CFF"/>
    <w:rsid w:val="00D375EB"/>
    <w:rsid w:val="00D377B1"/>
    <w:rsid w:val="00D400A1"/>
    <w:rsid w:val="00D400C3"/>
    <w:rsid w:val="00D401CD"/>
    <w:rsid w:val="00D4051E"/>
    <w:rsid w:val="00D40ABC"/>
    <w:rsid w:val="00D40AF0"/>
    <w:rsid w:val="00D40CD8"/>
    <w:rsid w:val="00D410F2"/>
    <w:rsid w:val="00D4169C"/>
    <w:rsid w:val="00D425AC"/>
    <w:rsid w:val="00D42871"/>
    <w:rsid w:val="00D42880"/>
    <w:rsid w:val="00D42F41"/>
    <w:rsid w:val="00D4302F"/>
    <w:rsid w:val="00D430C5"/>
    <w:rsid w:val="00D43176"/>
    <w:rsid w:val="00D43ABD"/>
    <w:rsid w:val="00D43D09"/>
    <w:rsid w:val="00D448EA"/>
    <w:rsid w:val="00D44CFD"/>
    <w:rsid w:val="00D44EC1"/>
    <w:rsid w:val="00D45D49"/>
    <w:rsid w:val="00D45EBA"/>
    <w:rsid w:val="00D45EF7"/>
    <w:rsid w:val="00D45FB6"/>
    <w:rsid w:val="00D46304"/>
    <w:rsid w:val="00D46D2E"/>
    <w:rsid w:val="00D46FDC"/>
    <w:rsid w:val="00D47044"/>
    <w:rsid w:val="00D47EE2"/>
    <w:rsid w:val="00D50110"/>
    <w:rsid w:val="00D5046F"/>
    <w:rsid w:val="00D5078E"/>
    <w:rsid w:val="00D50CCB"/>
    <w:rsid w:val="00D50D7C"/>
    <w:rsid w:val="00D511DA"/>
    <w:rsid w:val="00D511E6"/>
    <w:rsid w:val="00D513BC"/>
    <w:rsid w:val="00D5160C"/>
    <w:rsid w:val="00D516B9"/>
    <w:rsid w:val="00D521C5"/>
    <w:rsid w:val="00D522A3"/>
    <w:rsid w:val="00D5264F"/>
    <w:rsid w:val="00D526CA"/>
    <w:rsid w:val="00D528B8"/>
    <w:rsid w:val="00D52BCB"/>
    <w:rsid w:val="00D535C5"/>
    <w:rsid w:val="00D535F7"/>
    <w:rsid w:val="00D536C0"/>
    <w:rsid w:val="00D5400D"/>
    <w:rsid w:val="00D549A2"/>
    <w:rsid w:val="00D55016"/>
    <w:rsid w:val="00D55737"/>
    <w:rsid w:val="00D558B1"/>
    <w:rsid w:val="00D55A1B"/>
    <w:rsid w:val="00D55F0A"/>
    <w:rsid w:val="00D56055"/>
    <w:rsid w:val="00D56177"/>
    <w:rsid w:val="00D563D5"/>
    <w:rsid w:val="00D5673E"/>
    <w:rsid w:val="00D56B32"/>
    <w:rsid w:val="00D5745C"/>
    <w:rsid w:val="00D57466"/>
    <w:rsid w:val="00D576FB"/>
    <w:rsid w:val="00D578EC"/>
    <w:rsid w:val="00D60052"/>
    <w:rsid w:val="00D60261"/>
    <w:rsid w:val="00D6038E"/>
    <w:rsid w:val="00D605D4"/>
    <w:rsid w:val="00D60DA1"/>
    <w:rsid w:val="00D610C1"/>
    <w:rsid w:val="00D6149D"/>
    <w:rsid w:val="00D616C8"/>
    <w:rsid w:val="00D61D28"/>
    <w:rsid w:val="00D61FB3"/>
    <w:rsid w:val="00D620C4"/>
    <w:rsid w:val="00D622BD"/>
    <w:rsid w:val="00D625E7"/>
    <w:rsid w:val="00D627F7"/>
    <w:rsid w:val="00D62B05"/>
    <w:rsid w:val="00D62FA1"/>
    <w:rsid w:val="00D6304D"/>
    <w:rsid w:val="00D63380"/>
    <w:rsid w:val="00D633AF"/>
    <w:rsid w:val="00D6360C"/>
    <w:rsid w:val="00D638FC"/>
    <w:rsid w:val="00D63978"/>
    <w:rsid w:val="00D63CA0"/>
    <w:rsid w:val="00D63CE4"/>
    <w:rsid w:val="00D63F75"/>
    <w:rsid w:val="00D640E6"/>
    <w:rsid w:val="00D64190"/>
    <w:rsid w:val="00D64961"/>
    <w:rsid w:val="00D6510E"/>
    <w:rsid w:val="00D65371"/>
    <w:rsid w:val="00D6586C"/>
    <w:rsid w:val="00D6598B"/>
    <w:rsid w:val="00D659A4"/>
    <w:rsid w:val="00D66145"/>
    <w:rsid w:val="00D66A8A"/>
    <w:rsid w:val="00D66C1C"/>
    <w:rsid w:val="00D66F0E"/>
    <w:rsid w:val="00D67889"/>
    <w:rsid w:val="00D701B9"/>
    <w:rsid w:val="00D70333"/>
    <w:rsid w:val="00D70460"/>
    <w:rsid w:val="00D7104B"/>
    <w:rsid w:val="00D71280"/>
    <w:rsid w:val="00D71617"/>
    <w:rsid w:val="00D71EB0"/>
    <w:rsid w:val="00D722CF"/>
    <w:rsid w:val="00D72B52"/>
    <w:rsid w:val="00D72F11"/>
    <w:rsid w:val="00D7318B"/>
    <w:rsid w:val="00D73210"/>
    <w:rsid w:val="00D732C3"/>
    <w:rsid w:val="00D737DE"/>
    <w:rsid w:val="00D748E9"/>
    <w:rsid w:val="00D74BF2"/>
    <w:rsid w:val="00D75030"/>
    <w:rsid w:val="00D750A5"/>
    <w:rsid w:val="00D7511C"/>
    <w:rsid w:val="00D755E7"/>
    <w:rsid w:val="00D7587E"/>
    <w:rsid w:val="00D75D40"/>
    <w:rsid w:val="00D760C5"/>
    <w:rsid w:val="00D7632F"/>
    <w:rsid w:val="00D7695A"/>
    <w:rsid w:val="00D77649"/>
    <w:rsid w:val="00D7788C"/>
    <w:rsid w:val="00D779F9"/>
    <w:rsid w:val="00D77AF0"/>
    <w:rsid w:val="00D77DFF"/>
    <w:rsid w:val="00D80053"/>
    <w:rsid w:val="00D80104"/>
    <w:rsid w:val="00D80337"/>
    <w:rsid w:val="00D80462"/>
    <w:rsid w:val="00D80670"/>
    <w:rsid w:val="00D807B7"/>
    <w:rsid w:val="00D8080B"/>
    <w:rsid w:val="00D80A4F"/>
    <w:rsid w:val="00D80BB3"/>
    <w:rsid w:val="00D80DD3"/>
    <w:rsid w:val="00D80E33"/>
    <w:rsid w:val="00D81386"/>
    <w:rsid w:val="00D8144C"/>
    <w:rsid w:val="00D81EC5"/>
    <w:rsid w:val="00D81F1F"/>
    <w:rsid w:val="00D8212C"/>
    <w:rsid w:val="00D824D5"/>
    <w:rsid w:val="00D82524"/>
    <w:rsid w:val="00D827E2"/>
    <w:rsid w:val="00D82AB8"/>
    <w:rsid w:val="00D830A0"/>
    <w:rsid w:val="00D83912"/>
    <w:rsid w:val="00D84009"/>
    <w:rsid w:val="00D840BB"/>
    <w:rsid w:val="00D8430E"/>
    <w:rsid w:val="00D845A3"/>
    <w:rsid w:val="00D847F5"/>
    <w:rsid w:val="00D849DB"/>
    <w:rsid w:val="00D84B46"/>
    <w:rsid w:val="00D84D37"/>
    <w:rsid w:val="00D85210"/>
    <w:rsid w:val="00D86791"/>
    <w:rsid w:val="00D86A15"/>
    <w:rsid w:val="00D86B32"/>
    <w:rsid w:val="00D86CDD"/>
    <w:rsid w:val="00D86D62"/>
    <w:rsid w:val="00D86D91"/>
    <w:rsid w:val="00D873CC"/>
    <w:rsid w:val="00D873FB"/>
    <w:rsid w:val="00D8757F"/>
    <w:rsid w:val="00D876DD"/>
    <w:rsid w:val="00D87AA3"/>
    <w:rsid w:val="00D87ADC"/>
    <w:rsid w:val="00D87BEC"/>
    <w:rsid w:val="00D87D03"/>
    <w:rsid w:val="00D87E58"/>
    <w:rsid w:val="00D9006C"/>
    <w:rsid w:val="00D9024E"/>
    <w:rsid w:val="00D903F4"/>
    <w:rsid w:val="00D90D80"/>
    <w:rsid w:val="00D910D6"/>
    <w:rsid w:val="00D91386"/>
    <w:rsid w:val="00D922E7"/>
    <w:rsid w:val="00D9255F"/>
    <w:rsid w:val="00D92609"/>
    <w:rsid w:val="00D9266C"/>
    <w:rsid w:val="00D92E4A"/>
    <w:rsid w:val="00D93267"/>
    <w:rsid w:val="00D94257"/>
    <w:rsid w:val="00D94DF7"/>
    <w:rsid w:val="00D953E3"/>
    <w:rsid w:val="00D9560C"/>
    <w:rsid w:val="00D95A82"/>
    <w:rsid w:val="00D9625F"/>
    <w:rsid w:val="00D962AF"/>
    <w:rsid w:val="00D963B5"/>
    <w:rsid w:val="00D96488"/>
    <w:rsid w:val="00D967C8"/>
    <w:rsid w:val="00D968CA"/>
    <w:rsid w:val="00D96B03"/>
    <w:rsid w:val="00D96D60"/>
    <w:rsid w:val="00D96DAA"/>
    <w:rsid w:val="00D9756E"/>
    <w:rsid w:val="00D976C2"/>
    <w:rsid w:val="00D97A49"/>
    <w:rsid w:val="00D97CDE"/>
    <w:rsid w:val="00D97DAB"/>
    <w:rsid w:val="00D97ED6"/>
    <w:rsid w:val="00DA0163"/>
    <w:rsid w:val="00DA098A"/>
    <w:rsid w:val="00DA0C94"/>
    <w:rsid w:val="00DA0F0A"/>
    <w:rsid w:val="00DA1332"/>
    <w:rsid w:val="00DA13A0"/>
    <w:rsid w:val="00DA17D0"/>
    <w:rsid w:val="00DA1984"/>
    <w:rsid w:val="00DA1C9F"/>
    <w:rsid w:val="00DA1D64"/>
    <w:rsid w:val="00DA1DFB"/>
    <w:rsid w:val="00DA2028"/>
    <w:rsid w:val="00DA2185"/>
    <w:rsid w:val="00DA2297"/>
    <w:rsid w:val="00DA231C"/>
    <w:rsid w:val="00DA235A"/>
    <w:rsid w:val="00DA2395"/>
    <w:rsid w:val="00DA2920"/>
    <w:rsid w:val="00DA2973"/>
    <w:rsid w:val="00DA30B7"/>
    <w:rsid w:val="00DA37FE"/>
    <w:rsid w:val="00DA395C"/>
    <w:rsid w:val="00DA3A22"/>
    <w:rsid w:val="00DA3AF4"/>
    <w:rsid w:val="00DA422C"/>
    <w:rsid w:val="00DA4397"/>
    <w:rsid w:val="00DA46B2"/>
    <w:rsid w:val="00DA4706"/>
    <w:rsid w:val="00DA4A0E"/>
    <w:rsid w:val="00DA4DD5"/>
    <w:rsid w:val="00DA5B86"/>
    <w:rsid w:val="00DA5EBB"/>
    <w:rsid w:val="00DA6372"/>
    <w:rsid w:val="00DA65B4"/>
    <w:rsid w:val="00DA6D29"/>
    <w:rsid w:val="00DA7003"/>
    <w:rsid w:val="00DA71CF"/>
    <w:rsid w:val="00DA7390"/>
    <w:rsid w:val="00DA7797"/>
    <w:rsid w:val="00DA7974"/>
    <w:rsid w:val="00DA79C0"/>
    <w:rsid w:val="00DA7F78"/>
    <w:rsid w:val="00DA7FBB"/>
    <w:rsid w:val="00DA7FEA"/>
    <w:rsid w:val="00DB013B"/>
    <w:rsid w:val="00DB039E"/>
    <w:rsid w:val="00DB03D5"/>
    <w:rsid w:val="00DB0904"/>
    <w:rsid w:val="00DB1851"/>
    <w:rsid w:val="00DB1C06"/>
    <w:rsid w:val="00DB1CD2"/>
    <w:rsid w:val="00DB1D28"/>
    <w:rsid w:val="00DB1FD6"/>
    <w:rsid w:val="00DB2990"/>
    <w:rsid w:val="00DB311E"/>
    <w:rsid w:val="00DB33FD"/>
    <w:rsid w:val="00DB3427"/>
    <w:rsid w:val="00DB36C3"/>
    <w:rsid w:val="00DB3C34"/>
    <w:rsid w:val="00DB3D43"/>
    <w:rsid w:val="00DB3FA3"/>
    <w:rsid w:val="00DB4012"/>
    <w:rsid w:val="00DB41C2"/>
    <w:rsid w:val="00DB45C2"/>
    <w:rsid w:val="00DB4676"/>
    <w:rsid w:val="00DB4E53"/>
    <w:rsid w:val="00DB5337"/>
    <w:rsid w:val="00DB5B68"/>
    <w:rsid w:val="00DB5E66"/>
    <w:rsid w:val="00DB5EDB"/>
    <w:rsid w:val="00DB61C3"/>
    <w:rsid w:val="00DB691D"/>
    <w:rsid w:val="00DB6A90"/>
    <w:rsid w:val="00DB6C82"/>
    <w:rsid w:val="00DB6CB7"/>
    <w:rsid w:val="00DB7A41"/>
    <w:rsid w:val="00DB7CC3"/>
    <w:rsid w:val="00DB7D2E"/>
    <w:rsid w:val="00DB7E00"/>
    <w:rsid w:val="00DB7E70"/>
    <w:rsid w:val="00DC0252"/>
    <w:rsid w:val="00DC0913"/>
    <w:rsid w:val="00DC0B96"/>
    <w:rsid w:val="00DC1044"/>
    <w:rsid w:val="00DC146A"/>
    <w:rsid w:val="00DC14BE"/>
    <w:rsid w:val="00DC15D0"/>
    <w:rsid w:val="00DC180D"/>
    <w:rsid w:val="00DC180F"/>
    <w:rsid w:val="00DC1B38"/>
    <w:rsid w:val="00DC1B5C"/>
    <w:rsid w:val="00DC1C83"/>
    <w:rsid w:val="00DC1E36"/>
    <w:rsid w:val="00DC1EDE"/>
    <w:rsid w:val="00DC1FAB"/>
    <w:rsid w:val="00DC1FD0"/>
    <w:rsid w:val="00DC208E"/>
    <w:rsid w:val="00DC2104"/>
    <w:rsid w:val="00DC21E0"/>
    <w:rsid w:val="00DC220E"/>
    <w:rsid w:val="00DC2489"/>
    <w:rsid w:val="00DC268A"/>
    <w:rsid w:val="00DC2889"/>
    <w:rsid w:val="00DC296A"/>
    <w:rsid w:val="00DC29D6"/>
    <w:rsid w:val="00DC2B64"/>
    <w:rsid w:val="00DC2BEA"/>
    <w:rsid w:val="00DC2D77"/>
    <w:rsid w:val="00DC33BF"/>
    <w:rsid w:val="00DC3873"/>
    <w:rsid w:val="00DC38D1"/>
    <w:rsid w:val="00DC393F"/>
    <w:rsid w:val="00DC3969"/>
    <w:rsid w:val="00DC3A76"/>
    <w:rsid w:val="00DC3AEA"/>
    <w:rsid w:val="00DC3B40"/>
    <w:rsid w:val="00DC499D"/>
    <w:rsid w:val="00DC4A9E"/>
    <w:rsid w:val="00DC50B5"/>
    <w:rsid w:val="00DC5135"/>
    <w:rsid w:val="00DC5951"/>
    <w:rsid w:val="00DC5953"/>
    <w:rsid w:val="00DC59C8"/>
    <w:rsid w:val="00DC5DC5"/>
    <w:rsid w:val="00DC5EEA"/>
    <w:rsid w:val="00DC71CD"/>
    <w:rsid w:val="00DD0382"/>
    <w:rsid w:val="00DD0E3B"/>
    <w:rsid w:val="00DD1020"/>
    <w:rsid w:val="00DD1EB5"/>
    <w:rsid w:val="00DD2373"/>
    <w:rsid w:val="00DD24C7"/>
    <w:rsid w:val="00DD2B86"/>
    <w:rsid w:val="00DD2E62"/>
    <w:rsid w:val="00DD2EB6"/>
    <w:rsid w:val="00DD385E"/>
    <w:rsid w:val="00DD3F4A"/>
    <w:rsid w:val="00DD40C1"/>
    <w:rsid w:val="00DD42E4"/>
    <w:rsid w:val="00DD4329"/>
    <w:rsid w:val="00DD4899"/>
    <w:rsid w:val="00DD5552"/>
    <w:rsid w:val="00DD5679"/>
    <w:rsid w:val="00DD5DD3"/>
    <w:rsid w:val="00DD6030"/>
    <w:rsid w:val="00DD6199"/>
    <w:rsid w:val="00DD6234"/>
    <w:rsid w:val="00DD64F3"/>
    <w:rsid w:val="00DD6C04"/>
    <w:rsid w:val="00DD6F77"/>
    <w:rsid w:val="00DD70E9"/>
    <w:rsid w:val="00DD7545"/>
    <w:rsid w:val="00DD75BC"/>
    <w:rsid w:val="00DD770D"/>
    <w:rsid w:val="00DD7936"/>
    <w:rsid w:val="00DD7E11"/>
    <w:rsid w:val="00DE08EE"/>
    <w:rsid w:val="00DE0C6A"/>
    <w:rsid w:val="00DE1855"/>
    <w:rsid w:val="00DE1EAB"/>
    <w:rsid w:val="00DE1F2F"/>
    <w:rsid w:val="00DE2061"/>
    <w:rsid w:val="00DE267F"/>
    <w:rsid w:val="00DE26EE"/>
    <w:rsid w:val="00DE27FA"/>
    <w:rsid w:val="00DE2A82"/>
    <w:rsid w:val="00DE2B6D"/>
    <w:rsid w:val="00DE2E7D"/>
    <w:rsid w:val="00DE3406"/>
    <w:rsid w:val="00DE37E1"/>
    <w:rsid w:val="00DE3814"/>
    <w:rsid w:val="00DE391D"/>
    <w:rsid w:val="00DE39A1"/>
    <w:rsid w:val="00DE3C60"/>
    <w:rsid w:val="00DE3EED"/>
    <w:rsid w:val="00DE4593"/>
    <w:rsid w:val="00DE4A83"/>
    <w:rsid w:val="00DE4AD5"/>
    <w:rsid w:val="00DE5580"/>
    <w:rsid w:val="00DE5B20"/>
    <w:rsid w:val="00DE5C6D"/>
    <w:rsid w:val="00DE5DB5"/>
    <w:rsid w:val="00DE5FF3"/>
    <w:rsid w:val="00DE60E5"/>
    <w:rsid w:val="00DE634F"/>
    <w:rsid w:val="00DE664D"/>
    <w:rsid w:val="00DE6A7B"/>
    <w:rsid w:val="00DE6B0F"/>
    <w:rsid w:val="00DE6C09"/>
    <w:rsid w:val="00DE709A"/>
    <w:rsid w:val="00DE7116"/>
    <w:rsid w:val="00DE7183"/>
    <w:rsid w:val="00DE75F5"/>
    <w:rsid w:val="00DE76B5"/>
    <w:rsid w:val="00DE7E07"/>
    <w:rsid w:val="00DF004F"/>
    <w:rsid w:val="00DF052F"/>
    <w:rsid w:val="00DF06CB"/>
    <w:rsid w:val="00DF07BA"/>
    <w:rsid w:val="00DF08F2"/>
    <w:rsid w:val="00DF0F35"/>
    <w:rsid w:val="00DF0FF5"/>
    <w:rsid w:val="00DF11FA"/>
    <w:rsid w:val="00DF124D"/>
    <w:rsid w:val="00DF1331"/>
    <w:rsid w:val="00DF13F5"/>
    <w:rsid w:val="00DF194D"/>
    <w:rsid w:val="00DF1B3E"/>
    <w:rsid w:val="00DF1D2E"/>
    <w:rsid w:val="00DF1F77"/>
    <w:rsid w:val="00DF24E3"/>
    <w:rsid w:val="00DF2B33"/>
    <w:rsid w:val="00DF493E"/>
    <w:rsid w:val="00DF49B5"/>
    <w:rsid w:val="00DF49FA"/>
    <w:rsid w:val="00DF4FC6"/>
    <w:rsid w:val="00DF4FCB"/>
    <w:rsid w:val="00DF5619"/>
    <w:rsid w:val="00DF5CAB"/>
    <w:rsid w:val="00DF5EDF"/>
    <w:rsid w:val="00DF615A"/>
    <w:rsid w:val="00DF679C"/>
    <w:rsid w:val="00DF6841"/>
    <w:rsid w:val="00DF7114"/>
    <w:rsid w:val="00DF7492"/>
    <w:rsid w:val="00DF75E6"/>
    <w:rsid w:val="00DF7806"/>
    <w:rsid w:val="00DF7D65"/>
    <w:rsid w:val="00DF7F98"/>
    <w:rsid w:val="00DF7FD1"/>
    <w:rsid w:val="00E0005B"/>
    <w:rsid w:val="00E00672"/>
    <w:rsid w:val="00E0077C"/>
    <w:rsid w:val="00E010D7"/>
    <w:rsid w:val="00E011DC"/>
    <w:rsid w:val="00E013E6"/>
    <w:rsid w:val="00E0165C"/>
    <w:rsid w:val="00E016CB"/>
    <w:rsid w:val="00E01775"/>
    <w:rsid w:val="00E01AC9"/>
    <w:rsid w:val="00E01B79"/>
    <w:rsid w:val="00E02412"/>
    <w:rsid w:val="00E024E6"/>
    <w:rsid w:val="00E0278D"/>
    <w:rsid w:val="00E02A70"/>
    <w:rsid w:val="00E02BC4"/>
    <w:rsid w:val="00E02DC9"/>
    <w:rsid w:val="00E02F19"/>
    <w:rsid w:val="00E032C0"/>
    <w:rsid w:val="00E0380B"/>
    <w:rsid w:val="00E03AF9"/>
    <w:rsid w:val="00E03B96"/>
    <w:rsid w:val="00E045F6"/>
    <w:rsid w:val="00E04A2D"/>
    <w:rsid w:val="00E04B9A"/>
    <w:rsid w:val="00E04FB9"/>
    <w:rsid w:val="00E05408"/>
    <w:rsid w:val="00E055A1"/>
    <w:rsid w:val="00E05EA7"/>
    <w:rsid w:val="00E0691D"/>
    <w:rsid w:val="00E06C3E"/>
    <w:rsid w:val="00E07667"/>
    <w:rsid w:val="00E0773C"/>
    <w:rsid w:val="00E0798C"/>
    <w:rsid w:val="00E07B89"/>
    <w:rsid w:val="00E07FF0"/>
    <w:rsid w:val="00E1021B"/>
    <w:rsid w:val="00E10344"/>
    <w:rsid w:val="00E10ED5"/>
    <w:rsid w:val="00E112B8"/>
    <w:rsid w:val="00E11449"/>
    <w:rsid w:val="00E11642"/>
    <w:rsid w:val="00E11825"/>
    <w:rsid w:val="00E11BF1"/>
    <w:rsid w:val="00E11C50"/>
    <w:rsid w:val="00E11F29"/>
    <w:rsid w:val="00E11F2D"/>
    <w:rsid w:val="00E1210B"/>
    <w:rsid w:val="00E12139"/>
    <w:rsid w:val="00E122D6"/>
    <w:rsid w:val="00E12A55"/>
    <w:rsid w:val="00E12E22"/>
    <w:rsid w:val="00E12E28"/>
    <w:rsid w:val="00E12F0A"/>
    <w:rsid w:val="00E12F43"/>
    <w:rsid w:val="00E13357"/>
    <w:rsid w:val="00E13ED2"/>
    <w:rsid w:val="00E14132"/>
    <w:rsid w:val="00E142B4"/>
    <w:rsid w:val="00E14A2D"/>
    <w:rsid w:val="00E15278"/>
    <w:rsid w:val="00E15345"/>
    <w:rsid w:val="00E15770"/>
    <w:rsid w:val="00E1581C"/>
    <w:rsid w:val="00E15F47"/>
    <w:rsid w:val="00E16353"/>
    <w:rsid w:val="00E1693D"/>
    <w:rsid w:val="00E16A5A"/>
    <w:rsid w:val="00E16D36"/>
    <w:rsid w:val="00E16FE5"/>
    <w:rsid w:val="00E17D2A"/>
    <w:rsid w:val="00E203B7"/>
    <w:rsid w:val="00E20632"/>
    <w:rsid w:val="00E208BE"/>
    <w:rsid w:val="00E20BE5"/>
    <w:rsid w:val="00E20D5E"/>
    <w:rsid w:val="00E20F4E"/>
    <w:rsid w:val="00E2144F"/>
    <w:rsid w:val="00E2153E"/>
    <w:rsid w:val="00E215F1"/>
    <w:rsid w:val="00E21706"/>
    <w:rsid w:val="00E2345B"/>
    <w:rsid w:val="00E2387C"/>
    <w:rsid w:val="00E238D0"/>
    <w:rsid w:val="00E24251"/>
    <w:rsid w:val="00E246E9"/>
    <w:rsid w:val="00E24A0F"/>
    <w:rsid w:val="00E24E9F"/>
    <w:rsid w:val="00E25E5A"/>
    <w:rsid w:val="00E261BF"/>
    <w:rsid w:val="00E2685B"/>
    <w:rsid w:val="00E26987"/>
    <w:rsid w:val="00E26B36"/>
    <w:rsid w:val="00E26DD6"/>
    <w:rsid w:val="00E26E2C"/>
    <w:rsid w:val="00E2707B"/>
    <w:rsid w:val="00E2749F"/>
    <w:rsid w:val="00E27601"/>
    <w:rsid w:val="00E27645"/>
    <w:rsid w:val="00E30031"/>
    <w:rsid w:val="00E304F8"/>
    <w:rsid w:val="00E30702"/>
    <w:rsid w:val="00E3078D"/>
    <w:rsid w:val="00E3173F"/>
    <w:rsid w:val="00E31C45"/>
    <w:rsid w:val="00E31ED9"/>
    <w:rsid w:val="00E322C8"/>
    <w:rsid w:val="00E325E4"/>
    <w:rsid w:val="00E32727"/>
    <w:rsid w:val="00E32E4C"/>
    <w:rsid w:val="00E3307E"/>
    <w:rsid w:val="00E335D0"/>
    <w:rsid w:val="00E33BB0"/>
    <w:rsid w:val="00E33F91"/>
    <w:rsid w:val="00E343B2"/>
    <w:rsid w:val="00E346DF"/>
    <w:rsid w:val="00E34C40"/>
    <w:rsid w:val="00E35012"/>
    <w:rsid w:val="00E351EA"/>
    <w:rsid w:val="00E35607"/>
    <w:rsid w:val="00E35945"/>
    <w:rsid w:val="00E35FC7"/>
    <w:rsid w:val="00E367E4"/>
    <w:rsid w:val="00E369CC"/>
    <w:rsid w:val="00E36C0B"/>
    <w:rsid w:val="00E36E4A"/>
    <w:rsid w:val="00E37A29"/>
    <w:rsid w:val="00E4018F"/>
    <w:rsid w:val="00E402D6"/>
    <w:rsid w:val="00E4080F"/>
    <w:rsid w:val="00E408BF"/>
    <w:rsid w:val="00E409D7"/>
    <w:rsid w:val="00E40BCB"/>
    <w:rsid w:val="00E40CAD"/>
    <w:rsid w:val="00E40D08"/>
    <w:rsid w:val="00E411E8"/>
    <w:rsid w:val="00E4138F"/>
    <w:rsid w:val="00E41893"/>
    <w:rsid w:val="00E418A4"/>
    <w:rsid w:val="00E41DB1"/>
    <w:rsid w:val="00E42018"/>
    <w:rsid w:val="00E42245"/>
    <w:rsid w:val="00E42CF2"/>
    <w:rsid w:val="00E43329"/>
    <w:rsid w:val="00E43391"/>
    <w:rsid w:val="00E4362C"/>
    <w:rsid w:val="00E438A6"/>
    <w:rsid w:val="00E43EF7"/>
    <w:rsid w:val="00E43FA9"/>
    <w:rsid w:val="00E44075"/>
    <w:rsid w:val="00E4437D"/>
    <w:rsid w:val="00E4446A"/>
    <w:rsid w:val="00E44579"/>
    <w:rsid w:val="00E451D7"/>
    <w:rsid w:val="00E452AC"/>
    <w:rsid w:val="00E4544B"/>
    <w:rsid w:val="00E457EB"/>
    <w:rsid w:val="00E4597D"/>
    <w:rsid w:val="00E45EBE"/>
    <w:rsid w:val="00E463A2"/>
    <w:rsid w:val="00E4650F"/>
    <w:rsid w:val="00E46555"/>
    <w:rsid w:val="00E46EC1"/>
    <w:rsid w:val="00E47325"/>
    <w:rsid w:val="00E4794F"/>
    <w:rsid w:val="00E47D3F"/>
    <w:rsid w:val="00E47DA3"/>
    <w:rsid w:val="00E47FA6"/>
    <w:rsid w:val="00E5049B"/>
    <w:rsid w:val="00E5062B"/>
    <w:rsid w:val="00E5066E"/>
    <w:rsid w:val="00E50CBB"/>
    <w:rsid w:val="00E50D53"/>
    <w:rsid w:val="00E51A36"/>
    <w:rsid w:val="00E51A61"/>
    <w:rsid w:val="00E51CC1"/>
    <w:rsid w:val="00E520D3"/>
    <w:rsid w:val="00E52385"/>
    <w:rsid w:val="00E529B5"/>
    <w:rsid w:val="00E52FC8"/>
    <w:rsid w:val="00E5378B"/>
    <w:rsid w:val="00E53CD7"/>
    <w:rsid w:val="00E541AD"/>
    <w:rsid w:val="00E54354"/>
    <w:rsid w:val="00E54BED"/>
    <w:rsid w:val="00E5522B"/>
    <w:rsid w:val="00E556F9"/>
    <w:rsid w:val="00E55844"/>
    <w:rsid w:val="00E55FD5"/>
    <w:rsid w:val="00E56330"/>
    <w:rsid w:val="00E563B1"/>
    <w:rsid w:val="00E56DC3"/>
    <w:rsid w:val="00E56EA4"/>
    <w:rsid w:val="00E570B0"/>
    <w:rsid w:val="00E571B1"/>
    <w:rsid w:val="00E5770B"/>
    <w:rsid w:val="00E57D2F"/>
    <w:rsid w:val="00E6023E"/>
    <w:rsid w:val="00E602E5"/>
    <w:rsid w:val="00E6036E"/>
    <w:rsid w:val="00E603AF"/>
    <w:rsid w:val="00E60991"/>
    <w:rsid w:val="00E60C38"/>
    <w:rsid w:val="00E60C4A"/>
    <w:rsid w:val="00E61336"/>
    <w:rsid w:val="00E61727"/>
    <w:rsid w:val="00E61F88"/>
    <w:rsid w:val="00E626B9"/>
    <w:rsid w:val="00E62730"/>
    <w:rsid w:val="00E6284F"/>
    <w:rsid w:val="00E62B8B"/>
    <w:rsid w:val="00E630B8"/>
    <w:rsid w:val="00E63396"/>
    <w:rsid w:val="00E6360A"/>
    <w:rsid w:val="00E636D4"/>
    <w:rsid w:val="00E637AB"/>
    <w:rsid w:val="00E63D29"/>
    <w:rsid w:val="00E64355"/>
    <w:rsid w:val="00E64400"/>
    <w:rsid w:val="00E64567"/>
    <w:rsid w:val="00E645EF"/>
    <w:rsid w:val="00E64615"/>
    <w:rsid w:val="00E6498A"/>
    <w:rsid w:val="00E64A18"/>
    <w:rsid w:val="00E64BB0"/>
    <w:rsid w:val="00E65438"/>
    <w:rsid w:val="00E65979"/>
    <w:rsid w:val="00E65A02"/>
    <w:rsid w:val="00E65B71"/>
    <w:rsid w:val="00E66176"/>
    <w:rsid w:val="00E66452"/>
    <w:rsid w:val="00E66ADA"/>
    <w:rsid w:val="00E674C1"/>
    <w:rsid w:val="00E6750B"/>
    <w:rsid w:val="00E679EF"/>
    <w:rsid w:val="00E7030D"/>
    <w:rsid w:val="00E70748"/>
    <w:rsid w:val="00E707FE"/>
    <w:rsid w:val="00E70E2D"/>
    <w:rsid w:val="00E70FF1"/>
    <w:rsid w:val="00E7125D"/>
    <w:rsid w:val="00E71723"/>
    <w:rsid w:val="00E71926"/>
    <w:rsid w:val="00E71AAB"/>
    <w:rsid w:val="00E71BB4"/>
    <w:rsid w:val="00E7221E"/>
    <w:rsid w:val="00E722BC"/>
    <w:rsid w:val="00E722C6"/>
    <w:rsid w:val="00E72426"/>
    <w:rsid w:val="00E72A2C"/>
    <w:rsid w:val="00E72B09"/>
    <w:rsid w:val="00E72BC5"/>
    <w:rsid w:val="00E72DB8"/>
    <w:rsid w:val="00E7309D"/>
    <w:rsid w:val="00E734CB"/>
    <w:rsid w:val="00E735F2"/>
    <w:rsid w:val="00E73615"/>
    <w:rsid w:val="00E73841"/>
    <w:rsid w:val="00E73976"/>
    <w:rsid w:val="00E742CD"/>
    <w:rsid w:val="00E74FB6"/>
    <w:rsid w:val="00E75356"/>
    <w:rsid w:val="00E7537E"/>
    <w:rsid w:val="00E754BB"/>
    <w:rsid w:val="00E75896"/>
    <w:rsid w:val="00E75DAE"/>
    <w:rsid w:val="00E75F59"/>
    <w:rsid w:val="00E760DB"/>
    <w:rsid w:val="00E76429"/>
    <w:rsid w:val="00E766E3"/>
    <w:rsid w:val="00E76A87"/>
    <w:rsid w:val="00E76FCF"/>
    <w:rsid w:val="00E771F5"/>
    <w:rsid w:val="00E7793F"/>
    <w:rsid w:val="00E77E4B"/>
    <w:rsid w:val="00E80394"/>
    <w:rsid w:val="00E803FE"/>
    <w:rsid w:val="00E806C3"/>
    <w:rsid w:val="00E80C95"/>
    <w:rsid w:val="00E80CC0"/>
    <w:rsid w:val="00E81BB1"/>
    <w:rsid w:val="00E81C2E"/>
    <w:rsid w:val="00E81D02"/>
    <w:rsid w:val="00E82145"/>
    <w:rsid w:val="00E8273A"/>
    <w:rsid w:val="00E82A0E"/>
    <w:rsid w:val="00E82DBE"/>
    <w:rsid w:val="00E82EBA"/>
    <w:rsid w:val="00E82F46"/>
    <w:rsid w:val="00E82FCA"/>
    <w:rsid w:val="00E83232"/>
    <w:rsid w:val="00E833EC"/>
    <w:rsid w:val="00E8356B"/>
    <w:rsid w:val="00E83CF9"/>
    <w:rsid w:val="00E8417B"/>
    <w:rsid w:val="00E846B8"/>
    <w:rsid w:val="00E84D1C"/>
    <w:rsid w:val="00E84F38"/>
    <w:rsid w:val="00E852DD"/>
    <w:rsid w:val="00E8549B"/>
    <w:rsid w:val="00E859AB"/>
    <w:rsid w:val="00E85E42"/>
    <w:rsid w:val="00E8606E"/>
    <w:rsid w:val="00E86381"/>
    <w:rsid w:val="00E863CE"/>
    <w:rsid w:val="00E86515"/>
    <w:rsid w:val="00E87855"/>
    <w:rsid w:val="00E878EC"/>
    <w:rsid w:val="00E87C3E"/>
    <w:rsid w:val="00E87C51"/>
    <w:rsid w:val="00E87D08"/>
    <w:rsid w:val="00E87F1E"/>
    <w:rsid w:val="00E90436"/>
    <w:rsid w:val="00E908CF"/>
    <w:rsid w:val="00E90A69"/>
    <w:rsid w:val="00E91231"/>
    <w:rsid w:val="00E9138E"/>
    <w:rsid w:val="00E9159C"/>
    <w:rsid w:val="00E91649"/>
    <w:rsid w:val="00E91ABE"/>
    <w:rsid w:val="00E91C5B"/>
    <w:rsid w:val="00E92ADF"/>
    <w:rsid w:val="00E933AC"/>
    <w:rsid w:val="00E938B9"/>
    <w:rsid w:val="00E9497A"/>
    <w:rsid w:val="00E949D3"/>
    <w:rsid w:val="00E94B22"/>
    <w:rsid w:val="00E94D6A"/>
    <w:rsid w:val="00E94DF0"/>
    <w:rsid w:val="00E95199"/>
    <w:rsid w:val="00E953A5"/>
    <w:rsid w:val="00E95466"/>
    <w:rsid w:val="00E957A2"/>
    <w:rsid w:val="00E9584C"/>
    <w:rsid w:val="00E958F1"/>
    <w:rsid w:val="00E959E8"/>
    <w:rsid w:val="00E96455"/>
    <w:rsid w:val="00E965BC"/>
    <w:rsid w:val="00E965ED"/>
    <w:rsid w:val="00E96634"/>
    <w:rsid w:val="00E96855"/>
    <w:rsid w:val="00E975A4"/>
    <w:rsid w:val="00EA062C"/>
    <w:rsid w:val="00EA0CC4"/>
    <w:rsid w:val="00EA13BF"/>
    <w:rsid w:val="00EA13FD"/>
    <w:rsid w:val="00EA1656"/>
    <w:rsid w:val="00EA1BBB"/>
    <w:rsid w:val="00EA2380"/>
    <w:rsid w:val="00EA2C30"/>
    <w:rsid w:val="00EA2CB7"/>
    <w:rsid w:val="00EA2DD9"/>
    <w:rsid w:val="00EA3435"/>
    <w:rsid w:val="00EA3CF9"/>
    <w:rsid w:val="00EA43FC"/>
    <w:rsid w:val="00EA4E49"/>
    <w:rsid w:val="00EA51C2"/>
    <w:rsid w:val="00EA5582"/>
    <w:rsid w:val="00EA5A2A"/>
    <w:rsid w:val="00EA60EC"/>
    <w:rsid w:val="00EA6374"/>
    <w:rsid w:val="00EA669D"/>
    <w:rsid w:val="00EA6C55"/>
    <w:rsid w:val="00EA7446"/>
    <w:rsid w:val="00EB0679"/>
    <w:rsid w:val="00EB06B1"/>
    <w:rsid w:val="00EB06DD"/>
    <w:rsid w:val="00EB0959"/>
    <w:rsid w:val="00EB0B01"/>
    <w:rsid w:val="00EB0CE3"/>
    <w:rsid w:val="00EB15BE"/>
    <w:rsid w:val="00EB15E4"/>
    <w:rsid w:val="00EB1947"/>
    <w:rsid w:val="00EB1964"/>
    <w:rsid w:val="00EB1DD4"/>
    <w:rsid w:val="00EB2719"/>
    <w:rsid w:val="00EB2801"/>
    <w:rsid w:val="00EB312F"/>
    <w:rsid w:val="00EB33B1"/>
    <w:rsid w:val="00EB35D8"/>
    <w:rsid w:val="00EB367F"/>
    <w:rsid w:val="00EB3716"/>
    <w:rsid w:val="00EB378C"/>
    <w:rsid w:val="00EB3B93"/>
    <w:rsid w:val="00EB3C93"/>
    <w:rsid w:val="00EB3E6F"/>
    <w:rsid w:val="00EB3EF4"/>
    <w:rsid w:val="00EB4056"/>
    <w:rsid w:val="00EB43BA"/>
    <w:rsid w:val="00EB4894"/>
    <w:rsid w:val="00EB4FF7"/>
    <w:rsid w:val="00EB503F"/>
    <w:rsid w:val="00EB50FD"/>
    <w:rsid w:val="00EB575F"/>
    <w:rsid w:val="00EB59A8"/>
    <w:rsid w:val="00EB5AA6"/>
    <w:rsid w:val="00EB693F"/>
    <w:rsid w:val="00EB695C"/>
    <w:rsid w:val="00EB6C89"/>
    <w:rsid w:val="00EB6FA6"/>
    <w:rsid w:val="00EB7233"/>
    <w:rsid w:val="00EB7250"/>
    <w:rsid w:val="00EB7436"/>
    <w:rsid w:val="00EB7D3A"/>
    <w:rsid w:val="00EC005A"/>
    <w:rsid w:val="00EC0167"/>
    <w:rsid w:val="00EC0666"/>
    <w:rsid w:val="00EC0B95"/>
    <w:rsid w:val="00EC0CF2"/>
    <w:rsid w:val="00EC12D6"/>
    <w:rsid w:val="00EC20C9"/>
    <w:rsid w:val="00EC2166"/>
    <w:rsid w:val="00EC2393"/>
    <w:rsid w:val="00EC269F"/>
    <w:rsid w:val="00EC272E"/>
    <w:rsid w:val="00EC273E"/>
    <w:rsid w:val="00EC2C61"/>
    <w:rsid w:val="00EC475D"/>
    <w:rsid w:val="00EC4876"/>
    <w:rsid w:val="00EC4ED4"/>
    <w:rsid w:val="00EC5042"/>
    <w:rsid w:val="00EC50B7"/>
    <w:rsid w:val="00EC5607"/>
    <w:rsid w:val="00EC5899"/>
    <w:rsid w:val="00EC59A2"/>
    <w:rsid w:val="00EC60A2"/>
    <w:rsid w:val="00EC633F"/>
    <w:rsid w:val="00EC6D09"/>
    <w:rsid w:val="00EC70D3"/>
    <w:rsid w:val="00EC739D"/>
    <w:rsid w:val="00EC79AA"/>
    <w:rsid w:val="00EC7DD8"/>
    <w:rsid w:val="00EC7F35"/>
    <w:rsid w:val="00EC7FA3"/>
    <w:rsid w:val="00ED017D"/>
    <w:rsid w:val="00ED02AB"/>
    <w:rsid w:val="00ED02E6"/>
    <w:rsid w:val="00ED0328"/>
    <w:rsid w:val="00ED04FB"/>
    <w:rsid w:val="00ED0516"/>
    <w:rsid w:val="00ED0619"/>
    <w:rsid w:val="00ED163A"/>
    <w:rsid w:val="00ED17E7"/>
    <w:rsid w:val="00ED1893"/>
    <w:rsid w:val="00ED1D71"/>
    <w:rsid w:val="00ED2544"/>
    <w:rsid w:val="00ED2B7E"/>
    <w:rsid w:val="00ED36E6"/>
    <w:rsid w:val="00ED3705"/>
    <w:rsid w:val="00ED3B86"/>
    <w:rsid w:val="00ED417C"/>
    <w:rsid w:val="00ED4351"/>
    <w:rsid w:val="00ED47D4"/>
    <w:rsid w:val="00ED4955"/>
    <w:rsid w:val="00ED4971"/>
    <w:rsid w:val="00ED4AD7"/>
    <w:rsid w:val="00ED4C35"/>
    <w:rsid w:val="00ED5075"/>
    <w:rsid w:val="00ED5115"/>
    <w:rsid w:val="00ED5560"/>
    <w:rsid w:val="00ED56CC"/>
    <w:rsid w:val="00ED585E"/>
    <w:rsid w:val="00ED5E81"/>
    <w:rsid w:val="00ED6083"/>
    <w:rsid w:val="00ED613D"/>
    <w:rsid w:val="00ED6711"/>
    <w:rsid w:val="00ED6C45"/>
    <w:rsid w:val="00ED6EE6"/>
    <w:rsid w:val="00ED7245"/>
    <w:rsid w:val="00ED726E"/>
    <w:rsid w:val="00ED77DC"/>
    <w:rsid w:val="00ED7BB2"/>
    <w:rsid w:val="00ED7E8C"/>
    <w:rsid w:val="00EE0871"/>
    <w:rsid w:val="00EE0D6E"/>
    <w:rsid w:val="00EE0E5A"/>
    <w:rsid w:val="00EE1058"/>
    <w:rsid w:val="00EE1251"/>
    <w:rsid w:val="00EE130E"/>
    <w:rsid w:val="00EE148B"/>
    <w:rsid w:val="00EE16D8"/>
    <w:rsid w:val="00EE17BB"/>
    <w:rsid w:val="00EE19E7"/>
    <w:rsid w:val="00EE1B54"/>
    <w:rsid w:val="00EE1E16"/>
    <w:rsid w:val="00EE2153"/>
    <w:rsid w:val="00EE23B4"/>
    <w:rsid w:val="00EE2930"/>
    <w:rsid w:val="00EE3150"/>
    <w:rsid w:val="00EE3248"/>
    <w:rsid w:val="00EE3FDA"/>
    <w:rsid w:val="00EE4165"/>
    <w:rsid w:val="00EE44B0"/>
    <w:rsid w:val="00EE4BF8"/>
    <w:rsid w:val="00EE4D62"/>
    <w:rsid w:val="00EE5081"/>
    <w:rsid w:val="00EE531B"/>
    <w:rsid w:val="00EE5325"/>
    <w:rsid w:val="00EE539B"/>
    <w:rsid w:val="00EE5582"/>
    <w:rsid w:val="00EE564E"/>
    <w:rsid w:val="00EE5771"/>
    <w:rsid w:val="00EE5A01"/>
    <w:rsid w:val="00EE5C21"/>
    <w:rsid w:val="00EE602C"/>
    <w:rsid w:val="00EE60A5"/>
    <w:rsid w:val="00EE62E3"/>
    <w:rsid w:val="00EE6483"/>
    <w:rsid w:val="00EE687D"/>
    <w:rsid w:val="00EE6A95"/>
    <w:rsid w:val="00EE6C36"/>
    <w:rsid w:val="00EE6C44"/>
    <w:rsid w:val="00EE7646"/>
    <w:rsid w:val="00EE7AC0"/>
    <w:rsid w:val="00EE7DF4"/>
    <w:rsid w:val="00EE7F51"/>
    <w:rsid w:val="00EF0218"/>
    <w:rsid w:val="00EF03DA"/>
    <w:rsid w:val="00EF0C96"/>
    <w:rsid w:val="00EF0D7F"/>
    <w:rsid w:val="00EF1AEC"/>
    <w:rsid w:val="00EF1B43"/>
    <w:rsid w:val="00EF1BB0"/>
    <w:rsid w:val="00EF1C74"/>
    <w:rsid w:val="00EF29F1"/>
    <w:rsid w:val="00EF2A1B"/>
    <w:rsid w:val="00EF2B0C"/>
    <w:rsid w:val="00EF2D67"/>
    <w:rsid w:val="00EF307C"/>
    <w:rsid w:val="00EF312E"/>
    <w:rsid w:val="00EF33CE"/>
    <w:rsid w:val="00EF3511"/>
    <w:rsid w:val="00EF35D4"/>
    <w:rsid w:val="00EF36DF"/>
    <w:rsid w:val="00EF38BF"/>
    <w:rsid w:val="00EF39A3"/>
    <w:rsid w:val="00EF3F7B"/>
    <w:rsid w:val="00EF4515"/>
    <w:rsid w:val="00EF4594"/>
    <w:rsid w:val="00EF4690"/>
    <w:rsid w:val="00EF476C"/>
    <w:rsid w:val="00EF47E0"/>
    <w:rsid w:val="00EF4921"/>
    <w:rsid w:val="00EF4A7B"/>
    <w:rsid w:val="00EF4B8D"/>
    <w:rsid w:val="00EF4D37"/>
    <w:rsid w:val="00EF5501"/>
    <w:rsid w:val="00EF56FD"/>
    <w:rsid w:val="00EF5AEE"/>
    <w:rsid w:val="00EF5C07"/>
    <w:rsid w:val="00EF5EC7"/>
    <w:rsid w:val="00EF61DB"/>
    <w:rsid w:val="00EF695C"/>
    <w:rsid w:val="00EF6D9D"/>
    <w:rsid w:val="00EF732C"/>
    <w:rsid w:val="00EF7677"/>
    <w:rsid w:val="00EF7DCB"/>
    <w:rsid w:val="00EF7F83"/>
    <w:rsid w:val="00F0014F"/>
    <w:rsid w:val="00F0016F"/>
    <w:rsid w:val="00F006A7"/>
    <w:rsid w:val="00F006E4"/>
    <w:rsid w:val="00F00776"/>
    <w:rsid w:val="00F00B43"/>
    <w:rsid w:val="00F00C1D"/>
    <w:rsid w:val="00F00D0D"/>
    <w:rsid w:val="00F00EC4"/>
    <w:rsid w:val="00F00F38"/>
    <w:rsid w:val="00F00FBC"/>
    <w:rsid w:val="00F0132F"/>
    <w:rsid w:val="00F01512"/>
    <w:rsid w:val="00F01771"/>
    <w:rsid w:val="00F01A6C"/>
    <w:rsid w:val="00F01CD3"/>
    <w:rsid w:val="00F01EB6"/>
    <w:rsid w:val="00F0232F"/>
    <w:rsid w:val="00F023C6"/>
    <w:rsid w:val="00F02533"/>
    <w:rsid w:val="00F02F7E"/>
    <w:rsid w:val="00F0318D"/>
    <w:rsid w:val="00F0321E"/>
    <w:rsid w:val="00F0361C"/>
    <w:rsid w:val="00F03A7B"/>
    <w:rsid w:val="00F03B86"/>
    <w:rsid w:val="00F03C1E"/>
    <w:rsid w:val="00F03D9C"/>
    <w:rsid w:val="00F03DD6"/>
    <w:rsid w:val="00F04214"/>
    <w:rsid w:val="00F043EF"/>
    <w:rsid w:val="00F05678"/>
    <w:rsid w:val="00F0567D"/>
    <w:rsid w:val="00F05BD3"/>
    <w:rsid w:val="00F06022"/>
    <w:rsid w:val="00F06190"/>
    <w:rsid w:val="00F062D7"/>
    <w:rsid w:val="00F06745"/>
    <w:rsid w:val="00F06B3F"/>
    <w:rsid w:val="00F06C4F"/>
    <w:rsid w:val="00F0719A"/>
    <w:rsid w:val="00F072AE"/>
    <w:rsid w:val="00F0730A"/>
    <w:rsid w:val="00F073EA"/>
    <w:rsid w:val="00F07896"/>
    <w:rsid w:val="00F07AC6"/>
    <w:rsid w:val="00F07BA8"/>
    <w:rsid w:val="00F101AC"/>
    <w:rsid w:val="00F1081A"/>
    <w:rsid w:val="00F10C55"/>
    <w:rsid w:val="00F110FA"/>
    <w:rsid w:val="00F11303"/>
    <w:rsid w:val="00F115EC"/>
    <w:rsid w:val="00F12691"/>
    <w:rsid w:val="00F13248"/>
    <w:rsid w:val="00F132A4"/>
    <w:rsid w:val="00F1347B"/>
    <w:rsid w:val="00F13564"/>
    <w:rsid w:val="00F136DD"/>
    <w:rsid w:val="00F13A19"/>
    <w:rsid w:val="00F13BB3"/>
    <w:rsid w:val="00F13D7E"/>
    <w:rsid w:val="00F14047"/>
    <w:rsid w:val="00F1490E"/>
    <w:rsid w:val="00F14AC9"/>
    <w:rsid w:val="00F152D6"/>
    <w:rsid w:val="00F1588B"/>
    <w:rsid w:val="00F159B9"/>
    <w:rsid w:val="00F15C7B"/>
    <w:rsid w:val="00F15EA4"/>
    <w:rsid w:val="00F1620C"/>
    <w:rsid w:val="00F17111"/>
    <w:rsid w:val="00F1754F"/>
    <w:rsid w:val="00F1755C"/>
    <w:rsid w:val="00F175FD"/>
    <w:rsid w:val="00F17781"/>
    <w:rsid w:val="00F178BE"/>
    <w:rsid w:val="00F17E1D"/>
    <w:rsid w:val="00F17FF9"/>
    <w:rsid w:val="00F20462"/>
    <w:rsid w:val="00F2065D"/>
    <w:rsid w:val="00F209E9"/>
    <w:rsid w:val="00F21B8C"/>
    <w:rsid w:val="00F21C72"/>
    <w:rsid w:val="00F21D0B"/>
    <w:rsid w:val="00F2210D"/>
    <w:rsid w:val="00F2216F"/>
    <w:rsid w:val="00F22578"/>
    <w:rsid w:val="00F23134"/>
    <w:rsid w:val="00F238D2"/>
    <w:rsid w:val="00F23AAB"/>
    <w:rsid w:val="00F2405E"/>
    <w:rsid w:val="00F2411C"/>
    <w:rsid w:val="00F24281"/>
    <w:rsid w:val="00F2450A"/>
    <w:rsid w:val="00F2465C"/>
    <w:rsid w:val="00F249D2"/>
    <w:rsid w:val="00F24C32"/>
    <w:rsid w:val="00F25109"/>
    <w:rsid w:val="00F25560"/>
    <w:rsid w:val="00F2581F"/>
    <w:rsid w:val="00F263D9"/>
    <w:rsid w:val="00F26475"/>
    <w:rsid w:val="00F26721"/>
    <w:rsid w:val="00F26865"/>
    <w:rsid w:val="00F26967"/>
    <w:rsid w:val="00F26D11"/>
    <w:rsid w:val="00F27156"/>
    <w:rsid w:val="00F2758F"/>
    <w:rsid w:val="00F279B8"/>
    <w:rsid w:val="00F27B13"/>
    <w:rsid w:val="00F3033A"/>
    <w:rsid w:val="00F3074E"/>
    <w:rsid w:val="00F30936"/>
    <w:rsid w:val="00F3115F"/>
    <w:rsid w:val="00F311BF"/>
    <w:rsid w:val="00F3175A"/>
    <w:rsid w:val="00F31CCE"/>
    <w:rsid w:val="00F31CD9"/>
    <w:rsid w:val="00F32149"/>
    <w:rsid w:val="00F3231E"/>
    <w:rsid w:val="00F32D6D"/>
    <w:rsid w:val="00F33681"/>
    <w:rsid w:val="00F3370B"/>
    <w:rsid w:val="00F33BD9"/>
    <w:rsid w:val="00F34707"/>
    <w:rsid w:val="00F34A91"/>
    <w:rsid w:val="00F34DCE"/>
    <w:rsid w:val="00F34F03"/>
    <w:rsid w:val="00F35039"/>
    <w:rsid w:val="00F35101"/>
    <w:rsid w:val="00F351DC"/>
    <w:rsid w:val="00F35BFD"/>
    <w:rsid w:val="00F35EBE"/>
    <w:rsid w:val="00F364A6"/>
    <w:rsid w:val="00F36EE2"/>
    <w:rsid w:val="00F3726A"/>
    <w:rsid w:val="00F37993"/>
    <w:rsid w:val="00F37DFB"/>
    <w:rsid w:val="00F404A2"/>
    <w:rsid w:val="00F40F05"/>
    <w:rsid w:val="00F41BA7"/>
    <w:rsid w:val="00F42613"/>
    <w:rsid w:val="00F427EB"/>
    <w:rsid w:val="00F42A7B"/>
    <w:rsid w:val="00F42B39"/>
    <w:rsid w:val="00F42C9B"/>
    <w:rsid w:val="00F43160"/>
    <w:rsid w:val="00F4323A"/>
    <w:rsid w:val="00F437EB"/>
    <w:rsid w:val="00F43817"/>
    <w:rsid w:val="00F43A48"/>
    <w:rsid w:val="00F43A75"/>
    <w:rsid w:val="00F43C2F"/>
    <w:rsid w:val="00F443C7"/>
    <w:rsid w:val="00F4444E"/>
    <w:rsid w:val="00F44657"/>
    <w:rsid w:val="00F44B7B"/>
    <w:rsid w:val="00F455F3"/>
    <w:rsid w:val="00F45CE7"/>
    <w:rsid w:val="00F45E2C"/>
    <w:rsid w:val="00F46476"/>
    <w:rsid w:val="00F465B1"/>
    <w:rsid w:val="00F46756"/>
    <w:rsid w:val="00F46788"/>
    <w:rsid w:val="00F46A12"/>
    <w:rsid w:val="00F46A5E"/>
    <w:rsid w:val="00F46E18"/>
    <w:rsid w:val="00F46E62"/>
    <w:rsid w:val="00F47145"/>
    <w:rsid w:val="00F474C4"/>
    <w:rsid w:val="00F4755B"/>
    <w:rsid w:val="00F47572"/>
    <w:rsid w:val="00F477DE"/>
    <w:rsid w:val="00F47A07"/>
    <w:rsid w:val="00F47C3C"/>
    <w:rsid w:val="00F47E33"/>
    <w:rsid w:val="00F502B4"/>
    <w:rsid w:val="00F50475"/>
    <w:rsid w:val="00F50A4F"/>
    <w:rsid w:val="00F51096"/>
    <w:rsid w:val="00F51413"/>
    <w:rsid w:val="00F515C9"/>
    <w:rsid w:val="00F51781"/>
    <w:rsid w:val="00F517B7"/>
    <w:rsid w:val="00F517FC"/>
    <w:rsid w:val="00F51994"/>
    <w:rsid w:val="00F51EE6"/>
    <w:rsid w:val="00F5247C"/>
    <w:rsid w:val="00F525CC"/>
    <w:rsid w:val="00F52858"/>
    <w:rsid w:val="00F52DED"/>
    <w:rsid w:val="00F52EC4"/>
    <w:rsid w:val="00F5331A"/>
    <w:rsid w:val="00F5354A"/>
    <w:rsid w:val="00F53720"/>
    <w:rsid w:val="00F53740"/>
    <w:rsid w:val="00F53817"/>
    <w:rsid w:val="00F538C5"/>
    <w:rsid w:val="00F538D8"/>
    <w:rsid w:val="00F53E5F"/>
    <w:rsid w:val="00F5406D"/>
    <w:rsid w:val="00F540C7"/>
    <w:rsid w:val="00F54129"/>
    <w:rsid w:val="00F5419A"/>
    <w:rsid w:val="00F545E0"/>
    <w:rsid w:val="00F545EE"/>
    <w:rsid w:val="00F546FD"/>
    <w:rsid w:val="00F54E1E"/>
    <w:rsid w:val="00F5501A"/>
    <w:rsid w:val="00F55251"/>
    <w:rsid w:val="00F553C5"/>
    <w:rsid w:val="00F5549C"/>
    <w:rsid w:val="00F55B06"/>
    <w:rsid w:val="00F55CAB"/>
    <w:rsid w:val="00F55DA0"/>
    <w:rsid w:val="00F55DF1"/>
    <w:rsid w:val="00F56007"/>
    <w:rsid w:val="00F564B1"/>
    <w:rsid w:val="00F56502"/>
    <w:rsid w:val="00F566AB"/>
    <w:rsid w:val="00F568AA"/>
    <w:rsid w:val="00F574D8"/>
    <w:rsid w:val="00F575E8"/>
    <w:rsid w:val="00F57956"/>
    <w:rsid w:val="00F57CEB"/>
    <w:rsid w:val="00F57E29"/>
    <w:rsid w:val="00F60330"/>
    <w:rsid w:val="00F6039C"/>
    <w:rsid w:val="00F609A0"/>
    <w:rsid w:val="00F60E04"/>
    <w:rsid w:val="00F61870"/>
    <w:rsid w:val="00F61893"/>
    <w:rsid w:val="00F61E8B"/>
    <w:rsid w:val="00F6288D"/>
    <w:rsid w:val="00F62E6F"/>
    <w:rsid w:val="00F630AF"/>
    <w:rsid w:val="00F632B5"/>
    <w:rsid w:val="00F633CD"/>
    <w:rsid w:val="00F63680"/>
    <w:rsid w:val="00F63A3C"/>
    <w:rsid w:val="00F63D77"/>
    <w:rsid w:val="00F63F6B"/>
    <w:rsid w:val="00F63FDF"/>
    <w:rsid w:val="00F64096"/>
    <w:rsid w:val="00F64964"/>
    <w:rsid w:val="00F64AEE"/>
    <w:rsid w:val="00F64D2F"/>
    <w:rsid w:val="00F6509A"/>
    <w:rsid w:val="00F6608E"/>
    <w:rsid w:val="00F6620B"/>
    <w:rsid w:val="00F6625F"/>
    <w:rsid w:val="00F66631"/>
    <w:rsid w:val="00F66722"/>
    <w:rsid w:val="00F66B82"/>
    <w:rsid w:val="00F66C8A"/>
    <w:rsid w:val="00F674CE"/>
    <w:rsid w:val="00F676F9"/>
    <w:rsid w:val="00F6775D"/>
    <w:rsid w:val="00F677EA"/>
    <w:rsid w:val="00F679DE"/>
    <w:rsid w:val="00F67D52"/>
    <w:rsid w:val="00F67DD2"/>
    <w:rsid w:val="00F70308"/>
    <w:rsid w:val="00F703BD"/>
    <w:rsid w:val="00F705EC"/>
    <w:rsid w:val="00F70602"/>
    <w:rsid w:val="00F70669"/>
    <w:rsid w:val="00F70F5B"/>
    <w:rsid w:val="00F71529"/>
    <w:rsid w:val="00F7165F"/>
    <w:rsid w:val="00F71A12"/>
    <w:rsid w:val="00F71B1C"/>
    <w:rsid w:val="00F71B30"/>
    <w:rsid w:val="00F721F0"/>
    <w:rsid w:val="00F72482"/>
    <w:rsid w:val="00F72977"/>
    <w:rsid w:val="00F73476"/>
    <w:rsid w:val="00F7348B"/>
    <w:rsid w:val="00F73CD6"/>
    <w:rsid w:val="00F73E97"/>
    <w:rsid w:val="00F73FA8"/>
    <w:rsid w:val="00F740C0"/>
    <w:rsid w:val="00F74539"/>
    <w:rsid w:val="00F74863"/>
    <w:rsid w:val="00F748AA"/>
    <w:rsid w:val="00F74E51"/>
    <w:rsid w:val="00F74F33"/>
    <w:rsid w:val="00F76162"/>
    <w:rsid w:val="00F761D4"/>
    <w:rsid w:val="00F764D0"/>
    <w:rsid w:val="00F764E9"/>
    <w:rsid w:val="00F76590"/>
    <w:rsid w:val="00F7665B"/>
    <w:rsid w:val="00F7688B"/>
    <w:rsid w:val="00F76C10"/>
    <w:rsid w:val="00F77058"/>
    <w:rsid w:val="00F77977"/>
    <w:rsid w:val="00F77A4A"/>
    <w:rsid w:val="00F77A59"/>
    <w:rsid w:val="00F77DB5"/>
    <w:rsid w:val="00F80764"/>
    <w:rsid w:val="00F807EB"/>
    <w:rsid w:val="00F808CE"/>
    <w:rsid w:val="00F80990"/>
    <w:rsid w:val="00F80A72"/>
    <w:rsid w:val="00F810C3"/>
    <w:rsid w:val="00F81370"/>
    <w:rsid w:val="00F816C4"/>
    <w:rsid w:val="00F81A28"/>
    <w:rsid w:val="00F81E5A"/>
    <w:rsid w:val="00F81FDD"/>
    <w:rsid w:val="00F821E8"/>
    <w:rsid w:val="00F82A66"/>
    <w:rsid w:val="00F82DD4"/>
    <w:rsid w:val="00F838D2"/>
    <w:rsid w:val="00F83BCA"/>
    <w:rsid w:val="00F83BCC"/>
    <w:rsid w:val="00F83C54"/>
    <w:rsid w:val="00F84160"/>
    <w:rsid w:val="00F84272"/>
    <w:rsid w:val="00F844F2"/>
    <w:rsid w:val="00F84799"/>
    <w:rsid w:val="00F84C50"/>
    <w:rsid w:val="00F85925"/>
    <w:rsid w:val="00F85B3C"/>
    <w:rsid w:val="00F85F3E"/>
    <w:rsid w:val="00F865DF"/>
    <w:rsid w:val="00F86F69"/>
    <w:rsid w:val="00F871F7"/>
    <w:rsid w:val="00F8758B"/>
    <w:rsid w:val="00F87700"/>
    <w:rsid w:val="00F87947"/>
    <w:rsid w:val="00F87F06"/>
    <w:rsid w:val="00F900C1"/>
    <w:rsid w:val="00F9096C"/>
    <w:rsid w:val="00F90AC7"/>
    <w:rsid w:val="00F90CEE"/>
    <w:rsid w:val="00F91292"/>
    <w:rsid w:val="00F9153D"/>
    <w:rsid w:val="00F91ADB"/>
    <w:rsid w:val="00F91F42"/>
    <w:rsid w:val="00F92078"/>
    <w:rsid w:val="00F9219F"/>
    <w:rsid w:val="00F92355"/>
    <w:rsid w:val="00F924AD"/>
    <w:rsid w:val="00F92F39"/>
    <w:rsid w:val="00F93032"/>
    <w:rsid w:val="00F930BC"/>
    <w:rsid w:val="00F934ED"/>
    <w:rsid w:val="00F93A88"/>
    <w:rsid w:val="00F93D58"/>
    <w:rsid w:val="00F942DB"/>
    <w:rsid w:val="00F94560"/>
    <w:rsid w:val="00F946C9"/>
    <w:rsid w:val="00F94C1F"/>
    <w:rsid w:val="00F94FCA"/>
    <w:rsid w:val="00F9509C"/>
    <w:rsid w:val="00F95449"/>
    <w:rsid w:val="00F95622"/>
    <w:rsid w:val="00F9562F"/>
    <w:rsid w:val="00F956D6"/>
    <w:rsid w:val="00F956F9"/>
    <w:rsid w:val="00F957B7"/>
    <w:rsid w:val="00F95A96"/>
    <w:rsid w:val="00F95B1C"/>
    <w:rsid w:val="00F960CD"/>
    <w:rsid w:val="00F96281"/>
    <w:rsid w:val="00F9680A"/>
    <w:rsid w:val="00F96869"/>
    <w:rsid w:val="00F9686B"/>
    <w:rsid w:val="00F96A38"/>
    <w:rsid w:val="00F96B17"/>
    <w:rsid w:val="00F96CBA"/>
    <w:rsid w:val="00F96E18"/>
    <w:rsid w:val="00F9701E"/>
    <w:rsid w:val="00F9751F"/>
    <w:rsid w:val="00F97943"/>
    <w:rsid w:val="00F97E6C"/>
    <w:rsid w:val="00FA0351"/>
    <w:rsid w:val="00FA0F6F"/>
    <w:rsid w:val="00FA1134"/>
    <w:rsid w:val="00FA16B9"/>
    <w:rsid w:val="00FA1726"/>
    <w:rsid w:val="00FA1980"/>
    <w:rsid w:val="00FA1D87"/>
    <w:rsid w:val="00FA2798"/>
    <w:rsid w:val="00FA284D"/>
    <w:rsid w:val="00FA296B"/>
    <w:rsid w:val="00FA2FFA"/>
    <w:rsid w:val="00FA303E"/>
    <w:rsid w:val="00FA33FD"/>
    <w:rsid w:val="00FA3470"/>
    <w:rsid w:val="00FA3B3A"/>
    <w:rsid w:val="00FA42D5"/>
    <w:rsid w:val="00FA45E6"/>
    <w:rsid w:val="00FA4688"/>
    <w:rsid w:val="00FA48B7"/>
    <w:rsid w:val="00FA5060"/>
    <w:rsid w:val="00FA50F9"/>
    <w:rsid w:val="00FA5574"/>
    <w:rsid w:val="00FA5580"/>
    <w:rsid w:val="00FA558C"/>
    <w:rsid w:val="00FA5B47"/>
    <w:rsid w:val="00FA5C3E"/>
    <w:rsid w:val="00FA6138"/>
    <w:rsid w:val="00FA6649"/>
    <w:rsid w:val="00FA66B1"/>
    <w:rsid w:val="00FA6982"/>
    <w:rsid w:val="00FA69F5"/>
    <w:rsid w:val="00FA6FDB"/>
    <w:rsid w:val="00FA7140"/>
    <w:rsid w:val="00FA7211"/>
    <w:rsid w:val="00FA72E3"/>
    <w:rsid w:val="00FA7CC5"/>
    <w:rsid w:val="00FA7D6D"/>
    <w:rsid w:val="00FA7E55"/>
    <w:rsid w:val="00FA7F80"/>
    <w:rsid w:val="00FB01A0"/>
    <w:rsid w:val="00FB08FC"/>
    <w:rsid w:val="00FB0D95"/>
    <w:rsid w:val="00FB23A3"/>
    <w:rsid w:val="00FB26F2"/>
    <w:rsid w:val="00FB270D"/>
    <w:rsid w:val="00FB2909"/>
    <w:rsid w:val="00FB2C62"/>
    <w:rsid w:val="00FB2F0D"/>
    <w:rsid w:val="00FB32B9"/>
    <w:rsid w:val="00FB34E1"/>
    <w:rsid w:val="00FB38F2"/>
    <w:rsid w:val="00FB3B9A"/>
    <w:rsid w:val="00FB435C"/>
    <w:rsid w:val="00FB45F6"/>
    <w:rsid w:val="00FB4B19"/>
    <w:rsid w:val="00FB4CDD"/>
    <w:rsid w:val="00FB51A5"/>
    <w:rsid w:val="00FB5287"/>
    <w:rsid w:val="00FB5789"/>
    <w:rsid w:val="00FB5B35"/>
    <w:rsid w:val="00FB5CDB"/>
    <w:rsid w:val="00FB6149"/>
    <w:rsid w:val="00FB62AA"/>
    <w:rsid w:val="00FB6858"/>
    <w:rsid w:val="00FB6928"/>
    <w:rsid w:val="00FB6AB1"/>
    <w:rsid w:val="00FB6EB9"/>
    <w:rsid w:val="00FB6ECD"/>
    <w:rsid w:val="00FB6F2E"/>
    <w:rsid w:val="00FB6F82"/>
    <w:rsid w:val="00FB7190"/>
    <w:rsid w:val="00FB731C"/>
    <w:rsid w:val="00FB76C8"/>
    <w:rsid w:val="00FB76E5"/>
    <w:rsid w:val="00FB7A17"/>
    <w:rsid w:val="00FC030F"/>
    <w:rsid w:val="00FC0774"/>
    <w:rsid w:val="00FC092D"/>
    <w:rsid w:val="00FC0D64"/>
    <w:rsid w:val="00FC137A"/>
    <w:rsid w:val="00FC158F"/>
    <w:rsid w:val="00FC1D68"/>
    <w:rsid w:val="00FC1E65"/>
    <w:rsid w:val="00FC2119"/>
    <w:rsid w:val="00FC37C5"/>
    <w:rsid w:val="00FC3893"/>
    <w:rsid w:val="00FC3BC2"/>
    <w:rsid w:val="00FC3D1F"/>
    <w:rsid w:val="00FC426A"/>
    <w:rsid w:val="00FC4326"/>
    <w:rsid w:val="00FC4B88"/>
    <w:rsid w:val="00FC4C25"/>
    <w:rsid w:val="00FC4F30"/>
    <w:rsid w:val="00FC5426"/>
    <w:rsid w:val="00FC5AD5"/>
    <w:rsid w:val="00FC5BF2"/>
    <w:rsid w:val="00FC5D55"/>
    <w:rsid w:val="00FC5E15"/>
    <w:rsid w:val="00FC5F7A"/>
    <w:rsid w:val="00FC6103"/>
    <w:rsid w:val="00FC6371"/>
    <w:rsid w:val="00FC657E"/>
    <w:rsid w:val="00FC6872"/>
    <w:rsid w:val="00FC6A51"/>
    <w:rsid w:val="00FC6B31"/>
    <w:rsid w:val="00FC6C2F"/>
    <w:rsid w:val="00FC6C40"/>
    <w:rsid w:val="00FC6D65"/>
    <w:rsid w:val="00FC736F"/>
    <w:rsid w:val="00FC7C57"/>
    <w:rsid w:val="00FC7D05"/>
    <w:rsid w:val="00FC7E74"/>
    <w:rsid w:val="00FD020F"/>
    <w:rsid w:val="00FD04E9"/>
    <w:rsid w:val="00FD09EE"/>
    <w:rsid w:val="00FD0BD2"/>
    <w:rsid w:val="00FD1304"/>
    <w:rsid w:val="00FD13FA"/>
    <w:rsid w:val="00FD1421"/>
    <w:rsid w:val="00FD19EA"/>
    <w:rsid w:val="00FD1FF2"/>
    <w:rsid w:val="00FD24E5"/>
    <w:rsid w:val="00FD256E"/>
    <w:rsid w:val="00FD2986"/>
    <w:rsid w:val="00FD31E6"/>
    <w:rsid w:val="00FD3590"/>
    <w:rsid w:val="00FD41D8"/>
    <w:rsid w:val="00FD437B"/>
    <w:rsid w:val="00FD446E"/>
    <w:rsid w:val="00FD4626"/>
    <w:rsid w:val="00FD4881"/>
    <w:rsid w:val="00FD5525"/>
    <w:rsid w:val="00FD5553"/>
    <w:rsid w:val="00FD56F5"/>
    <w:rsid w:val="00FD58D9"/>
    <w:rsid w:val="00FD5B0B"/>
    <w:rsid w:val="00FD5C08"/>
    <w:rsid w:val="00FD5CF6"/>
    <w:rsid w:val="00FD60F3"/>
    <w:rsid w:val="00FD6209"/>
    <w:rsid w:val="00FD68B4"/>
    <w:rsid w:val="00FD6996"/>
    <w:rsid w:val="00FD7798"/>
    <w:rsid w:val="00FD7917"/>
    <w:rsid w:val="00FD7B33"/>
    <w:rsid w:val="00FD7CC4"/>
    <w:rsid w:val="00FD7EC9"/>
    <w:rsid w:val="00FE036D"/>
    <w:rsid w:val="00FE0B2E"/>
    <w:rsid w:val="00FE14EC"/>
    <w:rsid w:val="00FE1887"/>
    <w:rsid w:val="00FE1ECC"/>
    <w:rsid w:val="00FE2122"/>
    <w:rsid w:val="00FE23B6"/>
    <w:rsid w:val="00FE29AA"/>
    <w:rsid w:val="00FE2D10"/>
    <w:rsid w:val="00FE3067"/>
    <w:rsid w:val="00FE3957"/>
    <w:rsid w:val="00FE3A5A"/>
    <w:rsid w:val="00FE3EC2"/>
    <w:rsid w:val="00FE3F6B"/>
    <w:rsid w:val="00FE4003"/>
    <w:rsid w:val="00FE4E99"/>
    <w:rsid w:val="00FE519B"/>
    <w:rsid w:val="00FE53A1"/>
    <w:rsid w:val="00FE5673"/>
    <w:rsid w:val="00FE5866"/>
    <w:rsid w:val="00FE60CA"/>
    <w:rsid w:val="00FE60D6"/>
    <w:rsid w:val="00FE692B"/>
    <w:rsid w:val="00FE6AC5"/>
    <w:rsid w:val="00FE6D55"/>
    <w:rsid w:val="00FE6E8C"/>
    <w:rsid w:val="00FE6EA1"/>
    <w:rsid w:val="00FE6F14"/>
    <w:rsid w:val="00FE7437"/>
    <w:rsid w:val="00FE799B"/>
    <w:rsid w:val="00FE7EBD"/>
    <w:rsid w:val="00FF09D0"/>
    <w:rsid w:val="00FF0A58"/>
    <w:rsid w:val="00FF0A75"/>
    <w:rsid w:val="00FF0FBF"/>
    <w:rsid w:val="00FF1241"/>
    <w:rsid w:val="00FF14E7"/>
    <w:rsid w:val="00FF1892"/>
    <w:rsid w:val="00FF1915"/>
    <w:rsid w:val="00FF198C"/>
    <w:rsid w:val="00FF1A9B"/>
    <w:rsid w:val="00FF2C6E"/>
    <w:rsid w:val="00FF2E3D"/>
    <w:rsid w:val="00FF32FB"/>
    <w:rsid w:val="00FF3986"/>
    <w:rsid w:val="00FF3A27"/>
    <w:rsid w:val="00FF3AB2"/>
    <w:rsid w:val="00FF3CB7"/>
    <w:rsid w:val="00FF3F46"/>
    <w:rsid w:val="00FF409C"/>
    <w:rsid w:val="00FF43D5"/>
    <w:rsid w:val="00FF4FEE"/>
    <w:rsid w:val="00FF52F7"/>
    <w:rsid w:val="00FF5417"/>
    <w:rsid w:val="00FF5869"/>
    <w:rsid w:val="00FF5ADC"/>
    <w:rsid w:val="00FF5B3D"/>
    <w:rsid w:val="00FF5C6B"/>
    <w:rsid w:val="00FF5CAC"/>
    <w:rsid w:val="00FF5EEB"/>
    <w:rsid w:val="00FF6186"/>
    <w:rsid w:val="00FF65BC"/>
    <w:rsid w:val="00FF6A62"/>
    <w:rsid w:val="00FF6B1B"/>
    <w:rsid w:val="00FF6FE0"/>
    <w:rsid w:val="00FF703D"/>
    <w:rsid w:val="00FF711A"/>
    <w:rsid w:val="00FF7128"/>
    <w:rsid w:val="00FF7144"/>
    <w:rsid w:val="00FF7151"/>
    <w:rsid w:val="00FF71DE"/>
    <w:rsid w:val="00FF7592"/>
    <w:rsid w:val="00FF770B"/>
    <w:rsid w:val="00FF78EA"/>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6062209"/>
  <w15:docId w15:val="{F60C2D6D-916F-4310-A181-0224036A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1E"/>
    <w:rPr>
      <w:rFonts w:ascii="Arial" w:hAnsi="Arial"/>
      <w:sz w:val="19"/>
      <w:szCs w:val="24"/>
    </w:rPr>
  </w:style>
  <w:style w:type="paragraph" w:styleId="Heading1">
    <w:name w:val="heading 1"/>
    <w:basedOn w:val="Normal"/>
    <w:next w:val="Normal"/>
    <w:link w:val="Heading1Char"/>
    <w:qFormat/>
    <w:rsid w:val="00F9686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9661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6A5A"/>
    <w:pPr>
      <w:tabs>
        <w:tab w:val="center" w:pos="4153"/>
        <w:tab w:val="right" w:pos="8306"/>
      </w:tabs>
    </w:pPr>
  </w:style>
  <w:style w:type="paragraph" w:styleId="Footer">
    <w:name w:val="footer"/>
    <w:basedOn w:val="Normal"/>
    <w:rsid w:val="00E16A5A"/>
    <w:pPr>
      <w:tabs>
        <w:tab w:val="center" w:pos="4153"/>
        <w:tab w:val="right" w:pos="8306"/>
      </w:tabs>
    </w:pPr>
  </w:style>
  <w:style w:type="character" w:styleId="Hyperlink">
    <w:name w:val="Hyperlink"/>
    <w:rsid w:val="00C61CDA"/>
    <w:rPr>
      <w:rFonts w:ascii="Verdana" w:hAnsi="Verdana"/>
      <w:color w:val="000080"/>
      <w:sz w:val="18"/>
      <w:szCs w:val="18"/>
      <w:u w:val="single" w:color="000080"/>
    </w:rPr>
  </w:style>
  <w:style w:type="character" w:styleId="FollowedHyperlink">
    <w:name w:val="FollowedHyperlink"/>
    <w:rsid w:val="00C61CDA"/>
    <w:rPr>
      <w:rFonts w:ascii="Verdana" w:hAnsi="Verdana"/>
      <w:color w:val="800080"/>
      <w:sz w:val="18"/>
      <w:szCs w:val="18"/>
      <w:u w:val="single" w:color="800080"/>
    </w:rPr>
  </w:style>
  <w:style w:type="paragraph" w:styleId="BalloonText">
    <w:name w:val="Balloon Text"/>
    <w:basedOn w:val="Normal"/>
    <w:semiHidden/>
    <w:rsid w:val="00B53715"/>
    <w:rPr>
      <w:rFonts w:ascii="Tahoma" w:hAnsi="Tahoma" w:cs="Tahoma"/>
      <w:sz w:val="16"/>
      <w:szCs w:val="16"/>
    </w:rPr>
  </w:style>
  <w:style w:type="paragraph" w:customStyle="1" w:styleId="Default">
    <w:name w:val="Default"/>
    <w:rsid w:val="0076397D"/>
    <w:pPr>
      <w:autoSpaceDE w:val="0"/>
      <w:autoSpaceDN w:val="0"/>
      <w:adjustRightInd w:val="0"/>
    </w:pPr>
    <w:rPr>
      <w:rFonts w:ascii="Verdana" w:hAnsi="Verdana" w:cs="Verdana"/>
      <w:color w:val="000000"/>
      <w:sz w:val="24"/>
      <w:szCs w:val="24"/>
    </w:rPr>
  </w:style>
  <w:style w:type="character" w:styleId="CommentReference">
    <w:name w:val="annotation reference"/>
    <w:rsid w:val="00C273F9"/>
    <w:rPr>
      <w:sz w:val="16"/>
      <w:szCs w:val="16"/>
    </w:rPr>
  </w:style>
  <w:style w:type="paragraph" w:styleId="CommentText">
    <w:name w:val="annotation text"/>
    <w:basedOn w:val="Normal"/>
    <w:link w:val="CommentTextChar"/>
    <w:rsid w:val="00C273F9"/>
    <w:rPr>
      <w:sz w:val="20"/>
      <w:szCs w:val="20"/>
    </w:rPr>
  </w:style>
  <w:style w:type="character" w:customStyle="1" w:styleId="CommentTextChar">
    <w:name w:val="Comment Text Char"/>
    <w:basedOn w:val="DefaultParagraphFont"/>
    <w:link w:val="CommentText"/>
    <w:rsid w:val="00C273F9"/>
  </w:style>
  <w:style w:type="paragraph" w:styleId="CommentSubject">
    <w:name w:val="annotation subject"/>
    <w:basedOn w:val="CommentText"/>
    <w:next w:val="CommentText"/>
    <w:link w:val="CommentSubjectChar"/>
    <w:rsid w:val="00C273F9"/>
    <w:rPr>
      <w:b/>
      <w:bCs/>
    </w:rPr>
  </w:style>
  <w:style w:type="character" w:customStyle="1" w:styleId="CommentSubjectChar">
    <w:name w:val="Comment Subject Char"/>
    <w:link w:val="CommentSubject"/>
    <w:rsid w:val="00C273F9"/>
    <w:rPr>
      <w:b/>
      <w:bCs/>
    </w:rPr>
  </w:style>
  <w:style w:type="character" w:customStyle="1" w:styleId="Heading3Char">
    <w:name w:val="Heading 3 Char"/>
    <w:link w:val="Heading3"/>
    <w:semiHidden/>
    <w:rsid w:val="009661D0"/>
    <w:rPr>
      <w:rFonts w:ascii="Cambria" w:eastAsia="Times New Roman" w:hAnsi="Cambria" w:cs="Times New Roman"/>
      <w:b/>
      <w:bCs/>
      <w:sz w:val="26"/>
      <w:szCs w:val="26"/>
    </w:rPr>
  </w:style>
  <w:style w:type="character" w:customStyle="1" w:styleId="Heading1Char">
    <w:name w:val="Heading 1 Char"/>
    <w:link w:val="Heading1"/>
    <w:rsid w:val="00F96869"/>
    <w:rPr>
      <w:rFonts w:ascii="Cambria" w:eastAsia="Times New Roman" w:hAnsi="Cambria" w:cs="Times New Roman"/>
      <w:b/>
      <w:bCs/>
      <w:kern w:val="32"/>
      <w:sz w:val="32"/>
      <w:szCs w:val="32"/>
    </w:rPr>
  </w:style>
  <w:style w:type="paragraph" w:customStyle="1" w:styleId="Explanatorytext">
    <w:name w:val="Explanatory text"/>
    <w:basedOn w:val="Normal"/>
    <w:link w:val="ExplanatorytextChar"/>
    <w:qFormat/>
    <w:rsid w:val="00CD021E"/>
    <w:pPr>
      <w:tabs>
        <w:tab w:val="center" w:pos="3152"/>
      </w:tabs>
    </w:pPr>
    <w:rPr>
      <w:rFonts w:cs="Arial"/>
      <w:sz w:val="16"/>
      <w:szCs w:val="19"/>
      <w:lang w:val="en-US"/>
    </w:rPr>
  </w:style>
  <w:style w:type="character" w:customStyle="1" w:styleId="ExplanatorytextChar">
    <w:name w:val="Explanatory text Char"/>
    <w:basedOn w:val="DefaultParagraphFont"/>
    <w:link w:val="Explanatorytext"/>
    <w:rsid w:val="00CD021E"/>
    <w:rPr>
      <w:rFonts w:ascii="Arial" w:hAnsi="Arial" w:cs="Arial"/>
      <w:sz w:val="16"/>
      <w:szCs w:val="19"/>
      <w:lang w:val="en-US"/>
    </w:rPr>
  </w:style>
  <w:style w:type="paragraph" w:styleId="NormalWeb">
    <w:name w:val="Normal (Web)"/>
    <w:basedOn w:val="Normal"/>
    <w:semiHidden/>
    <w:unhideWhenUsed/>
    <w:rsid w:val="00CB5B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55">
      <w:bodyDiv w:val="1"/>
      <w:marLeft w:val="0"/>
      <w:marRight w:val="0"/>
      <w:marTop w:val="0"/>
      <w:marBottom w:val="0"/>
      <w:divBdr>
        <w:top w:val="none" w:sz="0" w:space="0" w:color="auto"/>
        <w:left w:val="none" w:sz="0" w:space="0" w:color="auto"/>
        <w:bottom w:val="none" w:sz="0" w:space="0" w:color="auto"/>
        <w:right w:val="none" w:sz="0" w:space="0" w:color="auto"/>
      </w:divBdr>
    </w:div>
    <w:div w:id="18940625">
      <w:bodyDiv w:val="1"/>
      <w:marLeft w:val="0"/>
      <w:marRight w:val="0"/>
      <w:marTop w:val="0"/>
      <w:marBottom w:val="0"/>
      <w:divBdr>
        <w:top w:val="none" w:sz="0" w:space="0" w:color="auto"/>
        <w:left w:val="none" w:sz="0" w:space="0" w:color="auto"/>
        <w:bottom w:val="none" w:sz="0" w:space="0" w:color="auto"/>
        <w:right w:val="none" w:sz="0" w:space="0" w:color="auto"/>
      </w:divBdr>
    </w:div>
    <w:div w:id="36780126">
      <w:bodyDiv w:val="1"/>
      <w:marLeft w:val="0"/>
      <w:marRight w:val="0"/>
      <w:marTop w:val="0"/>
      <w:marBottom w:val="0"/>
      <w:divBdr>
        <w:top w:val="none" w:sz="0" w:space="0" w:color="auto"/>
        <w:left w:val="none" w:sz="0" w:space="0" w:color="auto"/>
        <w:bottom w:val="none" w:sz="0" w:space="0" w:color="auto"/>
        <w:right w:val="none" w:sz="0" w:space="0" w:color="auto"/>
      </w:divBdr>
    </w:div>
    <w:div w:id="44254406">
      <w:bodyDiv w:val="1"/>
      <w:marLeft w:val="0"/>
      <w:marRight w:val="0"/>
      <w:marTop w:val="0"/>
      <w:marBottom w:val="0"/>
      <w:divBdr>
        <w:top w:val="none" w:sz="0" w:space="0" w:color="auto"/>
        <w:left w:val="none" w:sz="0" w:space="0" w:color="auto"/>
        <w:bottom w:val="none" w:sz="0" w:space="0" w:color="auto"/>
        <w:right w:val="none" w:sz="0" w:space="0" w:color="auto"/>
      </w:divBdr>
    </w:div>
    <w:div w:id="49577063">
      <w:bodyDiv w:val="1"/>
      <w:marLeft w:val="0"/>
      <w:marRight w:val="0"/>
      <w:marTop w:val="0"/>
      <w:marBottom w:val="0"/>
      <w:divBdr>
        <w:top w:val="none" w:sz="0" w:space="0" w:color="auto"/>
        <w:left w:val="none" w:sz="0" w:space="0" w:color="auto"/>
        <w:bottom w:val="none" w:sz="0" w:space="0" w:color="auto"/>
        <w:right w:val="none" w:sz="0" w:space="0" w:color="auto"/>
      </w:divBdr>
    </w:div>
    <w:div w:id="50203157">
      <w:bodyDiv w:val="1"/>
      <w:marLeft w:val="0"/>
      <w:marRight w:val="0"/>
      <w:marTop w:val="0"/>
      <w:marBottom w:val="0"/>
      <w:divBdr>
        <w:top w:val="none" w:sz="0" w:space="0" w:color="auto"/>
        <w:left w:val="none" w:sz="0" w:space="0" w:color="auto"/>
        <w:bottom w:val="none" w:sz="0" w:space="0" w:color="auto"/>
        <w:right w:val="none" w:sz="0" w:space="0" w:color="auto"/>
      </w:divBdr>
    </w:div>
    <w:div w:id="75133025">
      <w:bodyDiv w:val="1"/>
      <w:marLeft w:val="0"/>
      <w:marRight w:val="0"/>
      <w:marTop w:val="0"/>
      <w:marBottom w:val="0"/>
      <w:divBdr>
        <w:top w:val="none" w:sz="0" w:space="0" w:color="auto"/>
        <w:left w:val="none" w:sz="0" w:space="0" w:color="auto"/>
        <w:bottom w:val="none" w:sz="0" w:space="0" w:color="auto"/>
        <w:right w:val="none" w:sz="0" w:space="0" w:color="auto"/>
      </w:divBdr>
    </w:div>
    <w:div w:id="105078129">
      <w:bodyDiv w:val="1"/>
      <w:marLeft w:val="0"/>
      <w:marRight w:val="0"/>
      <w:marTop w:val="0"/>
      <w:marBottom w:val="0"/>
      <w:divBdr>
        <w:top w:val="none" w:sz="0" w:space="0" w:color="auto"/>
        <w:left w:val="none" w:sz="0" w:space="0" w:color="auto"/>
        <w:bottom w:val="none" w:sz="0" w:space="0" w:color="auto"/>
        <w:right w:val="none" w:sz="0" w:space="0" w:color="auto"/>
      </w:divBdr>
    </w:div>
    <w:div w:id="166293802">
      <w:bodyDiv w:val="1"/>
      <w:marLeft w:val="0"/>
      <w:marRight w:val="0"/>
      <w:marTop w:val="0"/>
      <w:marBottom w:val="0"/>
      <w:divBdr>
        <w:top w:val="none" w:sz="0" w:space="0" w:color="auto"/>
        <w:left w:val="none" w:sz="0" w:space="0" w:color="auto"/>
        <w:bottom w:val="none" w:sz="0" w:space="0" w:color="auto"/>
        <w:right w:val="none" w:sz="0" w:space="0" w:color="auto"/>
      </w:divBdr>
    </w:div>
    <w:div w:id="182062482">
      <w:bodyDiv w:val="1"/>
      <w:marLeft w:val="0"/>
      <w:marRight w:val="0"/>
      <w:marTop w:val="0"/>
      <w:marBottom w:val="0"/>
      <w:divBdr>
        <w:top w:val="none" w:sz="0" w:space="0" w:color="auto"/>
        <w:left w:val="none" w:sz="0" w:space="0" w:color="auto"/>
        <w:bottom w:val="none" w:sz="0" w:space="0" w:color="auto"/>
        <w:right w:val="none" w:sz="0" w:space="0" w:color="auto"/>
      </w:divBdr>
    </w:div>
    <w:div w:id="188568170">
      <w:bodyDiv w:val="1"/>
      <w:marLeft w:val="0"/>
      <w:marRight w:val="0"/>
      <w:marTop w:val="0"/>
      <w:marBottom w:val="0"/>
      <w:divBdr>
        <w:top w:val="none" w:sz="0" w:space="0" w:color="auto"/>
        <w:left w:val="none" w:sz="0" w:space="0" w:color="auto"/>
        <w:bottom w:val="none" w:sz="0" w:space="0" w:color="auto"/>
        <w:right w:val="none" w:sz="0" w:space="0" w:color="auto"/>
      </w:divBdr>
    </w:div>
    <w:div w:id="196285041">
      <w:bodyDiv w:val="1"/>
      <w:marLeft w:val="0"/>
      <w:marRight w:val="0"/>
      <w:marTop w:val="0"/>
      <w:marBottom w:val="0"/>
      <w:divBdr>
        <w:top w:val="none" w:sz="0" w:space="0" w:color="auto"/>
        <w:left w:val="none" w:sz="0" w:space="0" w:color="auto"/>
        <w:bottom w:val="none" w:sz="0" w:space="0" w:color="auto"/>
        <w:right w:val="none" w:sz="0" w:space="0" w:color="auto"/>
      </w:divBdr>
    </w:div>
    <w:div w:id="205456442">
      <w:bodyDiv w:val="1"/>
      <w:marLeft w:val="0"/>
      <w:marRight w:val="0"/>
      <w:marTop w:val="0"/>
      <w:marBottom w:val="0"/>
      <w:divBdr>
        <w:top w:val="none" w:sz="0" w:space="0" w:color="auto"/>
        <w:left w:val="none" w:sz="0" w:space="0" w:color="auto"/>
        <w:bottom w:val="none" w:sz="0" w:space="0" w:color="auto"/>
        <w:right w:val="none" w:sz="0" w:space="0" w:color="auto"/>
      </w:divBdr>
    </w:div>
    <w:div w:id="225457942">
      <w:bodyDiv w:val="1"/>
      <w:marLeft w:val="0"/>
      <w:marRight w:val="0"/>
      <w:marTop w:val="0"/>
      <w:marBottom w:val="0"/>
      <w:divBdr>
        <w:top w:val="none" w:sz="0" w:space="0" w:color="auto"/>
        <w:left w:val="none" w:sz="0" w:space="0" w:color="auto"/>
        <w:bottom w:val="none" w:sz="0" w:space="0" w:color="auto"/>
        <w:right w:val="none" w:sz="0" w:space="0" w:color="auto"/>
      </w:divBdr>
    </w:div>
    <w:div w:id="241646439">
      <w:bodyDiv w:val="1"/>
      <w:marLeft w:val="0"/>
      <w:marRight w:val="0"/>
      <w:marTop w:val="0"/>
      <w:marBottom w:val="0"/>
      <w:divBdr>
        <w:top w:val="none" w:sz="0" w:space="0" w:color="auto"/>
        <w:left w:val="none" w:sz="0" w:space="0" w:color="auto"/>
        <w:bottom w:val="none" w:sz="0" w:space="0" w:color="auto"/>
        <w:right w:val="none" w:sz="0" w:space="0" w:color="auto"/>
      </w:divBdr>
    </w:div>
    <w:div w:id="262612622">
      <w:bodyDiv w:val="1"/>
      <w:marLeft w:val="0"/>
      <w:marRight w:val="0"/>
      <w:marTop w:val="0"/>
      <w:marBottom w:val="0"/>
      <w:divBdr>
        <w:top w:val="none" w:sz="0" w:space="0" w:color="auto"/>
        <w:left w:val="none" w:sz="0" w:space="0" w:color="auto"/>
        <w:bottom w:val="none" w:sz="0" w:space="0" w:color="auto"/>
        <w:right w:val="none" w:sz="0" w:space="0" w:color="auto"/>
      </w:divBdr>
    </w:div>
    <w:div w:id="268316975">
      <w:bodyDiv w:val="1"/>
      <w:marLeft w:val="0"/>
      <w:marRight w:val="0"/>
      <w:marTop w:val="0"/>
      <w:marBottom w:val="0"/>
      <w:divBdr>
        <w:top w:val="none" w:sz="0" w:space="0" w:color="auto"/>
        <w:left w:val="none" w:sz="0" w:space="0" w:color="auto"/>
        <w:bottom w:val="none" w:sz="0" w:space="0" w:color="auto"/>
        <w:right w:val="none" w:sz="0" w:space="0" w:color="auto"/>
      </w:divBdr>
    </w:div>
    <w:div w:id="271980019">
      <w:bodyDiv w:val="1"/>
      <w:marLeft w:val="0"/>
      <w:marRight w:val="0"/>
      <w:marTop w:val="0"/>
      <w:marBottom w:val="0"/>
      <w:divBdr>
        <w:top w:val="none" w:sz="0" w:space="0" w:color="auto"/>
        <w:left w:val="none" w:sz="0" w:space="0" w:color="auto"/>
        <w:bottom w:val="none" w:sz="0" w:space="0" w:color="auto"/>
        <w:right w:val="none" w:sz="0" w:space="0" w:color="auto"/>
      </w:divBdr>
    </w:div>
    <w:div w:id="281309733">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04697955">
      <w:bodyDiv w:val="1"/>
      <w:marLeft w:val="0"/>
      <w:marRight w:val="0"/>
      <w:marTop w:val="0"/>
      <w:marBottom w:val="0"/>
      <w:divBdr>
        <w:top w:val="none" w:sz="0" w:space="0" w:color="auto"/>
        <w:left w:val="none" w:sz="0" w:space="0" w:color="auto"/>
        <w:bottom w:val="none" w:sz="0" w:space="0" w:color="auto"/>
        <w:right w:val="none" w:sz="0" w:space="0" w:color="auto"/>
      </w:divBdr>
    </w:div>
    <w:div w:id="313025055">
      <w:bodyDiv w:val="1"/>
      <w:marLeft w:val="0"/>
      <w:marRight w:val="0"/>
      <w:marTop w:val="0"/>
      <w:marBottom w:val="0"/>
      <w:divBdr>
        <w:top w:val="none" w:sz="0" w:space="0" w:color="auto"/>
        <w:left w:val="none" w:sz="0" w:space="0" w:color="auto"/>
        <w:bottom w:val="none" w:sz="0" w:space="0" w:color="auto"/>
        <w:right w:val="none" w:sz="0" w:space="0" w:color="auto"/>
      </w:divBdr>
    </w:div>
    <w:div w:id="329790941">
      <w:bodyDiv w:val="1"/>
      <w:marLeft w:val="0"/>
      <w:marRight w:val="0"/>
      <w:marTop w:val="0"/>
      <w:marBottom w:val="0"/>
      <w:divBdr>
        <w:top w:val="none" w:sz="0" w:space="0" w:color="auto"/>
        <w:left w:val="none" w:sz="0" w:space="0" w:color="auto"/>
        <w:bottom w:val="none" w:sz="0" w:space="0" w:color="auto"/>
        <w:right w:val="none" w:sz="0" w:space="0" w:color="auto"/>
      </w:divBdr>
    </w:div>
    <w:div w:id="350422774">
      <w:bodyDiv w:val="1"/>
      <w:marLeft w:val="0"/>
      <w:marRight w:val="0"/>
      <w:marTop w:val="0"/>
      <w:marBottom w:val="0"/>
      <w:divBdr>
        <w:top w:val="none" w:sz="0" w:space="0" w:color="auto"/>
        <w:left w:val="none" w:sz="0" w:space="0" w:color="auto"/>
        <w:bottom w:val="none" w:sz="0" w:space="0" w:color="auto"/>
        <w:right w:val="none" w:sz="0" w:space="0" w:color="auto"/>
      </w:divBdr>
    </w:div>
    <w:div w:id="353506112">
      <w:bodyDiv w:val="1"/>
      <w:marLeft w:val="0"/>
      <w:marRight w:val="0"/>
      <w:marTop w:val="0"/>
      <w:marBottom w:val="0"/>
      <w:divBdr>
        <w:top w:val="none" w:sz="0" w:space="0" w:color="auto"/>
        <w:left w:val="none" w:sz="0" w:space="0" w:color="auto"/>
        <w:bottom w:val="none" w:sz="0" w:space="0" w:color="auto"/>
        <w:right w:val="none" w:sz="0" w:space="0" w:color="auto"/>
      </w:divBdr>
    </w:div>
    <w:div w:id="357661603">
      <w:bodyDiv w:val="1"/>
      <w:marLeft w:val="0"/>
      <w:marRight w:val="0"/>
      <w:marTop w:val="0"/>
      <w:marBottom w:val="0"/>
      <w:divBdr>
        <w:top w:val="none" w:sz="0" w:space="0" w:color="auto"/>
        <w:left w:val="none" w:sz="0" w:space="0" w:color="auto"/>
        <w:bottom w:val="none" w:sz="0" w:space="0" w:color="auto"/>
        <w:right w:val="none" w:sz="0" w:space="0" w:color="auto"/>
      </w:divBdr>
    </w:div>
    <w:div w:id="410395297">
      <w:bodyDiv w:val="1"/>
      <w:marLeft w:val="0"/>
      <w:marRight w:val="0"/>
      <w:marTop w:val="0"/>
      <w:marBottom w:val="0"/>
      <w:divBdr>
        <w:top w:val="none" w:sz="0" w:space="0" w:color="auto"/>
        <w:left w:val="none" w:sz="0" w:space="0" w:color="auto"/>
        <w:bottom w:val="none" w:sz="0" w:space="0" w:color="auto"/>
        <w:right w:val="none" w:sz="0" w:space="0" w:color="auto"/>
      </w:divBdr>
    </w:div>
    <w:div w:id="440492896">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80464002">
      <w:bodyDiv w:val="1"/>
      <w:marLeft w:val="0"/>
      <w:marRight w:val="0"/>
      <w:marTop w:val="0"/>
      <w:marBottom w:val="0"/>
      <w:divBdr>
        <w:top w:val="none" w:sz="0" w:space="0" w:color="auto"/>
        <w:left w:val="none" w:sz="0" w:space="0" w:color="auto"/>
        <w:bottom w:val="none" w:sz="0" w:space="0" w:color="auto"/>
        <w:right w:val="none" w:sz="0" w:space="0" w:color="auto"/>
      </w:divBdr>
    </w:div>
    <w:div w:id="496532464">
      <w:bodyDiv w:val="1"/>
      <w:marLeft w:val="0"/>
      <w:marRight w:val="0"/>
      <w:marTop w:val="0"/>
      <w:marBottom w:val="0"/>
      <w:divBdr>
        <w:top w:val="none" w:sz="0" w:space="0" w:color="auto"/>
        <w:left w:val="none" w:sz="0" w:space="0" w:color="auto"/>
        <w:bottom w:val="none" w:sz="0" w:space="0" w:color="auto"/>
        <w:right w:val="none" w:sz="0" w:space="0" w:color="auto"/>
      </w:divBdr>
    </w:div>
    <w:div w:id="505635167">
      <w:bodyDiv w:val="1"/>
      <w:marLeft w:val="0"/>
      <w:marRight w:val="0"/>
      <w:marTop w:val="0"/>
      <w:marBottom w:val="0"/>
      <w:divBdr>
        <w:top w:val="none" w:sz="0" w:space="0" w:color="auto"/>
        <w:left w:val="none" w:sz="0" w:space="0" w:color="auto"/>
        <w:bottom w:val="none" w:sz="0" w:space="0" w:color="auto"/>
        <w:right w:val="none" w:sz="0" w:space="0" w:color="auto"/>
      </w:divBdr>
    </w:div>
    <w:div w:id="526722528">
      <w:bodyDiv w:val="1"/>
      <w:marLeft w:val="0"/>
      <w:marRight w:val="0"/>
      <w:marTop w:val="0"/>
      <w:marBottom w:val="0"/>
      <w:divBdr>
        <w:top w:val="none" w:sz="0" w:space="0" w:color="auto"/>
        <w:left w:val="none" w:sz="0" w:space="0" w:color="auto"/>
        <w:bottom w:val="none" w:sz="0" w:space="0" w:color="auto"/>
        <w:right w:val="none" w:sz="0" w:space="0" w:color="auto"/>
      </w:divBdr>
    </w:div>
    <w:div w:id="546260429">
      <w:bodyDiv w:val="1"/>
      <w:marLeft w:val="0"/>
      <w:marRight w:val="0"/>
      <w:marTop w:val="0"/>
      <w:marBottom w:val="0"/>
      <w:divBdr>
        <w:top w:val="none" w:sz="0" w:space="0" w:color="auto"/>
        <w:left w:val="none" w:sz="0" w:space="0" w:color="auto"/>
        <w:bottom w:val="none" w:sz="0" w:space="0" w:color="auto"/>
        <w:right w:val="none" w:sz="0" w:space="0" w:color="auto"/>
      </w:divBdr>
    </w:div>
    <w:div w:id="576134585">
      <w:bodyDiv w:val="1"/>
      <w:marLeft w:val="0"/>
      <w:marRight w:val="0"/>
      <w:marTop w:val="0"/>
      <w:marBottom w:val="0"/>
      <w:divBdr>
        <w:top w:val="none" w:sz="0" w:space="0" w:color="auto"/>
        <w:left w:val="none" w:sz="0" w:space="0" w:color="auto"/>
        <w:bottom w:val="none" w:sz="0" w:space="0" w:color="auto"/>
        <w:right w:val="none" w:sz="0" w:space="0" w:color="auto"/>
      </w:divBdr>
    </w:div>
    <w:div w:id="596445269">
      <w:bodyDiv w:val="1"/>
      <w:marLeft w:val="0"/>
      <w:marRight w:val="0"/>
      <w:marTop w:val="0"/>
      <w:marBottom w:val="0"/>
      <w:divBdr>
        <w:top w:val="none" w:sz="0" w:space="0" w:color="auto"/>
        <w:left w:val="none" w:sz="0" w:space="0" w:color="auto"/>
        <w:bottom w:val="none" w:sz="0" w:space="0" w:color="auto"/>
        <w:right w:val="none" w:sz="0" w:space="0" w:color="auto"/>
      </w:divBdr>
    </w:div>
    <w:div w:id="604581575">
      <w:bodyDiv w:val="1"/>
      <w:marLeft w:val="0"/>
      <w:marRight w:val="0"/>
      <w:marTop w:val="0"/>
      <w:marBottom w:val="0"/>
      <w:divBdr>
        <w:top w:val="none" w:sz="0" w:space="0" w:color="auto"/>
        <w:left w:val="none" w:sz="0" w:space="0" w:color="auto"/>
        <w:bottom w:val="none" w:sz="0" w:space="0" w:color="auto"/>
        <w:right w:val="none" w:sz="0" w:space="0" w:color="auto"/>
      </w:divBdr>
    </w:div>
    <w:div w:id="641154061">
      <w:bodyDiv w:val="1"/>
      <w:marLeft w:val="0"/>
      <w:marRight w:val="0"/>
      <w:marTop w:val="0"/>
      <w:marBottom w:val="0"/>
      <w:divBdr>
        <w:top w:val="none" w:sz="0" w:space="0" w:color="auto"/>
        <w:left w:val="none" w:sz="0" w:space="0" w:color="auto"/>
        <w:bottom w:val="none" w:sz="0" w:space="0" w:color="auto"/>
        <w:right w:val="none" w:sz="0" w:space="0" w:color="auto"/>
      </w:divBdr>
    </w:div>
    <w:div w:id="651788207">
      <w:bodyDiv w:val="1"/>
      <w:marLeft w:val="0"/>
      <w:marRight w:val="0"/>
      <w:marTop w:val="0"/>
      <w:marBottom w:val="0"/>
      <w:divBdr>
        <w:top w:val="none" w:sz="0" w:space="0" w:color="auto"/>
        <w:left w:val="none" w:sz="0" w:space="0" w:color="auto"/>
        <w:bottom w:val="none" w:sz="0" w:space="0" w:color="auto"/>
        <w:right w:val="none" w:sz="0" w:space="0" w:color="auto"/>
      </w:divBdr>
    </w:div>
    <w:div w:id="686950297">
      <w:bodyDiv w:val="1"/>
      <w:marLeft w:val="0"/>
      <w:marRight w:val="0"/>
      <w:marTop w:val="0"/>
      <w:marBottom w:val="0"/>
      <w:divBdr>
        <w:top w:val="none" w:sz="0" w:space="0" w:color="auto"/>
        <w:left w:val="none" w:sz="0" w:space="0" w:color="auto"/>
        <w:bottom w:val="none" w:sz="0" w:space="0" w:color="auto"/>
        <w:right w:val="none" w:sz="0" w:space="0" w:color="auto"/>
      </w:divBdr>
    </w:div>
    <w:div w:id="716705382">
      <w:bodyDiv w:val="1"/>
      <w:marLeft w:val="0"/>
      <w:marRight w:val="0"/>
      <w:marTop w:val="0"/>
      <w:marBottom w:val="0"/>
      <w:divBdr>
        <w:top w:val="none" w:sz="0" w:space="0" w:color="auto"/>
        <w:left w:val="none" w:sz="0" w:space="0" w:color="auto"/>
        <w:bottom w:val="none" w:sz="0" w:space="0" w:color="auto"/>
        <w:right w:val="none" w:sz="0" w:space="0" w:color="auto"/>
      </w:divBdr>
    </w:div>
    <w:div w:id="719551592">
      <w:bodyDiv w:val="1"/>
      <w:marLeft w:val="0"/>
      <w:marRight w:val="0"/>
      <w:marTop w:val="0"/>
      <w:marBottom w:val="0"/>
      <w:divBdr>
        <w:top w:val="none" w:sz="0" w:space="0" w:color="auto"/>
        <w:left w:val="none" w:sz="0" w:space="0" w:color="auto"/>
        <w:bottom w:val="none" w:sz="0" w:space="0" w:color="auto"/>
        <w:right w:val="none" w:sz="0" w:space="0" w:color="auto"/>
      </w:divBdr>
    </w:div>
    <w:div w:id="768159267">
      <w:bodyDiv w:val="1"/>
      <w:marLeft w:val="0"/>
      <w:marRight w:val="0"/>
      <w:marTop w:val="0"/>
      <w:marBottom w:val="0"/>
      <w:divBdr>
        <w:top w:val="none" w:sz="0" w:space="0" w:color="auto"/>
        <w:left w:val="none" w:sz="0" w:space="0" w:color="auto"/>
        <w:bottom w:val="none" w:sz="0" w:space="0" w:color="auto"/>
        <w:right w:val="none" w:sz="0" w:space="0" w:color="auto"/>
      </w:divBdr>
    </w:div>
    <w:div w:id="775758363">
      <w:bodyDiv w:val="1"/>
      <w:marLeft w:val="0"/>
      <w:marRight w:val="0"/>
      <w:marTop w:val="0"/>
      <w:marBottom w:val="0"/>
      <w:divBdr>
        <w:top w:val="none" w:sz="0" w:space="0" w:color="auto"/>
        <w:left w:val="none" w:sz="0" w:space="0" w:color="auto"/>
        <w:bottom w:val="none" w:sz="0" w:space="0" w:color="auto"/>
        <w:right w:val="none" w:sz="0" w:space="0" w:color="auto"/>
      </w:divBdr>
    </w:div>
    <w:div w:id="775835043">
      <w:bodyDiv w:val="1"/>
      <w:marLeft w:val="0"/>
      <w:marRight w:val="0"/>
      <w:marTop w:val="0"/>
      <w:marBottom w:val="0"/>
      <w:divBdr>
        <w:top w:val="none" w:sz="0" w:space="0" w:color="auto"/>
        <w:left w:val="none" w:sz="0" w:space="0" w:color="auto"/>
        <w:bottom w:val="none" w:sz="0" w:space="0" w:color="auto"/>
        <w:right w:val="none" w:sz="0" w:space="0" w:color="auto"/>
      </w:divBdr>
    </w:div>
    <w:div w:id="812259928">
      <w:bodyDiv w:val="1"/>
      <w:marLeft w:val="0"/>
      <w:marRight w:val="0"/>
      <w:marTop w:val="0"/>
      <w:marBottom w:val="0"/>
      <w:divBdr>
        <w:top w:val="none" w:sz="0" w:space="0" w:color="auto"/>
        <w:left w:val="none" w:sz="0" w:space="0" w:color="auto"/>
        <w:bottom w:val="none" w:sz="0" w:space="0" w:color="auto"/>
        <w:right w:val="none" w:sz="0" w:space="0" w:color="auto"/>
      </w:divBdr>
    </w:div>
    <w:div w:id="836308796">
      <w:bodyDiv w:val="1"/>
      <w:marLeft w:val="0"/>
      <w:marRight w:val="0"/>
      <w:marTop w:val="0"/>
      <w:marBottom w:val="0"/>
      <w:divBdr>
        <w:top w:val="none" w:sz="0" w:space="0" w:color="auto"/>
        <w:left w:val="none" w:sz="0" w:space="0" w:color="auto"/>
        <w:bottom w:val="none" w:sz="0" w:space="0" w:color="auto"/>
        <w:right w:val="none" w:sz="0" w:space="0" w:color="auto"/>
      </w:divBdr>
    </w:div>
    <w:div w:id="845486405">
      <w:bodyDiv w:val="1"/>
      <w:marLeft w:val="0"/>
      <w:marRight w:val="0"/>
      <w:marTop w:val="0"/>
      <w:marBottom w:val="0"/>
      <w:divBdr>
        <w:top w:val="none" w:sz="0" w:space="0" w:color="auto"/>
        <w:left w:val="none" w:sz="0" w:space="0" w:color="auto"/>
        <w:bottom w:val="none" w:sz="0" w:space="0" w:color="auto"/>
        <w:right w:val="none" w:sz="0" w:space="0" w:color="auto"/>
      </w:divBdr>
    </w:div>
    <w:div w:id="850342537">
      <w:bodyDiv w:val="1"/>
      <w:marLeft w:val="0"/>
      <w:marRight w:val="0"/>
      <w:marTop w:val="0"/>
      <w:marBottom w:val="0"/>
      <w:divBdr>
        <w:top w:val="none" w:sz="0" w:space="0" w:color="auto"/>
        <w:left w:val="none" w:sz="0" w:space="0" w:color="auto"/>
        <w:bottom w:val="none" w:sz="0" w:space="0" w:color="auto"/>
        <w:right w:val="none" w:sz="0" w:space="0" w:color="auto"/>
      </w:divBdr>
    </w:div>
    <w:div w:id="893154804">
      <w:bodyDiv w:val="1"/>
      <w:marLeft w:val="0"/>
      <w:marRight w:val="0"/>
      <w:marTop w:val="0"/>
      <w:marBottom w:val="0"/>
      <w:divBdr>
        <w:top w:val="none" w:sz="0" w:space="0" w:color="auto"/>
        <w:left w:val="none" w:sz="0" w:space="0" w:color="auto"/>
        <w:bottom w:val="none" w:sz="0" w:space="0" w:color="auto"/>
        <w:right w:val="none" w:sz="0" w:space="0" w:color="auto"/>
      </w:divBdr>
    </w:div>
    <w:div w:id="901251177">
      <w:bodyDiv w:val="1"/>
      <w:marLeft w:val="0"/>
      <w:marRight w:val="0"/>
      <w:marTop w:val="0"/>
      <w:marBottom w:val="0"/>
      <w:divBdr>
        <w:top w:val="none" w:sz="0" w:space="0" w:color="auto"/>
        <w:left w:val="none" w:sz="0" w:space="0" w:color="auto"/>
        <w:bottom w:val="none" w:sz="0" w:space="0" w:color="auto"/>
        <w:right w:val="none" w:sz="0" w:space="0" w:color="auto"/>
      </w:divBdr>
    </w:div>
    <w:div w:id="937711592">
      <w:bodyDiv w:val="1"/>
      <w:marLeft w:val="0"/>
      <w:marRight w:val="0"/>
      <w:marTop w:val="0"/>
      <w:marBottom w:val="0"/>
      <w:divBdr>
        <w:top w:val="none" w:sz="0" w:space="0" w:color="auto"/>
        <w:left w:val="none" w:sz="0" w:space="0" w:color="auto"/>
        <w:bottom w:val="none" w:sz="0" w:space="0" w:color="auto"/>
        <w:right w:val="none" w:sz="0" w:space="0" w:color="auto"/>
      </w:divBdr>
    </w:div>
    <w:div w:id="960039579">
      <w:bodyDiv w:val="1"/>
      <w:marLeft w:val="0"/>
      <w:marRight w:val="0"/>
      <w:marTop w:val="0"/>
      <w:marBottom w:val="0"/>
      <w:divBdr>
        <w:top w:val="none" w:sz="0" w:space="0" w:color="auto"/>
        <w:left w:val="none" w:sz="0" w:space="0" w:color="auto"/>
        <w:bottom w:val="none" w:sz="0" w:space="0" w:color="auto"/>
        <w:right w:val="none" w:sz="0" w:space="0" w:color="auto"/>
      </w:divBdr>
    </w:div>
    <w:div w:id="990794495">
      <w:bodyDiv w:val="1"/>
      <w:marLeft w:val="0"/>
      <w:marRight w:val="0"/>
      <w:marTop w:val="0"/>
      <w:marBottom w:val="0"/>
      <w:divBdr>
        <w:top w:val="none" w:sz="0" w:space="0" w:color="auto"/>
        <w:left w:val="none" w:sz="0" w:space="0" w:color="auto"/>
        <w:bottom w:val="none" w:sz="0" w:space="0" w:color="auto"/>
        <w:right w:val="none" w:sz="0" w:space="0" w:color="auto"/>
      </w:divBdr>
    </w:div>
    <w:div w:id="1000737428">
      <w:bodyDiv w:val="1"/>
      <w:marLeft w:val="0"/>
      <w:marRight w:val="0"/>
      <w:marTop w:val="0"/>
      <w:marBottom w:val="0"/>
      <w:divBdr>
        <w:top w:val="none" w:sz="0" w:space="0" w:color="auto"/>
        <w:left w:val="none" w:sz="0" w:space="0" w:color="auto"/>
        <w:bottom w:val="none" w:sz="0" w:space="0" w:color="auto"/>
        <w:right w:val="none" w:sz="0" w:space="0" w:color="auto"/>
      </w:divBdr>
    </w:div>
    <w:div w:id="1011302341">
      <w:bodyDiv w:val="1"/>
      <w:marLeft w:val="0"/>
      <w:marRight w:val="0"/>
      <w:marTop w:val="0"/>
      <w:marBottom w:val="0"/>
      <w:divBdr>
        <w:top w:val="none" w:sz="0" w:space="0" w:color="auto"/>
        <w:left w:val="none" w:sz="0" w:space="0" w:color="auto"/>
        <w:bottom w:val="none" w:sz="0" w:space="0" w:color="auto"/>
        <w:right w:val="none" w:sz="0" w:space="0" w:color="auto"/>
      </w:divBdr>
    </w:div>
    <w:div w:id="1037196896">
      <w:bodyDiv w:val="1"/>
      <w:marLeft w:val="0"/>
      <w:marRight w:val="0"/>
      <w:marTop w:val="0"/>
      <w:marBottom w:val="0"/>
      <w:divBdr>
        <w:top w:val="none" w:sz="0" w:space="0" w:color="auto"/>
        <w:left w:val="none" w:sz="0" w:space="0" w:color="auto"/>
        <w:bottom w:val="none" w:sz="0" w:space="0" w:color="auto"/>
        <w:right w:val="none" w:sz="0" w:space="0" w:color="auto"/>
      </w:divBdr>
    </w:div>
    <w:div w:id="1043209617">
      <w:bodyDiv w:val="1"/>
      <w:marLeft w:val="0"/>
      <w:marRight w:val="0"/>
      <w:marTop w:val="0"/>
      <w:marBottom w:val="0"/>
      <w:divBdr>
        <w:top w:val="none" w:sz="0" w:space="0" w:color="auto"/>
        <w:left w:val="none" w:sz="0" w:space="0" w:color="auto"/>
        <w:bottom w:val="none" w:sz="0" w:space="0" w:color="auto"/>
        <w:right w:val="none" w:sz="0" w:space="0" w:color="auto"/>
      </w:divBdr>
    </w:div>
    <w:div w:id="1095320843">
      <w:bodyDiv w:val="1"/>
      <w:marLeft w:val="0"/>
      <w:marRight w:val="0"/>
      <w:marTop w:val="0"/>
      <w:marBottom w:val="0"/>
      <w:divBdr>
        <w:top w:val="none" w:sz="0" w:space="0" w:color="auto"/>
        <w:left w:val="none" w:sz="0" w:space="0" w:color="auto"/>
        <w:bottom w:val="none" w:sz="0" w:space="0" w:color="auto"/>
        <w:right w:val="none" w:sz="0" w:space="0" w:color="auto"/>
      </w:divBdr>
    </w:div>
    <w:div w:id="1115445023">
      <w:bodyDiv w:val="1"/>
      <w:marLeft w:val="0"/>
      <w:marRight w:val="0"/>
      <w:marTop w:val="0"/>
      <w:marBottom w:val="0"/>
      <w:divBdr>
        <w:top w:val="none" w:sz="0" w:space="0" w:color="auto"/>
        <w:left w:val="none" w:sz="0" w:space="0" w:color="auto"/>
        <w:bottom w:val="none" w:sz="0" w:space="0" w:color="auto"/>
        <w:right w:val="none" w:sz="0" w:space="0" w:color="auto"/>
      </w:divBdr>
    </w:div>
    <w:div w:id="1154033411">
      <w:bodyDiv w:val="1"/>
      <w:marLeft w:val="0"/>
      <w:marRight w:val="0"/>
      <w:marTop w:val="0"/>
      <w:marBottom w:val="0"/>
      <w:divBdr>
        <w:top w:val="none" w:sz="0" w:space="0" w:color="auto"/>
        <w:left w:val="none" w:sz="0" w:space="0" w:color="auto"/>
        <w:bottom w:val="none" w:sz="0" w:space="0" w:color="auto"/>
        <w:right w:val="none" w:sz="0" w:space="0" w:color="auto"/>
      </w:divBdr>
    </w:div>
    <w:div w:id="1185905074">
      <w:bodyDiv w:val="1"/>
      <w:marLeft w:val="0"/>
      <w:marRight w:val="0"/>
      <w:marTop w:val="0"/>
      <w:marBottom w:val="0"/>
      <w:divBdr>
        <w:top w:val="none" w:sz="0" w:space="0" w:color="auto"/>
        <w:left w:val="none" w:sz="0" w:space="0" w:color="auto"/>
        <w:bottom w:val="none" w:sz="0" w:space="0" w:color="auto"/>
        <w:right w:val="none" w:sz="0" w:space="0" w:color="auto"/>
      </w:divBdr>
    </w:div>
    <w:div w:id="1198087235">
      <w:bodyDiv w:val="1"/>
      <w:marLeft w:val="0"/>
      <w:marRight w:val="0"/>
      <w:marTop w:val="0"/>
      <w:marBottom w:val="0"/>
      <w:divBdr>
        <w:top w:val="none" w:sz="0" w:space="0" w:color="auto"/>
        <w:left w:val="none" w:sz="0" w:space="0" w:color="auto"/>
        <w:bottom w:val="none" w:sz="0" w:space="0" w:color="auto"/>
        <w:right w:val="none" w:sz="0" w:space="0" w:color="auto"/>
      </w:divBdr>
    </w:div>
    <w:div w:id="1207252199">
      <w:bodyDiv w:val="1"/>
      <w:marLeft w:val="0"/>
      <w:marRight w:val="0"/>
      <w:marTop w:val="0"/>
      <w:marBottom w:val="0"/>
      <w:divBdr>
        <w:top w:val="none" w:sz="0" w:space="0" w:color="auto"/>
        <w:left w:val="none" w:sz="0" w:space="0" w:color="auto"/>
        <w:bottom w:val="none" w:sz="0" w:space="0" w:color="auto"/>
        <w:right w:val="none" w:sz="0" w:space="0" w:color="auto"/>
      </w:divBdr>
    </w:div>
    <w:div w:id="1234967197">
      <w:bodyDiv w:val="1"/>
      <w:marLeft w:val="0"/>
      <w:marRight w:val="0"/>
      <w:marTop w:val="0"/>
      <w:marBottom w:val="0"/>
      <w:divBdr>
        <w:top w:val="none" w:sz="0" w:space="0" w:color="auto"/>
        <w:left w:val="none" w:sz="0" w:space="0" w:color="auto"/>
        <w:bottom w:val="none" w:sz="0" w:space="0" w:color="auto"/>
        <w:right w:val="none" w:sz="0" w:space="0" w:color="auto"/>
      </w:divBdr>
    </w:div>
    <w:div w:id="1242712888">
      <w:bodyDiv w:val="1"/>
      <w:marLeft w:val="0"/>
      <w:marRight w:val="0"/>
      <w:marTop w:val="0"/>
      <w:marBottom w:val="0"/>
      <w:divBdr>
        <w:top w:val="none" w:sz="0" w:space="0" w:color="auto"/>
        <w:left w:val="none" w:sz="0" w:space="0" w:color="auto"/>
        <w:bottom w:val="none" w:sz="0" w:space="0" w:color="auto"/>
        <w:right w:val="none" w:sz="0" w:space="0" w:color="auto"/>
      </w:divBdr>
    </w:div>
    <w:div w:id="1265074049">
      <w:bodyDiv w:val="1"/>
      <w:marLeft w:val="0"/>
      <w:marRight w:val="0"/>
      <w:marTop w:val="0"/>
      <w:marBottom w:val="0"/>
      <w:divBdr>
        <w:top w:val="none" w:sz="0" w:space="0" w:color="auto"/>
        <w:left w:val="none" w:sz="0" w:space="0" w:color="auto"/>
        <w:bottom w:val="none" w:sz="0" w:space="0" w:color="auto"/>
        <w:right w:val="none" w:sz="0" w:space="0" w:color="auto"/>
      </w:divBdr>
    </w:div>
    <w:div w:id="1282154651">
      <w:bodyDiv w:val="1"/>
      <w:marLeft w:val="0"/>
      <w:marRight w:val="0"/>
      <w:marTop w:val="0"/>
      <w:marBottom w:val="0"/>
      <w:divBdr>
        <w:top w:val="none" w:sz="0" w:space="0" w:color="auto"/>
        <w:left w:val="none" w:sz="0" w:space="0" w:color="auto"/>
        <w:bottom w:val="none" w:sz="0" w:space="0" w:color="auto"/>
        <w:right w:val="none" w:sz="0" w:space="0" w:color="auto"/>
      </w:divBdr>
    </w:div>
    <w:div w:id="1294480727">
      <w:bodyDiv w:val="1"/>
      <w:marLeft w:val="0"/>
      <w:marRight w:val="0"/>
      <w:marTop w:val="0"/>
      <w:marBottom w:val="0"/>
      <w:divBdr>
        <w:top w:val="none" w:sz="0" w:space="0" w:color="auto"/>
        <w:left w:val="none" w:sz="0" w:space="0" w:color="auto"/>
        <w:bottom w:val="none" w:sz="0" w:space="0" w:color="auto"/>
        <w:right w:val="none" w:sz="0" w:space="0" w:color="auto"/>
      </w:divBdr>
    </w:div>
    <w:div w:id="1296526062">
      <w:bodyDiv w:val="1"/>
      <w:marLeft w:val="0"/>
      <w:marRight w:val="0"/>
      <w:marTop w:val="0"/>
      <w:marBottom w:val="0"/>
      <w:divBdr>
        <w:top w:val="none" w:sz="0" w:space="0" w:color="auto"/>
        <w:left w:val="none" w:sz="0" w:space="0" w:color="auto"/>
        <w:bottom w:val="none" w:sz="0" w:space="0" w:color="auto"/>
        <w:right w:val="none" w:sz="0" w:space="0" w:color="auto"/>
      </w:divBdr>
    </w:div>
    <w:div w:id="1389257293">
      <w:bodyDiv w:val="1"/>
      <w:marLeft w:val="0"/>
      <w:marRight w:val="0"/>
      <w:marTop w:val="0"/>
      <w:marBottom w:val="0"/>
      <w:divBdr>
        <w:top w:val="none" w:sz="0" w:space="0" w:color="auto"/>
        <w:left w:val="none" w:sz="0" w:space="0" w:color="auto"/>
        <w:bottom w:val="none" w:sz="0" w:space="0" w:color="auto"/>
        <w:right w:val="none" w:sz="0" w:space="0" w:color="auto"/>
      </w:divBdr>
    </w:div>
    <w:div w:id="1392968968">
      <w:bodyDiv w:val="1"/>
      <w:marLeft w:val="0"/>
      <w:marRight w:val="0"/>
      <w:marTop w:val="0"/>
      <w:marBottom w:val="0"/>
      <w:divBdr>
        <w:top w:val="none" w:sz="0" w:space="0" w:color="auto"/>
        <w:left w:val="none" w:sz="0" w:space="0" w:color="auto"/>
        <w:bottom w:val="none" w:sz="0" w:space="0" w:color="auto"/>
        <w:right w:val="none" w:sz="0" w:space="0" w:color="auto"/>
      </w:divBdr>
    </w:div>
    <w:div w:id="1397703627">
      <w:bodyDiv w:val="1"/>
      <w:marLeft w:val="0"/>
      <w:marRight w:val="0"/>
      <w:marTop w:val="0"/>
      <w:marBottom w:val="0"/>
      <w:divBdr>
        <w:top w:val="none" w:sz="0" w:space="0" w:color="auto"/>
        <w:left w:val="none" w:sz="0" w:space="0" w:color="auto"/>
        <w:bottom w:val="none" w:sz="0" w:space="0" w:color="auto"/>
        <w:right w:val="none" w:sz="0" w:space="0" w:color="auto"/>
      </w:divBdr>
    </w:div>
    <w:div w:id="1404990067">
      <w:bodyDiv w:val="1"/>
      <w:marLeft w:val="0"/>
      <w:marRight w:val="0"/>
      <w:marTop w:val="0"/>
      <w:marBottom w:val="0"/>
      <w:divBdr>
        <w:top w:val="none" w:sz="0" w:space="0" w:color="auto"/>
        <w:left w:val="none" w:sz="0" w:space="0" w:color="auto"/>
        <w:bottom w:val="none" w:sz="0" w:space="0" w:color="auto"/>
        <w:right w:val="none" w:sz="0" w:space="0" w:color="auto"/>
      </w:divBdr>
    </w:div>
    <w:div w:id="1429694291">
      <w:bodyDiv w:val="1"/>
      <w:marLeft w:val="0"/>
      <w:marRight w:val="0"/>
      <w:marTop w:val="0"/>
      <w:marBottom w:val="0"/>
      <w:divBdr>
        <w:top w:val="none" w:sz="0" w:space="0" w:color="auto"/>
        <w:left w:val="none" w:sz="0" w:space="0" w:color="auto"/>
        <w:bottom w:val="none" w:sz="0" w:space="0" w:color="auto"/>
        <w:right w:val="none" w:sz="0" w:space="0" w:color="auto"/>
      </w:divBdr>
    </w:div>
    <w:div w:id="1430420429">
      <w:bodyDiv w:val="1"/>
      <w:marLeft w:val="0"/>
      <w:marRight w:val="0"/>
      <w:marTop w:val="0"/>
      <w:marBottom w:val="0"/>
      <w:divBdr>
        <w:top w:val="none" w:sz="0" w:space="0" w:color="auto"/>
        <w:left w:val="none" w:sz="0" w:space="0" w:color="auto"/>
        <w:bottom w:val="none" w:sz="0" w:space="0" w:color="auto"/>
        <w:right w:val="none" w:sz="0" w:space="0" w:color="auto"/>
      </w:divBdr>
    </w:div>
    <w:div w:id="1461341093">
      <w:bodyDiv w:val="1"/>
      <w:marLeft w:val="0"/>
      <w:marRight w:val="0"/>
      <w:marTop w:val="0"/>
      <w:marBottom w:val="0"/>
      <w:divBdr>
        <w:top w:val="none" w:sz="0" w:space="0" w:color="auto"/>
        <w:left w:val="none" w:sz="0" w:space="0" w:color="auto"/>
        <w:bottom w:val="none" w:sz="0" w:space="0" w:color="auto"/>
        <w:right w:val="none" w:sz="0" w:space="0" w:color="auto"/>
      </w:divBdr>
    </w:div>
    <w:div w:id="1468546754">
      <w:bodyDiv w:val="1"/>
      <w:marLeft w:val="0"/>
      <w:marRight w:val="0"/>
      <w:marTop w:val="0"/>
      <w:marBottom w:val="0"/>
      <w:divBdr>
        <w:top w:val="none" w:sz="0" w:space="0" w:color="auto"/>
        <w:left w:val="none" w:sz="0" w:space="0" w:color="auto"/>
        <w:bottom w:val="none" w:sz="0" w:space="0" w:color="auto"/>
        <w:right w:val="none" w:sz="0" w:space="0" w:color="auto"/>
      </w:divBdr>
    </w:div>
    <w:div w:id="1493332429">
      <w:bodyDiv w:val="1"/>
      <w:marLeft w:val="0"/>
      <w:marRight w:val="0"/>
      <w:marTop w:val="0"/>
      <w:marBottom w:val="0"/>
      <w:divBdr>
        <w:top w:val="none" w:sz="0" w:space="0" w:color="auto"/>
        <w:left w:val="none" w:sz="0" w:space="0" w:color="auto"/>
        <w:bottom w:val="none" w:sz="0" w:space="0" w:color="auto"/>
        <w:right w:val="none" w:sz="0" w:space="0" w:color="auto"/>
      </w:divBdr>
    </w:div>
    <w:div w:id="1507793962">
      <w:bodyDiv w:val="1"/>
      <w:marLeft w:val="0"/>
      <w:marRight w:val="0"/>
      <w:marTop w:val="0"/>
      <w:marBottom w:val="0"/>
      <w:divBdr>
        <w:top w:val="none" w:sz="0" w:space="0" w:color="auto"/>
        <w:left w:val="none" w:sz="0" w:space="0" w:color="auto"/>
        <w:bottom w:val="none" w:sz="0" w:space="0" w:color="auto"/>
        <w:right w:val="none" w:sz="0" w:space="0" w:color="auto"/>
      </w:divBdr>
    </w:div>
    <w:div w:id="1594124303">
      <w:bodyDiv w:val="1"/>
      <w:marLeft w:val="0"/>
      <w:marRight w:val="0"/>
      <w:marTop w:val="0"/>
      <w:marBottom w:val="0"/>
      <w:divBdr>
        <w:top w:val="none" w:sz="0" w:space="0" w:color="auto"/>
        <w:left w:val="none" w:sz="0" w:space="0" w:color="auto"/>
        <w:bottom w:val="none" w:sz="0" w:space="0" w:color="auto"/>
        <w:right w:val="none" w:sz="0" w:space="0" w:color="auto"/>
      </w:divBdr>
    </w:div>
    <w:div w:id="1611013285">
      <w:bodyDiv w:val="1"/>
      <w:marLeft w:val="0"/>
      <w:marRight w:val="0"/>
      <w:marTop w:val="0"/>
      <w:marBottom w:val="0"/>
      <w:divBdr>
        <w:top w:val="none" w:sz="0" w:space="0" w:color="auto"/>
        <w:left w:val="none" w:sz="0" w:space="0" w:color="auto"/>
        <w:bottom w:val="none" w:sz="0" w:space="0" w:color="auto"/>
        <w:right w:val="none" w:sz="0" w:space="0" w:color="auto"/>
      </w:divBdr>
    </w:div>
    <w:div w:id="1615209440">
      <w:bodyDiv w:val="1"/>
      <w:marLeft w:val="0"/>
      <w:marRight w:val="0"/>
      <w:marTop w:val="0"/>
      <w:marBottom w:val="0"/>
      <w:divBdr>
        <w:top w:val="none" w:sz="0" w:space="0" w:color="auto"/>
        <w:left w:val="none" w:sz="0" w:space="0" w:color="auto"/>
        <w:bottom w:val="none" w:sz="0" w:space="0" w:color="auto"/>
        <w:right w:val="none" w:sz="0" w:space="0" w:color="auto"/>
      </w:divBdr>
    </w:div>
    <w:div w:id="1639795843">
      <w:bodyDiv w:val="1"/>
      <w:marLeft w:val="0"/>
      <w:marRight w:val="0"/>
      <w:marTop w:val="0"/>
      <w:marBottom w:val="0"/>
      <w:divBdr>
        <w:top w:val="none" w:sz="0" w:space="0" w:color="auto"/>
        <w:left w:val="none" w:sz="0" w:space="0" w:color="auto"/>
        <w:bottom w:val="none" w:sz="0" w:space="0" w:color="auto"/>
        <w:right w:val="none" w:sz="0" w:space="0" w:color="auto"/>
      </w:divBdr>
    </w:div>
    <w:div w:id="1645811258">
      <w:bodyDiv w:val="1"/>
      <w:marLeft w:val="0"/>
      <w:marRight w:val="0"/>
      <w:marTop w:val="0"/>
      <w:marBottom w:val="0"/>
      <w:divBdr>
        <w:top w:val="none" w:sz="0" w:space="0" w:color="auto"/>
        <w:left w:val="none" w:sz="0" w:space="0" w:color="auto"/>
        <w:bottom w:val="none" w:sz="0" w:space="0" w:color="auto"/>
        <w:right w:val="none" w:sz="0" w:space="0" w:color="auto"/>
      </w:divBdr>
    </w:div>
    <w:div w:id="1651712236">
      <w:bodyDiv w:val="1"/>
      <w:marLeft w:val="0"/>
      <w:marRight w:val="0"/>
      <w:marTop w:val="0"/>
      <w:marBottom w:val="0"/>
      <w:divBdr>
        <w:top w:val="none" w:sz="0" w:space="0" w:color="auto"/>
        <w:left w:val="none" w:sz="0" w:space="0" w:color="auto"/>
        <w:bottom w:val="none" w:sz="0" w:space="0" w:color="auto"/>
        <w:right w:val="none" w:sz="0" w:space="0" w:color="auto"/>
      </w:divBdr>
    </w:div>
    <w:div w:id="1674604773">
      <w:bodyDiv w:val="1"/>
      <w:marLeft w:val="0"/>
      <w:marRight w:val="0"/>
      <w:marTop w:val="0"/>
      <w:marBottom w:val="0"/>
      <w:divBdr>
        <w:top w:val="none" w:sz="0" w:space="0" w:color="auto"/>
        <w:left w:val="none" w:sz="0" w:space="0" w:color="auto"/>
        <w:bottom w:val="none" w:sz="0" w:space="0" w:color="auto"/>
        <w:right w:val="none" w:sz="0" w:space="0" w:color="auto"/>
      </w:divBdr>
    </w:div>
    <w:div w:id="1694334174">
      <w:bodyDiv w:val="1"/>
      <w:marLeft w:val="0"/>
      <w:marRight w:val="0"/>
      <w:marTop w:val="0"/>
      <w:marBottom w:val="0"/>
      <w:divBdr>
        <w:top w:val="none" w:sz="0" w:space="0" w:color="auto"/>
        <w:left w:val="none" w:sz="0" w:space="0" w:color="auto"/>
        <w:bottom w:val="none" w:sz="0" w:space="0" w:color="auto"/>
        <w:right w:val="none" w:sz="0" w:space="0" w:color="auto"/>
      </w:divBdr>
    </w:div>
    <w:div w:id="1702977027">
      <w:bodyDiv w:val="1"/>
      <w:marLeft w:val="0"/>
      <w:marRight w:val="0"/>
      <w:marTop w:val="0"/>
      <w:marBottom w:val="0"/>
      <w:divBdr>
        <w:top w:val="none" w:sz="0" w:space="0" w:color="auto"/>
        <w:left w:val="none" w:sz="0" w:space="0" w:color="auto"/>
        <w:bottom w:val="none" w:sz="0" w:space="0" w:color="auto"/>
        <w:right w:val="none" w:sz="0" w:space="0" w:color="auto"/>
      </w:divBdr>
    </w:div>
    <w:div w:id="1714771540">
      <w:bodyDiv w:val="1"/>
      <w:marLeft w:val="0"/>
      <w:marRight w:val="0"/>
      <w:marTop w:val="0"/>
      <w:marBottom w:val="0"/>
      <w:divBdr>
        <w:top w:val="none" w:sz="0" w:space="0" w:color="auto"/>
        <w:left w:val="none" w:sz="0" w:space="0" w:color="auto"/>
        <w:bottom w:val="none" w:sz="0" w:space="0" w:color="auto"/>
        <w:right w:val="none" w:sz="0" w:space="0" w:color="auto"/>
      </w:divBdr>
    </w:div>
    <w:div w:id="1717970674">
      <w:bodyDiv w:val="1"/>
      <w:marLeft w:val="0"/>
      <w:marRight w:val="0"/>
      <w:marTop w:val="0"/>
      <w:marBottom w:val="0"/>
      <w:divBdr>
        <w:top w:val="none" w:sz="0" w:space="0" w:color="auto"/>
        <w:left w:val="none" w:sz="0" w:space="0" w:color="auto"/>
        <w:bottom w:val="none" w:sz="0" w:space="0" w:color="auto"/>
        <w:right w:val="none" w:sz="0" w:space="0" w:color="auto"/>
      </w:divBdr>
    </w:div>
    <w:div w:id="1718627999">
      <w:bodyDiv w:val="1"/>
      <w:marLeft w:val="0"/>
      <w:marRight w:val="0"/>
      <w:marTop w:val="0"/>
      <w:marBottom w:val="0"/>
      <w:divBdr>
        <w:top w:val="none" w:sz="0" w:space="0" w:color="auto"/>
        <w:left w:val="none" w:sz="0" w:space="0" w:color="auto"/>
        <w:bottom w:val="none" w:sz="0" w:space="0" w:color="auto"/>
        <w:right w:val="none" w:sz="0" w:space="0" w:color="auto"/>
      </w:divBdr>
    </w:div>
    <w:div w:id="1760364207">
      <w:bodyDiv w:val="1"/>
      <w:marLeft w:val="0"/>
      <w:marRight w:val="0"/>
      <w:marTop w:val="0"/>
      <w:marBottom w:val="0"/>
      <w:divBdr>
        <w:top w:val="none" w:sz="0" w:space="0" w:color="auto"/>
        <w:left w:val="none" w:sz="0" w:space="0" w:color="auto"/>
        <w:bottom w:val="none" w:sz="0" w:space="0" w:color="auto"/>
        <w:right w:val="none" w:sz="0" w:space="0" w:color="auto"/>
      </w:divBdr>
    </w:div>
    <w:div w:id="1788500207">
      <w:bodyDiv w:val="1"/>
      <w:marLeft w:val="0"/>
      <w:marRight w:val="0"/>
      <w:marTop w:val="0"/>
      <w:marBottom w:val="0"/>
      <w:divBdr>
        <w:top w:val="none" w:sz="0" w:space="0" w:color="auto"/>
        <w:left w:val="none" w:sz="0" w:space="0" w:color="auto"/>
        <w:bottom w:val="none" w:sz="0" w:space="0" w:color="auto"/>
        <w:right w:val="none" w:sz="0" w:space="0" w:color="auto"/>
      </w:divBdr>
    </w:div>
    <w:div w:id="1791583748">
      <w:bodyDiv w:val="1"/>
      <w:marLeft w:val="0"/>
      <w:marRight w:val="0"/>
      <w:marTop w:val="0"/>
      <w:marBottom w:val="0"/>
      <w:divBdr>
        <w:top w:val="none" w:sz="0" w:space="0" w:color="auto"/>
        <w:left w:val="none" w:sz="0" w:space="0" w:color="auto"/>
        <w:bottom w:val="none" w:sz="0" w:space="0" w:color="auto"/>
        <w:right w:val="none" w:sz="0" w:space="0" w:color="auto"/>
      </w:divBdr>
    </w:div>
    <w:div w:id="1820268103">
      <w:bodyDiv w:val="1"/>
      <w:marLeft w:val="0"/>
      <w:marRight w:val="0"/>
      <w:marTop w:val="0"/>
      <w:marBottom w:val="0"/>
      <w:divBdr>
        <w:top w:val="none" w:sz="0" w:space="0" w:color="auto"/>
        <w:left w:val="none" w:sz="0" w:space="0" w:color="auto"/>
        <w:bottom w:val="none" w:sz="0" w:space="0" w:color="auto"/>
        <w:right w:val="none" w:sz="0" w:space="0" w:color="auto"/>
      </w:divBdr>
    </w:div>
    <w:div w:id="1865365934">
      <w:bodyDiv w:val="1"/>
      <w:marLeft w:val="0"/>
      <w:marRight w:val="0"/>
      <w:marTop w:val="0"/>
      <w:marBottom w:val="0"/>
      <w:divBdr>
        <w:top w:val="none" w:sz="0" w:space="0" w:color="auto"/>
        <w:left w:val="none" w:sz="0" w:space="0" w:color="auto"/>
        <w:bottom w:val="none" w:sz="0" w:space="0" w:color="auto"/>
        <w:right w:val="none" w:sz="0" w:space="0" w:color="auto"/>
      </w:divBdr>
    </w:div>
    <w:div w:id="1870605754">
      <w:bodyDiv w:val="1"/>
      <w:marLeft w:val="0"/>
      <w:marRight w:val="0"/>
      <w:marTop w:val="0"/>
      <w:marBottom w:val="0"/>
      <w:divBdr>
        <w:top w:val="none" w:sz="0" w:space="0" w:color="auto"/>
        <w:left w:val="none" w:sz="0" w:space="0" w:color="auto"/>
        <w:bottom w:val="none" w:sz="0" w:space="0" w:color="auto"/>
        <w:right w:val="none" w:sz="0" w:space="0" w:color="auto"/>
      </w:divBdr>
    </w:div>
    <w:div w:id="1871601511">
      <w:bodyDiv w:val="1"/>
      <w:marLeft w:val="0"/>
      <w:marRight w:val="0"/>
      <w:marTop w:val="0"/>
      <w:marBottom w:val="0"/>
      <w:divBdr>
        <w:top w:val="none" w:sz="0" w:space="0" w:color="auto"/>
        <w:left w:val="none" w:sz="0" w:space="0" w:color="auto"/>
        <w:bottom w:val="none" w:sz="0" w:space="0" w:color="auto"/>
        <w:right w:val="none" w:sz="0" w:space="0" w:color="auto"/>
      </w:divBdr>
    </w:div>
    <w:div w:id="1914509998">
      <w:bodyDiv w:val="1"/>
      <w:marLeft w:val="0"/>
      <w:marRight w:val="0"/>
      <w:marTop w:val="0"/>
      <w:marBottom w:val="0"/>
      <w:divBdr>
        <w:top w:val="none" w:sz="0" w:space="0" w:color="auto"/>
        <w:left w:val="none" w:sz="0" w:space="0" w:color="auto"/>
        <w:bottom w:val="none" w:sz="0" w:space="0" w:color="auto"/>
        <w:right w:val="none" w:sz="0" w:space="0" w:color="auto"/>
      </w:divBdr>
    </w:div>
    <w:div w:id="1919703644">
      <w:bodyDiv w:val="1"/>
      <w:marLeft w:val="0"/>
      <w:marRight w:val="0"/>
      <w:marTop w:val="0"/>
      <w:marBottom w:val="0"/>
      <w:divBdr>
        <w:top w:val="none" w:sz="0" w:space="0" w:color="auto"/>
        <w:left w:val="none" w:sz="0" w:space="0" w:color="auto"/>
        <w:bottom w:val="none" w:sz="0" w:space="0" w:color="auto"/>
        <w:right w:val="none" w:sz="0" w:space="0" w:color="auto"/>
      </w:divBdr>
    </w:div>
    <w:div w:id="1963149470">
      <w:bodyDiv w:val="1"/>
      <w:marLeft w:val="0"/>
      <w:marRight w:val="0"/>
      <w:marTop w:val="0"/>
      <w:marBottom w:val="0"/>
      <w:divBdr>
        <w:top w:val="none" w:sz="0" w:space="0" w:color="auto"/>
        <w:left w:val="none" w:sz="0" w:space="0" w:color="auto"/>
        <w:bottom w:val="none" w:sz="0" w:space="0" w:color="auto"/>
        <w:right w:val="none" w:sz="0" w:space="0" w:color="auto"/>
      </w:divBdr>
    </w:div>
    <w:div w:id="1981298860">
      <w:bodyDiv w:val="1"/>
      <w:marLeft w:val="0"/>
      <w:marRight w:val="0"/>
      <w:marTop w:val="0"/>
      <w:marBottom w:val="0"/>
      <w:divBdr>
        <w:top w:val="none" w:sz="0" w:space="0" w:color="auto"/>
        <w:left w:val="none" w:sz="0" w:space="0" w:color="auto"/>
        <w:bottom w:val="none" w:sz="0" w:space="0" w:color="auto"/>
        <w:right w:val="none" w:sz="0" w:space="0" w:color="auto"/>
      </w:divBdr>
    </w:div>
    <w:div w:id="2027242316">
      <w:bodyDiv w:val="1"/>
      <w:marLeft w:val="0"/>
      <w:marRight w:val="0"/>
      <w:marTop w:val="0"/>
      <w:marBottom w:val="0"/>
      <w:divBdr>
        <w:top w:val="none" w:sz="0" w:space="0" w:color="auto"/>
        <w:left w:val="none" w:sz="0" w:space="0" w:color="auto"/>
        <w:bottom w:val="none" w:sz="0" w:space="0" w:color="auto"/>
        <w:right w:val="none" w:sz="0" w:space="0" w:color="auto"/>
      </w:divBdr>
    </w:div>
    <w:div w:id="2029721901">
      <w:bodyDiv w:val="1"/>
      <w:marLeft w:val="0"/>
      <w:marRight w:val="0"/>
      <w:marTop w:val="0"/>
      <w:marBottom w:val="0"/>
      <w:divBdr>
        <w:top w:val="none" w:sz="0" w:space="0" w:color="auto"/>
        <w:left w:val="none" w:sz="0" w:space="0" w:color="auto"/>
        <w:bottom w:val="none" w:sz="0" w:space="0" w:color="auto"/>
        <w:right w:val="none" w:sz="0" w:space="0" w:color="auto"/>
      </w:divBdr>
    </w:div>
    <w:div w:id="2135370551">
      <w:bodyDiv w:val="1"/>
      <w:marLeft w:val="0"/>
      <w:marRight w:val="0"/>
      <w:marTop w:val="0"/>
      <w:marBottom w:val="0"/>
      <w:divBdr>
        <w:top w:val="none" w:sz="0" w:space="0" w:color="auto"/>
        <w:left w:val="none" w:sz="0" w:space="0" w:color="auto"/>
        <w:bottom w:val="none" w:sz="0" w:space="0" w:color="auto"/>
        <w:right w:val="none" w:sz="0" w:space="0" w:color="auto"/>
      </w:divBdr>
      <w:divsChild>
        <w:div w:id="4820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nwmedinfo@nhs.net?subject=New%20Medicines%20Newslet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nhs.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kmi.nhs.uk/n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sps.nhs.uk/articles/sps-horizon-scanning/" TargetMode="External"/><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hyperlink" Target="https://www.sps.nhs.uk/home/planning/annual-medicines-plannin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igitalliverpool.sharepoint.com/sites/MA/Horizon%20Scanning/SPS%20HS%20publications/New%20Medicines%20News%20(incl%20Clinical%20Pharmacist)/Admin/New%20Medicines%20News%202026%20template.dotx?OR=81dd2b71-fb82-4b33-ac71-fed46bf0f87a&amp;CID=ff09f7a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F8181707A014BAADECFD0EF2EB9F0" ma:contentTypeVersion="17" ma:contentTypeDescription="Create a new document." ma:contentTypeScope="" ma:versionID="d649950a5bda45bd2e869b4ea2fa5a66">
  <xsd:schema xmlns:xsd="http://www.w3.org/2001/XMLSchema" xmlns:xs="http://www.w3.org/2001/XMLSchema" xmlns:p="http://schemas.microsoft.com/office/2006/metadata/properties" xmlns:ns2="bc6437e3-65b5-4a7b-a123-cc0b1a712dbe" xmlns:ns3="9930fb2e-2b64-4524-8d19-1f206af19760" targetNamespace="http://schemas.microsoft.com/office/2006/metadata/properties" ma:root="true" ma:fieldsID="7c05c2e963fe55e0bd9bce4d8261abcf" ns2:_="" ns3:_="">
    <xsd:import namespace="bc6437e3-65b5-4a7b-a123-cc0b1a712dbe"/>
    <xsd:import namespace="9930fb2e-2b64-4524-8d19-1f206af19760"/>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Checke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37e3-65b5-4a7b-a123-cc0b1a712dbe"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complete"/>
          <xsd:enumeration value="Draft screened"/>
          <xsd:enumeration value="Draft ready for check"/>
          <xsd:enumeration value="Draft checked"/>
          <xsd:enumeration value="Draft finali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hecker" ma:index="13" nillable="true" ma:displayName="Checker" ma:format="Dropdown" ma:list="UserInfo" ma:SharePointGroup="0" ma:internalName="Chec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0fb2e-2b64-4524-8d19-1f206af197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974dfa-c764-4829-9cd5-f0d2f4cc9654}" ma:internalName="TaxCatchAll" ma:showField="CatchAllData" ma:web="9930fb2e-2b64-4524-8d19-1f206af1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c6437e3-65b5-4a7b-a123-cc0b1a712dbe" xsi:nil="true"/>
    <Checker xmlns="bc6437e3-65b5-4a7b-a123-cc0b1a712dbe">
      <UserInfo>
        <DisplayName/>
        <AccountId xsi:nil="true"/>
        <AccountType/>
      </UserInfo>
    </Checker>
    <TaxCatchAll xmlns="9930fb2e-2b64-4524-8d19-1f206af19760" xsi:nil="true"/>
    <lcf76f155ced4ddcb4097134ff3c332f xmlns="bc6437e3-65b5-4a7b-a123-cc0b1a712dbe">
      <Terms xmlns="http://schemas.microsoft.com/office/infopath/2007/PartnerControls"/>
    </lcf76f155ced4ddcb4097134ff3c332f>
    <_Flow_SignoffStatus xmlns="bc6437e3-65b5-4a7b-a123-cc0b1a712dbe" xsi:nil="true"/>
  </documentManagement>
</p:properties>
</file>

<file path=customXml/itemProps1.xml><?xml version="1.0" encoding="utf-8"?>
<ds:datastoreItem xmlns:ds="http://schemas.openxmlformats.org/officeDocument/2006/customXml" ds:itemID="{4D491869-6A80-4380-B4C8-BDFECDE465A6}">
  <ds:schemaRefs>
    <ds:schemaRef ds:uri="http://schemas.microsoft.com/sharepoint/v3/contenttype/forms"/>
  </ds:schemaRefs>
</ds:datastoreItem>
</file>

<file path=customXml/itemProps2.xml><?xml version="1.0" encoding="utf-8"?>
<ds:datastoreItem xmlns:ds="http://schemas.openxmlformats.org/officeDocument/2006/customXml" ds:itemID="{CD63FE54-2633-4BAD-8644-B28C8A8E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37e3-65b5-4a7b-a123-cc0b1a712dbe"/>
    <ds:schemaRef ds:uri="9930fb2e-2b64-4524-8d19-1f206af1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6E074-DAC3-464B-8E55-384774156C3A}">
  <ds:schemaRefs>
    <ds:schemaRef ds:uri="http://schemas.openxmlformats.org/officeDocument/2006/bibliography"/>
  </ds:schemaRefs>
</ds:datastoreItem>
</file>

<file path=customXml/itemProps4.xml><?xml version="1.0" encoding="utf-8"?>
<ds:datastoreItem xmlns:ds="http://schemas.openxmlformats.org/officeDocument/2006/customXml" ds:itemID="{1EB4F6B2-13C0-4835-BE83-75A0D0B4856D}">
  <ds:schemaRefs>
    <ds:schemaRef ds:uri="http://schemas.microsoft.com/office/2006/metadata/properties"/>
    <ds:schemaRef ds:uri="http://schemas.microsoft.com/office/infopath/2007/PartnerControls"/>
    <ds:schemaRef ds:uri="bc6437e3-65b5-4a7b-a123-cc0b1a712dbe"/>
    <ds:schemaRef ds:uri="9930fb2e-2b64-4524-8d19-1f206af19760"/>
  </ds:schemaRefs>
</ds:datastoreItem>
</file>

<file path=docProps/app.xml><?xml version="1.0" encoding="utf-8"?>
<Properties xmlns="http://schemas.openxmlformats.org/officeDocument/2006/extended-properties" xmlns:vt="http://schemas.openxmlformats.org/officeDocument/2006/docPropsVTypes">
  <Template>New%20Medicines%20News%202026%20template.dotx?OR=81dd2b71-fb82-4b33-ac71-fed46bf0f87a&amp;CID=ff09f7a1-10</Template>
  <TotalTime>3903</TotalTime>
  <Pages>7</Pages>
  <Words>3471</Words>
  <Characters>21211</Characters>
  <Application>Microsoft Office Word</Application>
  <DocSecurity>0</DocSecurity>
  <Lines>493</Lines>
  <Paragraphs>237</Paragraphs>
  <ScaleCrop>false</ScaleCrop>
  <HeadingPairs>
    <vt:vector size="2" baseType="variant">
      <vt:variant>
        <vt:lpstr>Title</vt:lpstr>
      </vt:variant>
      <vt:variant>
        <vt:i4>1</vt:i4>
      </vt:variant>
    </vt:vector>
  </HeadingPairs>
  <TitlesOfParts>
    <vt:vector size="1" baseType="lpstr">
      <vt:lpstr>NDO home | Contact | Register for NDO access</vt:lpstr>
    </vt:vector>
  </TitlesOfParts>
  <Company>NMHIS</Company>
  <LinksUpToDate>false</LinksUpToDate>
  <CharactersWithSpaces>24445</CharactersWithSpaces>
  <SharedDoc>false</SharedDoc>
  <HLinks>
    <vt:vector size="498" baseType="variant">
      <vt:variant>
        <vt:i4>458841</vt:i4>
      </vt:variant>
      <vt:variant>
        <vt:i4>228</vt:i4>
      </vt:variant>
      <vt:variant>
        <vt:i4>0</vt:i4>
      </vt:variant>
      <vt:variant>
        <vt:i4>5</vt:i4>
      </vt:variant>
      <vt:variant>
        <vt:lpwstr>https://www.sps.nhs.uk/medicines/zuranolone/</vt:lpwstr>
      </vt:variant>
      <vt:variant>
        <vt:lpwstr/>
      </vt:variant>
      <vt:variant>
        <vt:i4>7602219</vt:i4>
      </vt:variant>
      <vt:variant>
        <vt:i4>225</vt:i4>
      </vt:variant>
      <vt:variant>
        <vt:i4>0</vt:i4>
      </vt:variant>
      <vt:variant>
        <vt:i4>5</vt:i4>
      </vt:variant>
      <vt:variant>
        <vt:lpwstr>https://www.sps.nhs.uk/medicines/zoliflodacin/</vt:lpwstr>
      </vt:variant>
      <vt:variant>
        <vt:lpwstr/>
      </vt:variant>
      <vt:variant>
        <vt:i4>8323111</vt:i4>
      </vt:variant>
      <vt:variant>
        <vt:i4>222</vt:i4>
      </vt:variant>
      <vt:variant>
        <vt:i4>0</vt:i4>
      </vt:variant>
      <vt:variant>
        <vt:i4>5</vt:i4>
      </vt:variant>
      <vt:variant>
        <vt:lpwstr>https://www.sps.nhs.uk/medicines/upadacitinib/</vt:lpwstr>
      </vt:variant>
      <vt:variant>
        <vt:lpwstr/>
      </vt:variant>
      <vt:variant>
        <vt:i4>5570648</vt:i4>
      </vt:variant>
      <vt:variant>
        <vt:i4>219</vt:i4>
      </vt:variant>
      <vt:variant>
        <vt:i4>0</vt:i4>
      </vt:variant>
      <vt:variant>
        <vt:i4>5</vt:i4>
      </vt:variant>
      <vt:variant>
        <vt:lpwstr>https://www.sps.nhs.uk/medicines/sep-363856/</vt:lpwstr>
      </vt:variant>
      <vt:variant>
        <vt:lpwstr/>
      </vt:variant>
      <vt:variant>
        <vt:i4>131160</vt:i4>
      </vt:variant>
      <vt:variant>
        <vt:i4>216</vt:i4>
      </vt:variant>
      <vt:variant>
        <vt:i4>0</vt:i4>
      </vt:variant>
      <vt:variant>
        <vt:i4>5</vt:i4>
      </vt:variant>
      <vt:variant>
        <vt:lpwstr>https://www.sps.nhs.uk/medicines/padesvonil/</vt:lpwstr>
      </vt:variant>
      <vt:variant>
        <vt:lpwstr/>
      </vt:variant>
      <vt:variant>
        <vt:i4>4456520</vt:i4>
      </vt:variant>
      <vt:variant>
        <vt:i4>213</vt:i4>
      </vt:variant>
      <vt:variant>
        <vt:i4>0</vt:i4>
      </vt:variant>
      <vt:variant>
        <vt:i4>5</vt:i4>
      </vt:variant>
      <vt:variant>
        <vt:lpwstr>https://www.sps.nhs.uk/medicines/opiranserin/</vt:lpwstr>
      </vt:variant>
      <vt:variant>
        <vt:lpwstr/>
      </vt:variant>
      <vt:variant>
        <vt:i4>2555944</vt:i4>
      </vt:variant>
      <vt:variant>
        <vt:i4>210</vt:i4>
      </vt:variant>
      <vt:variant>
        <vt:i4>0</vt:i4>
      </vt:variant>
      <vt:variant>
        <vt:i4>5</vt:i4>
      </vt:variant>
      <vt:variant>
        <vt:lpwstr>https://www.sps.nhs.uk/medicines/mitapivat/</vt:lpwstr>
      </vt:variant>
      <vt:variant>
        <vt:lpwstr/>
      </vt:variant>
      <vt:variant>
        <vt:i4>393288</vt:i4>
      </vt:variant>
      <vt:variant>
        <vt:i4>207</vt:i4>
      </vt:variant>
      <vt:variant>
        <vt:i4>0</vt:i4>
      </vt:variant>
      <vt:variant>
        <vt:i4>5</vt:i4>
      </vt:variant>
      <vt:variant>
        <vt:lpwstr>https://www.sps.nhs.uk/medicines/linzagolix/</vt:lpwstr>
      </vt:variant>
      <vt:variant>
        <vt:lpwstr/>
      </vt:variant>
      <vt:variant>
        <vt:i4>3604520</vt:i4>
      </vt:variant>
      <vt:variant>
        <vt:i4>204</vt:i4>
      </vt:variant>
      <vt:variant>
        <vt:i4>0</vt:i4>
      </vt:variant>
      <vt:variant>
        <vt:i4>5</vt:i4>
      </vt:variant>
      <vt:variant>
        <vt:lpwstr>https://www.sps.nhs.uk/medicines/leriglitazone/</vt:lpwstr>
      </vt:variant>
      <vt:variant>
        <vt:lpwstr/>
      </vt:variant>
      <vt:variant>
        <vt:i4>7929889</vt:i4>
      </vt:variant>
      <vt:variant>
        <vt:i4>201</vt:i4>
      </vt:variant>
      <vt:variant>
        <vt:i4>0</vt:i4>
      </vt:variant>
      <vt:variant>
        <vt:i4>5</vt:i4>
      </vt:variant>
      <vt:variant>
        <vt:lpwstr>https://www.sps.nhs.uk/medicines/lebrikizumab/</vt:lpwstr>
      </vt:variant>
      <vt:variant>
        <vt:lpwstr/>
      </vt:variant>
      <vt:variant>
        <vt:i4>524381</vt:i4>
      </vt:variant>
      <vt:variant>
        <vt:i4>198</vt:i4>
      </vt:variant>
      <vt:variant>
        <vt:i4>0</vt:i4>
      </vt:variant>
      <vt:variant>
        <vt:i4>5</vt:i4>
      </vt:variant>
      <vt:variant>
        <vt:lpwstr>https://www.sps.nhs.uk/medicines/glatiramer/</vt:lpwstr>
      </vt:variant>
      <vt:variant>
        <vt:lpwstr/>
      </vt:variant>
      <vt:variant>
        <vt:i4>5832790</vt:i4>
      </vt:variant>
      <vt:variant>
        <vt:i4>195</vt:i4>
      </vt:variant>
      <vt:variant>
        <vt:i4>0</vt:i4>
      </vt:variant>
      <vt:variant>
        <vt:i4>5</vt:i4>
      </vt:variant>
      <vt:variant>
        <vt:lpwstr>https://www.sps.nhs.uk/medicines/fcr-001/</vt:lpwstr>
      </vt:variant>
      <vt:variant>
        <vt:lpwstr/>
      </vt:variant>
      <vt:variant>
        <vt:i4>3080232</vt:i4>
      </vt:variant>
      <vt:variant>
        <vt:i4>192</vt:i4>
      </vt:variant>
      <vt:variant>
        <vt:i4>0</vt:i4>
      </vt:variant>
      <vt:variant>
        <vt:i4>5</vt:i4>
      </vt:variant>
      <vt:variant>
        <vt:lpwstr>https://www.sps.nhs.uk/medicines/empagliflozin/</vt:lpwstr>
      </vt:variant>
      <vt:variant>
        <vt:lpwstr/>
      </vt:variant>
      <vt:variant>
        <vt:i4>2752551</vt:i4>
      </vt:variant>
      <vt:variant>
        <vt:i4>189</vt:i4>
      </vt:variant>
      <vt:variant>
        <vt:i4>0</vt:i4>
      </vt:variant>
      <vt:variant>
        <vt:i4>5</vt:i4>
      </vt:variant>
      <vt:variant>
        <vt:lpwstr>https://www.sps.nhs.uk/medicines/diazoxide/</vt:lpwstr>
      </vt:variant>
      <vt:variant>
        <vt:lpwstr/>
      </vt:variant>
      <vt:variant>
        <vt:i4>6815782</vt:i4>
      </vt:variant>
      <vt:variant>
        <vt:i4>186</vt:i4>
      </vt:variant>
      <vt:variant>
        <vt:i4>0</vt:i4>
      </vt:variant>
      <vt:variant>
        <vt:i4>5</vt:i4>
      </vt:variant>
      <vt:variant>
        <vt:lpwstr>https://www.sps.nhs.uk/medicines/dasiglucagon/</vt:lpwstr>
      </vt:variant>
      <vt:variant>
        <vt:lpwstr/>
      </vt:variant>
      <vt:variant>
        <vt:i4>4194380</vt:i4>
      </vt:variant>
      <vt:variant>
        <vt:i4>183</vt:i4>
      </vt:variant>
      <vt:variant>
        <vt:i4>0</vt:i4>
      </vt:variant>
      <vt:variant>
        <vt:i4>5</vt:i4>
      </vt:variant>
      <vt:variant>
        <vt:lpwstr>https://www.sps.nhs.uk/medicines/cyclobenzaprine/</vt:lpwstr>
      </vt:variant>
      <vt:variant>
        <vt:lpwstr/>
      </vt:variant>
      <vt:variant>
        <vt:i4>1179733</vt:i4>
      </vt:variant>
      <vt:variant>
        <vt:i4>180</vt:i4>
      </vt:variant>
      <vt:variant>
        <vt:i4>0</vt:i4>
      </vt:variant>
      <vt:variant>
        <vt:i4>5</vt:i4>
      </vt:variant>
      <vt:variant>
        <vt:lpwstr>https://www.sps.nhs.uk/medicines/bumetanide/</vt:lpwstr>
      </vt:variant>
      <vt:variant>
        <vt:lpwstr/>
      </vt:variant>
      <vt:variant>
        <vt:i4>1835099</vt:i4>
      </vt:variant>
      <vt:variant>
        <vt:i4>177</vt:i4>
      </vt:variant>
      <vt:variant>
        <vt:i4>0</vt:i4>
      </vt:variant>
      <vt:variant>
        <vt:i4>5</vt:i4>
      </vt:variant>
      <vt:variant>
        <vt:lpwstr>https://www.sps.nhs.uk/medicines/budesonide/</vt:lpwstr>
      </vt:variant>
      <vt:variant>
        <vt:lpwstr/>
      </vt:variant>
      <vt:variant>
        <vt:i4>1638427</vt:i4>
      </vt:variant>
      <vt:variant>
        <vt:i4>174</vt:i4>
      </vt:variant>
      <vt:variant>
        <vt:i4>0</vt:i4>
      </vt:variant>
      <vt:variant>
        <vt:i4>5</vt:i4>
      </vt:variant>
      <vt:variant>
        <vt:lpwstr>https://www.sps.nhs.uk/medicines/bardoxolone-methyl/</vt:lpwstr>
      </vt:variant>
      <vt:variant>
        <vt:lpwstr/>
      </vt:variant>
      <vt:variant>
        <vt:i4>5767195</vt:i4>
      </vt:variant>
      <vt:variant>
        <vt:i4>171</vt:i4>
      </vt:variant>
      <vt:variant>
        <vt:i4>0</vt:i4>
      </vt:variant>
      <vt:variant>
        <vt:i4>5</vt:i4>
      </vt:variant>
      <vt:variant>
        <vt:lpwstr>https://www.sps.nhs.uk/medicines/autologous-bm-derived-stem-cell-therapy/</vt:lpwstr>
      </vt:variant>
      <vt:variant>
        <vt:lpwstr/>
      </vt:variant>
      <vt:variant>
        <vt:i4>4587591</vt:i4>
      </vt:variant>
      <vt:variant>
        <vt:i4>168</vt:i4>
      </vt:variant>
      <vt:variant>
        <vt:i4>0</vt:i4>
      </vt:variant>
      <vt:variant>
        <vt:i4>5</vt:i4>
      </vt:variant>
      <vt:variant>
        <vt:lpwstr>https://www.sps.nhs.uk/medicines/at-gtx-501/</vt:lpwstr>
      </vt:variant>
      <vt:variant>
        <vt:lpwstr/>
      </vt:variant>
      <vt:variant>
        <vt:i4>7864359</vt:i4>
      </vt:variant>
      <vt:variant>
        <vt:i4>165</vt:i4>
      </vt:variant>
      <vt:variant>
        <vt:i4>0</vt:i4>
      </vt:variant>
      <vt:variant>
        <vt:i4>5</vt:i4>
      </vt:variant>
      <vt:variant>
        <vt:lpwstr>https://www.sps.nhs.uk/medicines/telapristone/</vt:lpwstr>
      </vt:variant>
      <vt:variant>
        <vt:lpwstr/>
      </vt:variant>
      <vt:variant>
        <vt:i4>7864359</vt:i4>
      </vt:variant>
      <vt:variant>
        <vt:i4>162</vt:i4>
      </vt:variant>
      <vt:variant>
        <vt:i4>0</vt:i4>
      </vt:variant>
      <vt:variant>
        <vt:i4>5</vt:i4>
      </vt:variant>
      <vt:variant>
        <vt:lpwstr>https://www.sps.nhs.uk/medicines/telapristone/</vt:lpwstr>
      </vt:variant>
      <vt:variant>
        <vt:lpwstr/>
      </vt:variant>
      <vt:variant>
        <vt:i4>1769490</vt:i4>
      </vt:variant>
      <vt:variant>
        <vt:i4>159</vt:i4>
      </vt:variant>
      <vt:variant>
        <vt:i4>0</vt:i4>
      </vt:variant>
      <vt:variant>
        <vt:i4>5</vt:i4>
      </vt:variant>
      <vt:variant>
        <vt:lpwstr>https://www.sps.nhs.uk/medicines/t-cell-replacement-therapy/</vt:lpwstr>
      </vt:variant>
      <vt:variant>
        <vt:lpwstr/>
      </vt:variant>
      <vt:variant>
        <vt:i4>1245262</vt:i4>
      </vt:variant>
      <vt:variant>
        <vt:i4>156</vt:i4>
      </vt:variant>
      <vt:variant>
        <vt:i4>0</vt:i4>
      </vt:variant>
      <vt:variant>
        <vt:i4>5</vt:i4>
      </vt:variant>
      <vt:variant>
        <vt:lpwstr>https://www.sps.nhs.uk/medicines/salmeterol/</vt:lpwstr>
      </vt:variant>
      <vt:variant>
        <vt:lpwstr/>
      </vt:variant>
      <vt:variant>
        <vt:i4>1966174</vt:i4>
      </vt:variant>
      <vt:variant>
        <vt:i4>153</vt:i4>
      </vt:variant>
      <vt:variant>
        <vt:i4>0</vt:i4>
      </vt:variant>
      <vt:variant>
        <vt:i4>5</vt:i4>
      </vt:variant>
      <vt:variant>
        <vt:lpwstr>https://www.sps.nhs.uk/medicines/rapastinel/</vt:lpwstr>
      </vt:variant>
      <vt:variant>
        <vt:lpwstr/>
      </vt:variant>
      <vt:variant>
        <vt:i4>3276927</vt:i4>
      </vt:variant>
      <vt:variant>
        <vt:i4>150</vt:i4>
      </vt:variant>
      <vt:variant>
        <vt:i4>0</vt:i4>
      </vt:variant>
      <vt:variant>
        <vt:i4>5</vt:i4>
      </vt:variant>
      <vt:variant>
        <vt:lpwstr>https://www.sps.nhs.uk/medicines/pegylated-recombinant-human-hyaluronidase/</vt:lpwstr>
      </vt:variant>
      <vt:variant>
        <vt:lpwstr/>
      </vt:variant>
      <vt:variant>
        <vt:i4>4849741</vt:i4>
      </vt:variant>
      <vt:variant>
        <vt:i4>147</vt:i4>
      </vt:variant>
      <vt:variant>
        <vt:i4>0</vt:i4>
      </vt:variant>
      <vt:variant>
        <vt:i4>5</vt:i4>
      </vt:variant>
      <vt:variant>
        <vt:lpwstr>https://www.sps.nhs.uk/medicines/nilvadipine/</vt:lpwstr>
      </vt:variant>
      <vt:variant>
        <vt:lpwstr/>
      </vt:variant>
      <vt:variant>
        <vt:i4>7798828</vt:i4>
      </vt:variant>
      <vt:variant>
        <vt:i4>144</vt:i4>
      </vt:variant>
      <vt:variant>
        <vt:i4>0</vt:i4>
      </vt:variant>
      <vt:variant>
        <vt:i4>5</vt:i4>
      </vt:variant>
      <vt:variant>
        <vt:lpwstr>https://www.sps.nhs.uk/medicines/naloxone/</vt:lpwstr>
      </vt:variant>
      <vt:variant>
        <vt:lpwstr/>
      </vt:variant>
      <vt:variant>
        <vt:i4>1441887</vt:i4>
      </vt:variant>
      <vt:variant>
        <vt:i4>141</vt:i4>
      </vt:variant>
      <vt:variant>
        <vt:i4>0</vt:i4>
      </vt:variant>
      <vt:variant>
        <vt:i4>5</vt:i4>
      </vt:variant>
      <vt:variant>
        <vt:lpwstr>https://www.sps.nhs.uk/medicines/macitentan/</vt:lpwstr>
      </vt:variant>
      <vt:variant>
        <vt:lpwstr/>
      </vt:variant>
      <vt:variant>
        <vt:i4>6225993</vt:i4>
      </vt:variant>
      <vt:variant>
        <vt:i4>138</vt:i4>
      </vt:variant>
      <vt:variant>
        <vt:i4>0</vt:i4>
      </vt:variant>
      <vt:variant>
        <vt:i4>5</vt:i4>
      </vt:variant>
      <vt:variant>
        <vt:lpwstr>https://www.sps.nhs.uk/medicines/hydroxyprogesterone/</vt:lpwstr>
      </vt:variant>
      <vt:variant>
        <vt:lpwstr/>
      </vt:variant>
      <vt:variant>
        <vt:i4>2687026</vt:i4>
      </vt:variant>
      <vt:variant>
        <vt:i4>135</vt:i4>
      </vt:variant>
      <vt:variant>
        <vt:i4>0</vt:i4>
      </vt:variant>
      <vt:variant>
        <vt:i4>5</vt:i4>
      </vt:variant>
      <vt:variant>
        <vt:lpwstr>https://www.sps.nhs.uk/medicines/ciprofloxacin/</vt:lpwstr>
      </vt:variant>
      <vt:variant>
        <vt:lpwstr/>
      </vt:variant>
      <vt:variant>
        <vt:i4>196702</vt:i4>
      </vt:variant>
      <vt:variant>
        <vt:i4>132</vt:i4>
      </vt:variant>
      <vt:variant>
        <vt:i4>0</vt:i4>
      </vt:variant>
      <vt:variant>
        <vt:i4>5</vt:i4>
      </vt:variant>
      <vt:variant>
        <vt:lpwstr>https://www.sps.nhs.uk/medicines/calcitonin/</vt:lpwstr>
      </vt:variant>
      <vt:variant>
        <vt:lpwstr/>
      </vt:variant>
      <vt:variant>
        <vt:i4>7667749</vt:i4>
      </vt:variant>
      <vt:variant>
        <vt:i4>129</vt:i4>
      </vt:variant>
      <vt:variant>
        <vt:i4>0</vt:i4>
      </vt:variant>
      <vt:variant>
        <vt:i4>5</vt:i4>
      </vt:variant>
      <vt:variant>
        <vt:lpwstr>https://www.sps.nhs.uk/medicines/c1-esterase-inhibitor/</vt:lpwstr>
      </vt:variant>
      <vt:variant>
        <vt:lpwstr/>
      </vt:variant>
      <vt:variant>
        <vt:i4>2490478</vt:i4>
      </vt:variant>
      <vt:variant>
        <vt:i4>126</vt:i4>
      </vt:variant>
      <vt:variant>
        <vt:i4>0</vt:i4>
      </vt:variant>
      <vt:variant>
        <vt:i4>5</vt:i4>
      </vt:variant>
      <vt:variant>
        <vt:lpwstr>https://www.sps.nhs.uk/medicines/buprenorphine-samidorphan/</vt:lpwstr>
      </vt:variant>
      <vt:variant>
        <vt:lpwstr/>
      </vt:variant>
      <vt:variant>
        <vt:i4>2621493</vt:i4>
      </vt:variant>
      <vt:variant>
        <vt:i4>123</vt:i4>
      </vt:variant>
      <vt:variant>
        <vt:i4>0</vt:i4>
      </vt:variant>
      <vt:variant>
        <vt:i4>5</vt:i4>
      </vt:variant>
      <vt:variant>
        <vt:lpwstr>https://www.sps.nhs.uk/medicines/buprenorphine/</vt:lpwstr>
      </vt:variant>
      <vt:variant>
        <vt:lpwstr/>
      </vt:variant>
      <vt:variant>
        <vt:i4>3538984</vt:i4>
      </vt:variant>
      <vt:variant>
        <vt:i4>120</vt:i4>
      </vt:variant>
      <vt:variant>
        <vt:i4>0</vt:i4>
      </vt:variant>
      <vt:variant>
        <vt:i4>5</vt:i4>
      </vt:variant>
      <vt:variant>
        <vt:lpwstr>https://www.sps.nhs.uk/medicines/botulinum-a-toxin/</vt:lpwstr>
      </vt:variant>
      <vt:variant>
        <vt:lpwstr/>
      </vt:variant>
      <vt:variant>
        <vt:i4>458843</vt:i4>
      </vt:variant>
      <vt:variant>
        <vt:i4>117</vt:i4>
      </vt:variant>
      <vt:variant>
        <vt:i4>0</vt:i4>
      </vt:variant>
      <vt:variant>
        <vt:i4>5</vt:i4>
      </vt:variant>
      <vt:variant>
        <vt:lpwstr>https://www.sps.nhs.uk/medicines/biotin/</vt:lpwstr>
      </vt:variant>
      <vt:variant>
        <vt:lpwstr/>
      </vt:variant>
      <vt:variant>
        <vt:i4>3145761</vt:i4>
      </vt:variant>
      <vt:variant>
        <vt:i4>114</vt:i4>
      </vt:variant>
      <vt:variant>
        <vt:i4>0</vt:i4>
      </vt:variant>
      <vt:variant>
        <vt:i4>5</vt:i4>
      </vt:variant>
      <vt:variant>
        <vt:lpwstr>https://www.sps.nhs.uk/medicines/arbaclofen-placarbil/</vt:lpwstr>
      </vt:variant>
      <vt:variant>
        <vt:lpwstr/>
      </vt:variant>
      <vt:variant>
        <vt:i4>1572889</vt:i4>
      </vt:variant>
      <vt:variant>
        <vt:i4>111</vt:i4>
      </vt:variant>
      <vt:variant>
        <vt:i4>0</vt:i4>
      </vt:variant>
      <vt:variant>
        <vt:i4>5</vt:i4>
      </vt:variant>
      <vt:variant>
        <vt:lpwstr>https://www.sps.nhs.uk/medicines/valoctocogene-roxaparvovec/</vt:lpwstr>
      </vt:variant>
      <vt:variant>
        <vt:lpwstr/>
      </vt:variant>
      <vt:variant>
        <vt:i4>2031697</vt:i4>
      </vt:variant>
      <vt:variant>
        <vt:i4>108</vt:i4>
      </vt:variant>
      <vt:variant>
        <vt:i4>0</vt:i4>
      </vt:variant>
      <vt:variant>
        <vt:i4>5</vt:i4>
      </vt:variant>
      <vt:variant>
        <vt:lpwstr>https://www.sps.nhs.uk/medicines/meningococcal-groups-a-c-w135-y-vaccine/</vt:lpwstr>
      </vt:variant>
      <vt:variant>
        <vt:lpwstr/>
      </vt:variant>
      <vt:variant>
        <vt:i4>5374020</vt:i4>
      </vt:variant>
      <vt:variant>
        <vt:i4>105</vt:i4>
      </vt:variant>
      <vt:variant>
        <vt:i4>0</vt:i4>
      </vt:variant>
      <vt:variant>
        <vt:i4>5</vt:i4>
      </vt:variant>
      <vt:variant>
        <vt:lpwstr>https://www.sps.nhs.uk/medicines/encorafenib/</vt:lpwstr>
      </vt:variant>
      <vt:variant>
        <vt:lpwstr/>
      </vt:variant>
      <vt:variant>
        <vt:i4>7209001</vt:i4>
      </vt:variant>
      <vt:variant>
        <vt:i4>102</vt:i4>
      </vt:variant>
      <vt:variant>
        <vt:i4>0</vt:i4>
      </vt:variant>
      <vt:variant>
        <vt:i4>5</vt:i4>
      </vt:variant>
      <vt:variant>
        <vt:lpwstr>https://www.sps.nhs.uk/medicines/elexacaftor-ivacaftor-tezacaftor/</vt:lpwstr>
      </vt:variant>
      <vt:variant>
        <vt:lpwstr/>
      </vt:variant>
      <vt:variant>
        <vt:i4>4849729</vt:i4>
      </vt:variant>
      <vt:variant>
        <vt:i4>99</vt:i4>
      </vt:variant>
      <vt:variant>
        <vt:i4>0</vt:i4>
      </vt:variant>
      <vt:variant>
        <vt:i4>5</vt:i4>
      </vt:variant>
      <vt:variant>
        <vt:lpwstr>https://www.sps.nhs.uk/medicines/bulevirtide/</vt:lpwstr>
      </vt:variant>
      <vt:variant>
        <vt:lpwstr/>
      </vt:variant>
      <vt:variant>
        <vt:i4>5570637</vt:i4>
      </vt:variant>
      <vt:variant>
        <vt:i4>96</vt:i4>
      </vt:variant>
      <vt:variant>
        <vt:i4>0</vt:i4>
      </vt:variant>
      <vt:variant>
        <vt:i4>5</vt:i4>
      </vt:variant>
      <vt:variant>
        <vt:lpwstr>https://www.sps.nhs.uk/medicines/binimetinib/</vt:lpwstr>
      </vt:variant>
      <vt:variant>
        <vt:lpwstr/>
      </vt:variant>
      <vt:variant>
        <vt:i4>4128817</vt:i4>
      </vt:variant>
      <vt:variant>
        <vt:i4>93</vt:i4>
      </vt:variant>
      <vt:variant>
        <vt:i4>0</vt:i4>
      </vt:variant>
      <vt:variant>
        <vt:i4>5</vt:i4>
      </vt:variant>
      <vt:variant>
        <vt:lpwstr>https://www.sps.nhs.uk/medicines/ad26-ebov-vaccine/</vt:lpwstr>
      </vt:variant>
      <vt:variant>
        <vt:lpwstr/>
      </vt:variant>
      <vt:variant>
        <vt:i4>2555952</vt:i4>
      </vt:variant>
      <vt:variant>
        <vt:i4>90</vt:i4>
      </vt:variant>
      <vt:variant>
        <vt:i4>0</vt:i4>
      </vt:variant>
      <vt:variant>
        <vt:i4>5</vt:i4>
      </vt:variant>
      <vt:variant>
        <vt:lpwstr>https://www.sps.nhs.uk/medicines/acalabrutinib/</vt:lpwstr>
      </vt:variant>
      <vt:variant>
        <vt:lpwstr/>
      </vt:variant>
      <vt:variant>
        <vt:i4>2818164</vt:i4>
      </vt:variant>
      <vt:variant>
        <vt:i4>87</vt:i4>
      </vt:variant>
      <vt:variant>
        <vt:i4>0</vt:i4>
      </vt:variant>
      <vt:variant>
        <vt:i4>5</vt:i4>
      </vt:variant>
      <vt:variant>
        <vt:lpwstr>https://www.sps.nhs.uk/medicines/trastuzumab-emtansine/</vt:lpwstr>
      </vt:variant>
      <vt:variant>
        <vt:lpwstr/>
      </vt:variant>
      <vt:variant>
        <vt:i4>7471146</vt:i4>
      </vt:variant>
      <vt:variant>
        <vt:i4>84</vt:i4>
      </vt:variant>
      <vt:variant>
        <vt:i4>0</vt:i4>
      </vt:variant>
      <vt:variant>
        <vt:i4>5</vt:i4>
      </vt:variant>
      <vt:variant>
        <vt:lpwstr>https://www.sps.nhs.uk/medicines/solriamfetol/</vt:lpwstr>
      </vt:variant>
      <vt:variant>
        <vt:lpwstr/>
      </vt:variant>
      <vt:variant>
        <vt:i4>2621480</vt:i4>
      </vt:variant>
      <vt:variant>
        <vt:i4>81</vt:i4>
      </vt:variant>
      <vt:variant>
        <vt:i4>0</vt:i4>
      </vt:variant>
      <vt:variant>
        <vt:i4>5</vt:i4>
      </vt:variant>
      <vt:variant>
        <vt:lpwstr>https://www.sps.nhs.uk/medicines/siponimod/</vt:lpwstr>
      </vt:variant>
      <vt:variant>
        <vt:lpwstr/>
      </vt:variant>
      <vt:variant>
        <vt:i4>5308487</vt:i4>
      </vt:variant>
      <vt:variant>
        <vt:i4>78</vt:i4>
      </vt:variant>
      <vt:variant>
        <vt:i4>0</vt:i4>
      </vt:variant>
      <vt:variant>
        <vt:i4>5</vt:i4>
      </vt:variant>
      <vt:variant>
        <vt:lpwstr>https://www.sps.nhs.uk/medicines/polatuzumab/</vt:lpwstr>
      </vt:variant>
      <vt:variant>
        <vt:lpwstr/>
      </vt:variant>
      <vt:variant>
        <vt:i4>6946876</vt:i4>
      </vt:variant>
      <vt:variant>
        <vt:i4>75</vt:i4>
      </vt:variant>
      <vt:variant>
        <vt:i4>0</vt:i4>
      </vt:variant>
      <vt:variant>
        <vt:i4>5</vt:i4>
      </vt:variant>
      <vt:variant>
        <vt:lpwstr>https://www.sps.nhs.uk/medicines/osilodrostat/</vt:lpwstr>
      </vt:variant>
      <vt:variant>
        <vt:lpwstr/>
      </vt:variant>
      <vt:variant>
        <vt:i4>6291494</vt:i4>
      </vt:variant>
      <vt:variant>
        <vt:i4>72</vt:i4>
      </vt:variant>
      <vt:variant>
        <vt:i4>0</vt:i4>
      </vt:variant>
      <vt:variant>
        <vt:i4>5</vt:i4>
      </vt:variant>
      <vt:variant>
        <vt:lpwstr>https://www.sps.nhs.uk/medicines/lenalidomide/</vt:lpwstr>
      </vt:variant>
      <vt:variant>
        <vt:lpwstr/>
      </vt:variant>
      <vt:variant>
        <vt:i4>7733280</vt:i4>
      </vt:variant>
      <vt:variant>
        <vt:i4>69</vt:i4>
      </vt:variant>
      <vt:variant>
        <vt:i4>0</vt:i4>
      </vt:variant>
      <vt:variant>
        <vt:i4>5</vt:i4>
      </vt:variant>
      <vt:variant>
        <vt:lpwstr>https://www.sps.nhs.uk/medicines/fostamatinib-disodium/</vt:lpwstr>
      </vt:variant>
      <vt:variant>
        <vt:lpwstr/>
      </vt:variant>
      <vt:variant>
        <vt:i4>3342373</vt:i4>
      </vt:variant>
      <vt:variant>
        <vt:i4>66</vt:i4>
      </vt:variant>
      <vt:variant>
        <vt:i4>0</vt:i4>
      </vt:variant>
      <vt:variant>
        <vt:i4>5</vt:i4>
      </vt:variant>
      <vt:variant>
        <vt:lpwstr>https://www.sps.nhs.uk/medicines/trientine/</vt:lpwstr>
      </vt:variant>
      <vt:variant>
        <vt:lpwstr/>
      </vt:variant>
      <vt:variant>
        <vt:i4>1900625</vt:i4>
      </vt:variant>
      <vt:variant>
        <vt:i4>63</vt:i4>
      </vt:variant>
      <vt:variant>
        <vt:i4>0</vt:i4>
      </vt:variant>
      <vt:variant>
        <vt:i4>5</vt:i4>
      </vt:variant>
      <vt:variant>
        <vt:lpwstr>https://www.sps.nhs.uk/medicines/netarsudil-mesilate/</vt:lpwstr>
      </vt:variant>
      <vt:variant>
        <vt:lpwstr/>
      </vt:variant>
      <vt:variant>
        <vt:i4>7143468</vt:i4>
      </vt:variant>
      <vt:variant>
        <vt:i4>60</vt:i4>
      </vt:variant>
      <vt:variant>
        <vt:i4>0</vt:i4>
      </vt:variant>
      <vt:variant>
        <vt:i4>5</vt:i4>
      </vt:variant>
      <vt:variant>
        <vt:lpwstr>https://www.sps.nhs.uk/medicines/levodopa/</vt:lpwstr>
      </vt:variant>
      <vt:variant>
        <vt:lpwstr/>
      </vt:variant>
      <vt:variant>
        <vt:i4>852061</vt:i4>
      </vt:variant>
      <vt:variant>
        <vt:i4>57</vt:i4>
      </vt:variant>
      <vt:variant>
        <vt:i4>0</vt:i4>
      </vt:variant>
      <vt:variant>
        <vt:i4>5</vt:i4>
      </vt:variant>
      <vt:variant>
        <vt:lpwstr>https://www.sps.nhs.uk/medicines/infliximab/</vt:lpwstr>
      </vt:variant>
      <vt:variant>
        <vt:lpwstr/>
      </vt:variant>
      <vt:variant>
        <vt:i4>4063335</vt:i4>
      </vt:variant>
      <vt:variant>
        <vt:i4>54</vt:i4>
      </vt:variant>
      <vt:variant>
        <vt:i4>0</vt:i4>
      </vt:variant>
      <vt:variant>
        <vt:i4>5</vt:i4>
      </vt:variant>
      <vt:variant>
        <vt:lpwstr>https://www.sps.nhs.uk/medicines/ebola-vaccine/</vt:lpwstr>
      </vt:variant>
      <vt:variant>
        <vt:lpwstr/>
      </vt:variant>
      <vt:variant>
        <vt:i4>2621493</vt:i4>
      </vt:variant>
      <vt:variant>
        <vt:i4>51</vt:i4>
      </vt:variant>
      <vt:variant>
        <vt:i4>0</vt:i4>
      </vt:variant>
      <vt:variant>
        <vt:i4>5</vt:i4>
      </vt:variant>
      <vt:variant>
        <vt:lpwstr>https://www.sps.nhs.uk/medicines/buprenorphine/</vt:lpwstr>
      </vt:variant>
      <vt:variant>
        <vt:lpwstr/>
      </vt:variant>
      <vt:variant>
        <vt:i4>1179726</vt:i4>
      </vt:variant>
      <vt:variant>
        <vt:i4>48</vt:i4>
      </vt:variant>
      <vt:variant>
        <vt:i4>0</vt:i4>
      </vt:variant>
      <vt:variant>
        <vt:i4>5</vt:i4>
      </vt:variant>
      <vt:variant>
        <vt:lpwstr>https://www.sps.nhs.uk/medicines/arginine-lysine/</vt:lpwstr>
      </vt:variant>
      <vt:variant>
        <vt:lpwstr/>
      </vt:variant>
      <vt:variant>
        <vt:i4>7798824</vt:i4>
      </vt:variant>
      <vt:variant>
        <vt:i4>45</vt:i4>
      </vt:variant>
      <vt:variant>
        <vt:i4>0</vt:i4>
      </vt:variant>
      <vt:variant>
        <vt:i4>5</vt:i4>
      </vt:variant>
      <vt:variant>
        <vt:lpwstr>https://www.sps.nhs.uk/medicines/teriparatide/</vt:lpwstr>
      </vt:variant>
      <vt:variant>
        <vt:lpwstr/>
      </vt:variant>
      <vt:variant>
        <vt:i4>5767235</vt:i4>
      </vt:variant>
      <vt:variant>
        <vt:i4>42</vt:i4>
      </vt:variant>
      <vt:variant>
        <vt:i4>0</vt:i4>
      </vt:variant>
      <vt:variant>
        <vt:i4>5</vt:i4>
      </vt:variant>
      <vt:variant>
        <vt:lpwstr>https://www.sps.nhs.uk/medicines/paracetamol/</vt:lpwstr>
      </vt:variant>
      <vt:variant>
        <vt:lpwstr/>
      </vt:variant>
      <vt:variant>
        <vt:i4>2162736</vt:i4>
      </vt:variant>
      <vt:variant>
        <vt:i4>39</vt:i4>
      </vt:variant>
      <vt:variant>
        <vt:i4>0</vt:i4>
      </vt:variant>
      <vt:variant>
        <vt:i4>5</vt:i4>
      </vt:variant>
      <vt:variant>
        <vt:lpwstr>https://www.sps.nhs.uk/articles/ukmi-product-safety-assessments-2/</vt:lpwstr>
      </vt:variant>
      <vt:variant>
        <vt:lpwstr/>
      </vt:variant>
      <vt:variant>
        <vt:i4>5767196</vt:i4>
      </vt:variant>
      <vt:variant>
        <vt:i4>36</vt:i4>
      </vt:variant>
      <vt:variant>
        <vt:i4>0</vt:i4>
      </vt:variant>
      <vt:variant>
        <vt:i4>5</vt:i4>
      </vt:variant>
      <vt:variant>
        <vt:lpwstr>https://www.sps.nhs.uk/articles/prioritising-new-products-for-a-ukmi-product-safety-assessment-a-resource-for-ukmi-patient-safety-working-group/</vt:lpwstr>
      </vt:variant>
      <vt:variant>
        <vt:lpwstr/>
      </vt:variant>
      <vt:variant>
        <vt:i4>3211304</vt:i4>
      </vt:variant>
      <vt:variant>
        <vt:i4>33</vt:i4>
      </vt:variant>
      <vt:variant>
        <vt:i4>0</vt:i4>
      </vt:variant>
      <vt:variant>
        <vt:i4>5</vt:i4>
      </vt:variant>
      <vt:variant>
        <vt:lpwstr>https://www.sps.nhs.uk/medicines/zanamivir/</vt:lpwstr>
      </vt:variant>
      <vt:variant>
        <vt:lpwstr/>
      </vt:variant>
      <vt:variant>
        <vt:i4>5111887</vt:i4>
      </vt:variant>
      <vt:variant>
        <vt:i4>30</vt:i4>
      </vt:variant>
      <vt:variant>
        <vt:i4>0</vt:i4>
      </vt:variant>
      <vt:variant>
        <vt:i4>5</vt:i4>
      </vt:variant>
      <vt:variant>
        <vt:lpwstr>https://www.sps.nhs.uk/medicines/talazoparib/</vt:lpwstr>
      </vt:variant>
      <vt:variant>
        <vt:lpwstr/>
      </vt:variant>
      <vt:variant>
        <vt:i4>4653149</vt:i4>
      </vt:variant>
      <vt:variant>
        <vt:i4>27</vt:i4>
      </vt:variant>
      <vt:variant>
        <vt:i4>0</vt:i4>
      </vt:variant>
      <vt:variant>
        <vt:i4>5</vt:i4>
      </vt:variant>
      <vt:variant>
        <vt:lpwstr>https://www.sps.nhs.uk/medicines/ranibizumab/</vt:lpwstr>
      </vt:variant>
      <vt:variant>
        <vt:lpwstr/>
      </vt:variant>
      <vt:variant>
        <vt:i4>3801149</vt:i4>
      </vt:variant>
      <vt:variant>
        <vt:i4>24</vt:i4>
      </vt:variant>
      <vt:variant>
        <vt:i4>0</vt:i4>
      </vt:variant>
      <vt:variant>
        <vt:i4>5</vt:i4>
      </vt:variant>
      <vt:variant>
        <vt:lpwstr>https://www.sps.nhs.uk/medicines/pembrolizumab/</vt:lpwstr>
      </vt:variant>
      <vt:variant>
        <vt:lpwstr/>
      </vt:variant>
      <vt:variant>
        <vt:i4>7602210</vt:i4>
      </vt:variant>
      <vt:variant>
        <vt:i4>21</vt:i4>
      </vt:variant>
      <vt:variant>
        <vt:i4>0</vt:i4>
      </vt:variant>
      <vt:variant>
        <vt:i4>5</vt:i4>
      </vt:variant>
      <vt:variant>
        <vt:lpwstr>https://www.sps.nhs.uk/medicines/nicotine/</vt:lpwstr>
      </vt:variant>
      <vt:variant>
        <vt:lpwstr/>
      </vt:variant>
      <vt:variant>
        <vt:i4>4063329</vt:i4>
      </vt:variant>
      <vt:variant>
        <vt:i4>18</vt:i4>
      </vt:variant>
      <vt:variant>
        <vt:i4>0</vt:i4>
      </vt:variant>
      <vt:variant>
        <vt:i4>5</vt:i4>
      </vt:variant>
      <vt:variant>
        <vt:lpwstr>https://www.sps.nhs.uk/medicines/meropenem-vaborbactam/</vt:lpwstr>
      </vt:variant>
      <vt:variant>
        <vt:lpwstr/>
      </vt:variant>
      <vt:variant>
        <vt:i4>4980828</vt:i4>
      </vt:variant>
      <vt:variant>
        <vt:i4>15</vt:i4>
      </vt:variant>
      <vt:variant>
        <vt:i4>0</vt:i4>
      </vt:variant>
      <vt:variant>
        <vt:i4>5</vt:i4>
      </vt:variant>
      <vt:variant>
        <vt:lpwstr>https://www.sps.nhs.uk/medicines/liraglutide/</vt:lpwstr>
      </vt:variant>
      <vt:variant>
        <vt:lpwstr/>
      </vt:variant>
      <vt:variant>
        <vt:i4>6553663</vt:i4>
      </vt:variant>
      <vt:variant>
        <vt:i4>12</vt:i4>
      </vt:variant>
      <vt:variant>
        <vt:i4>0</vt:i4>
      </vt:variant>
      <vt:variant>
        <vt:i4>5</vt:i4>
      </vt:variant>
      <vt:variant>
        <vt:lpwstr>https://www.sps.nhs.uk/medicines/gilteritinib/</vt:lpwstr>
      </vt:variant>
      <vt:variant>
        <vt:lpwstr/>
      </vt:variant>
      <vt:variant>
        <vt:i4>4980809</vt:i4>
      </vt:variant>
      <vt:variant>
        <vt:i4>9</vt:i4>
      </vt:variant>
      <vt:variant>
        <vt:i4>0</vt:i4>
      </vt:variant>
      <vt:variant>
        <vt:i4>5</vt:i4>
      </vt:variant>
      <vt:variant>
        <vt:lpwstr>https://www.sps.nhs.uk/medicines/daratumumab/</vt:lpwstr>
      </vt:variant>
      <vt:variant>
        <vt:lpwstr/>
      </vt:variant>
      <vt:variant>
        <vt:i4>2883621</vt:i4>
      </vt:variant>
      <vt:variant>
        <vt:i4>6</vt:i4>
      </vt:variant>
      <vt:variant>
        <vt:i4>0</vt:i4>
      </vt:variant>
      <vt:variant>
        <vt:i4>5</vt:i4>
      </vt:variant>
      <vt:variant>
        <vt:lpwstr>https://www.sps.nhs.uk/medicines/beclometasone/</vt:lpwstr>
      </vt:variant>
      <vt:variant>
        <vt:lpwstr/>
      </vt:variant>
      <vt:variant>
        <vt:i4>589864</vt:i4>
      </vt:variant>
      <vt:variant>
        <vt:i4>3</vt:i4>
      </vt:variant>
      <vt:variant>
        <vt:i4>0</vt:i4>
      </vt:variant>
      <vt:variant>
        <vt:i4>5</vt:i4>
      </vt:variant>
      <vt:variant>
        <vt:lpwstr>mailto:nwmedinfo@nhs.net?subject=New%20Medicines%20Newsletter</vt:lpwstr>
      </vt:variant>
      <vt:variant>
        <vt:lpwstr/>
      </vt:variant>
      <vt:variant>
        <vt:i4>7077923</vt:i4>
      </vt:variant>
      <vt:variant>
        <vt:i4>0</vt:i4>
      </vt:variant>
      <vt:variant>
        <vt:i4>0</vt:i4>
      </vt:variant>
      <vt:variant>
        <vt:i4>5</vt:i4>
      </vt:variant>
      <vt:variant>
        <vt:lpwstr>http://www.sps.nhs.uk/</vt:lpwstr>
      </vt:variant>
      <vt:variant>
        <vt:lpwstr/>
      </vt:variant>
      <vt:variant>
        <vt:i4>589864</vt:i4>
      </vt:variant>
      <vt:variant>
        <vt:i4>18</vt:i4>
      </vt:variant>
      <vt:variant>
        <vt:i4>0</vt:i4>
      </vt:variant>
      <vt:variant>
        <vt:i4>5</vt:i4>
      </vt:variant>
      <vt:variant>
        <vt:lpwstr>mailto:nwmedinfo@nhs.net?subject=New%20Medicines%20Newsletter</vt:lpwstr>
      </vt:variant>
      <vt:variant>
        <vt:lpwstr/>
      </vt:variant>
      <vt:variant>
        <vt:i4>7929901</vt:i4>
      </vt:variant>
      <vt:variant>
        <vt:i4>15</vt:i4>
      </vt:variant>
      <vt:variant>
        <vt:i4>0</vt:i4>
      </vt:variant>
      <vt:variant>
        <vt:i4>5</vt:i4>
      </vt:variant>
      <vt:variant>
        <vt:lpwstr>https://www.sps.nhs.uk/wp-login.php?action=register</vt:lpwstr>
      </vt:variant>
      <vt:variant>
        <vt:lpwstr/>
      </vt:variant>
      <vt:variant>
        <vt:i4>7077923</vt:i4>
      </vt:variant>
      <vt:variant>
        <vt:i4>12</vt:i4>
      </vt:variant>
      <vt:variant>
        <vt:i4>0</vt:i4>
      </vt:variant>
      <vt:variant>
        <vt:i4>5</vt:i4>
      </vt:variant>
      <vt:variant>
        <vt:lpwstr>http://www.sps.nhs.uk/</vt:lpwstr>
      </vt:variant>
      <vt:variant>
        <vt:lpwstr/>
      </vt:variant>
      <vt:variant>
        <vt:i4>3211377</vt:i4>
      </vt:variant>
      <vt:variant>
        <vt:i4>9</vt:i4>
      </vt:variant>
      <vt:variant>
        <vt:i4>0</vt:i4>
      </vt:variant>
      <vt:variant>
        <vt:i4>5</vt:i4>
      </vt:variant>
      <vt:variant>
        <vt:lpwstr>http://www.ukmi.nhs.uk/ndo</vt:lpwstr>
      </vt:variant>
      <vt:variant>
        <vt:lpwstr/>
      </vt:variant>
      <vt:variant>
        <vt:i4>1638407</vt:i4>
      </vt:variant>
      <vt:variant>
        <vt:i4>6</vt:i4>
      </vt:variant>
      <vt:variant>
        <vt:i4>0</vt:i4>
      </vt:variant>
      <vt:variant>
        <vt:i4>5</vt:i4>
      </vt:variant>
      <vt:variant>
        <vt:lpwstr>https://www.sps.nhs.uk/prescribing-outlook-2019/</vt:lpwstr>
      </vt:variant>
      <vt:variant>
        <vt:lpwstr/>
      </vt:variant>
      <vt:variant>
        <vt:i4>7405691</vt:i4>
      </vt:variant>
      <vt:variant>
        <vt:i4>3</vt:i4>
      </vt:variant>
      <vt:variant>
        <vt:i4>0</vt:i4>
      </vt:variant>
      <vt:variant>
        <vt:i4>5</vt:i4>
      </vt:variant>
      <vt:variant>
        <vt:lpwstr>https://www.sps.nhs.uk/category/new-medicines/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NDO home | Contact | Register for NDO access</dc:title>
  <dc:creator>Joanne McEntee</dc:creator>
  <cp:lastModifiedBy>Joanne McEntee</cp:lastModifiedBy>
  <cp:revision>373</cp:revision>
  <cp:lastPrinted>2019-12-09T12:59:00Z</cp:lastPrinted>
  <dcterms:created xsi:type="dcterms:W3CDTF">2026-02-14T23:19:00Z</dcterms:created>
  <dcterms:modified xsi:type="dcterms:W3CDTF">2026-03-06T11:27:00Z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0x010100EF9F8181707A014BAADECFD0EF2EB9F0</vt:lpwstr>
  </property>
  <property fmtid="{D5CDD505-2E9C-101B-9397-08002B2CF9AE}" pid="4" name="MediaServiceImageTags">
    <vt:lpwstr/>
  </property>
</Properties>
</file>