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48FD57A5" w:rsidR="007A1448" w:rsidRPr="00DF77C7" w:rsidRDefault="0041543B" w:rsidP="006529F3">
      <w:pPr>
        <w:pStyle w:val="PGDTitle2"/>
      </w:pPr>
      <w:r w:rsidRPr="0041543B">
        <w:rPr>
          <w:bCs/>
        </w:rPr>
        <w:t xml:space="preserve">Supply of </w:t>
      </w:r>
      <w:r w:rsidR="00CE2DD5" w:rsidRPr="00CE2DD5">
        <w:rPr>
          <w:bCs/>
        </w:rPr>
        <w:t xml:space="preserve">clarithromycin tablets/oral suspension/oral solution </w:t>
      </w:r>
      <w:r w:rsidR="005D5947" w:rsidRPr="005D5947">
        <w:rPr>
          <w:bCs/>
        </w:rPr>
        <w:t xml:space="preserve">for the treatment of widespread non-bullous impetigo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513BD19B" w14:textId="57E226C0" w:rsidR="000B4A6E" w:rsidRDefault="000B4A6E" w:rsidP="000B4A6E">
            <w:pPr>
              <w:pStyle w:val="Bulletindent1"/>
            </w:pPr>
            <w:r w:rsidRPr="000B4A6E">
              <w:t xml:space="preserve">Lercanidipine contraindicated with clarithromycin use highlighted in “Cautions including any relevant action to be taken” section </w:t>
            </w:r>
          </w:p>
          <w:p w14:paraId="35695DF3" w14:textId="77777777" w:rsidR="000B4A6E" w:rsidRDefault="000B4A6E" w:rsidP="000B4A6E">
            <w:pPr>
              <w:pStyle w:val="Bulletindent1"/>
            </w:pPr>
            <w:r w:rsidRPr="000B4A6E">
              <w:t>Addition of:</w:t>
            </w:r>
          </w:p>
          <w:p w14:paraId="77FE0567" w14:textId="77777777" w:rsidR="000B4A6E" w:rsidRDefault="000B4A6E" w:rsidP="000B4A6E">
            <w:pPr>
              <w:pStyle w:val="Bulletindent1"/>
              <w:numPr>
                <w:ilvl w:val="1"/>
                <w:numId w:val="15"/>
              </w:numPr>
            </w:pPr>
            <w:r w:rsidRPr="000B4A6E">
              <w:t xml:space="preserve"> “Chloroquine or hydroxychloroquine </w:t>
            </w:r>
          </w:p>
          <w:p w14:paraId="35C6AD26" w14:textId="77777777" w:rsidR="000B4A6E" w:rsidRDefault="000B4A6E" w:rsidP="000B4A6E">
            <w:pPr>
              <w:pStyle w:val="Bulletindent1"/>
              <w:numPr>
                <w:ilvl w:val="1"/>
                <w:numId w:val="15"/>
              </w:numPr>
            </w:pPr>
            <w:r w:rsidRPr="000B4A6E">
              <w:t xml:space="preserve"> Lomitapide</w:t>
            </w:r>
          </w:p>
          <w:p w14:paraId="2D1F4799" w14:textId="77777777" w:rsidR="000B4A6E" w:rsidRDefault="000B4A6E" w:rsidP="000B4A6E">
            <w:pPr>
              <w:pStyle w:val="Bulletindent1"/>
              <w:numPr>
                <w:ilvl w:val="1"/>
                <w:numId w:val="15"/>
              </w:numPr>
            </w:pPr>
            <w:r w:rsidRPr="000B4A6E">
              <w:t xml:space="preserve"> Ivabradine</w:t>
            </w:r>
          </w:p>
          <w:p w14:paraId="3A956450" w14:textId="5BDAC09D" w:rsidR="000B4A6E" w:rsidRDefault="000B4A6E" w:rsidP="000B4A6E">
            <w:pPr>
              <w:pStyle w:val="Bulletindent1"/>
              <w:numPr>
                <w:ilvl w:val="1"/>
                <w:numId w:val="15"/>
              </w:numPr>
            </w:pPr>
            <w:r w:rsidRPr="000B4A6E">
              <w:lastRenderedPageBreak/>
              <w:t>Medicines where concomitant use with a strong CYP 3A4 inhibitor (i.e. clarithromycin) is contraindicated (e.g.</w:t>
            </w:r>
          </w:p>
          <w:p w14:paraId="2BFCDB12" w14:textId="77777777" w:rsidR="000B4A6E" w:rsidRDefault="000B4A6E" w:rsidP="000B4A6E">
            <w:pPr>
              <w:pStyle w:val="Bulletindent1"/>
              <w:numPr>
                <w:ilvl w:val="1"/>
                <w:numId w:val="15"/>
              </w:numPr>
            </w:pPr>
            <w:r w:rsidRPr="000B4A6E">
              <w:t>Avanafil</w:t>
            </w:r>
          </w:p>
          <w:p w14:paraId="3706212D" w14:textId="77777777" w:rsidR="000B4A6E" w:rsidRDefault="000B4A6E" w:rsidP="000B4A6E">
            <w:pPr>
              <w:pStyle w:val="Bulletindent1"/>
              <w:numPr>
                <w:ilvl w:val="1"/>
                <w:numId w:val="15"/>
              </w:numPr>
            </w:pPr>
            <w:r w:rsidRPr="000B4A6E">
              <w:t>Dronedarone</w:t>
            </w:r>
          </w:p>
          <w:p w14:paraId="7F795095" w14:textId="77777777" w:rsidR="000B4A6E" w:rsidRDefault="000B4A6E" w:rsidP="000B4A6E">
            <w:pPr>
              <w:pStyle w:val="Bulletindent1"/>
              <w:numPr>
                <w:ilvl w:val="1"/>
                <w:numId w:val="15"/>
              </w:numPr>
            </w:pPr>
            <w:r w:rsidRPr="000B4A6E">
              <w:t>Eplerenone</w:t>
            </w:r>
          </w:p>
          <w:p w14:paraId="12F09C66" w14:textId="77777777" w:rsidR="000B4A6E" w:rsidRDefault="000B4A6E" w:rsidP="000B4A6E">
            <w:pPr>
              <w:pStyle w:val="Bulletindent1"/>
              <w:numPr>
                <w:ilvl w:val="1"/>
                <w:numId w:val="15"/>
              </w:numPr>
            </w:pPr>
            <w:r w:rsidRPr="000B4A6E">
              <w:t>Finerenone</w:t>
            </w:r>
          </w:p>
          <w:p w14:paraId="6FB97477" w14:textId="77777777" w:rsidR="000B4A6E" w:rsidRDefault="000B4A6E" w:rsidP="000B4A6E">
            <w:pPr>
              <w:pStyle w:val="Bulletindent1"/>
              <w:numPr>
                <w:ilvl w:val="1"/>
                <w:numId w:val="15"/>
              </w:numPr>
            </w:pPr>
            <w:r w:rsidRPr="000B4A6E">
              <w:t>Lercanidipine</w:t>
            </w:r>
          </w:p>
          <w:p w14:paraId="631A6967" w14:textId="77777777" w:rsidR="000B4A6E" w:rsidRDefault="000B4A6E" w:rsidP="000B4A6E">
            <w:pPr>
              <w:pStyle w:val="Bulletindent1"/>
              <w:numPr>
                <w:ilvl w:val="1"/>
                <w:numId w:val="15"/>
              </w:numPr>
            </w:pPr>
            <w:r w:rsidRPr="000B4A6E">
              <w:t xml:space="preserve"> Lurasidone</w:t>
            </w:r>
          </w:p>
          <w:p w14:paraId="700284AC" w14:textId="77777777" w:rsidR="000B4A6E" w:rsidRDefault="000B4A6E" w:rsidP="000B4A6E">
            <w:pPr>
              <w:pStyle w:val="Bulletindent1"/>
              <w:numPr>
                <w:ilvl w:val="1"/>
                <w:numId w:val="15"/>
              </w:numPr>
            </w:pPr>
            <w:r w:rsidRPr="000B4A6E">
              <w:t xml:space="preserve">Naloxegol </w:t>
            </w:r>
          </w:p>
          <w:p w14:paraId="0006A69B" w14:textId="77777777" w:rsidR="000B4A6E" w:rsidRDefault="000B4A6E" w:rsidP="000B4A6E">
            <w:pPr>
              <w:pStyle w:val="Bulletindent1"/>
              <w:numPr>
                <w:ilvl w:val="1"/>
                <w:numId w:val="15"/>
              </w:numPr>
            </w:pPr>
            <w:r w:rsidRPr="000B4A6E">
              <w:t xml:space="preserve">Quetiapine) </w:t>
            </w:r>
          </w:p>
          <w:p w14:paraId="54BE377A" w14:textId="152C3430" w:rsidR="0041543B" w:rsidRPr="00764857" w:rsidRDefault="000B4A6E" w:rsidP="000B4A6E">
            <w:pPr>
              <w:pStyle w:val="Bulletindent1"/>
            </w:pPr>
            <w:r w:rsidRPr="000B4A6E">
              <w:t>Any other medicine where concomitant use with clarithromycin is contraindicated” to “Drug Interactions”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5EDCC949" w:rsidR="000B4A6E" w:rsidRDefault="000B4A6E" w:rsidP="00AD67D4">
      <w:pPr>
        <w:pStyle w:val="PGDNormal"/>
        <w:rPr>
          <w:lang w:val="en-GB"/>
        </w:rPr>
      </w:pPr>
      <w:r w:rsidRPr="000B4A6E">
        <w:rPr>
          <w:lang w:val="en-GB"/>
        </w:rPr>
        <w:t xml:space="preserve">This PGD template has been peer reviewed by the </w:t>
      </w:r>
      <w:r w:rsidR="00E67D7A" w:rsidRPr="00E67D7A">
        <w:rPr>
          <w:lang w:val="en-GB"/>
        </w:rPr>
        <w:t>national skin antimicrobial PGD Short Life Working Group in accordance with their Terms of Reference</w:t>
      </w:r>
      <w:r w:rsidRPr="000B4A6E">
        <w:rPr>
          <w:lang w:val="en-GB"/>
        </w:rPr>
        <w:t>.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Kieran Reynolds (SLWG co-</w:t>
            </w:r>
            <w:proofErr w:type="gramStart"/>
            <w:r w:rsidRPr="00105447">
              <w:rPr>
                <w:rFonts w:cs="Arial"/>
                <w:szCs w:val="22"/>
              </w:rPr>
              <w:t>ordinator)</w:t>
            </w:r>
            <w:r>
              <w:rPr>
                <w:rFonts w:cs="Arial"/>
                <w:szCs w:val="22"/>
              </w:rPr>
              <w:t>*</w:t>
            </w:r>
            <w:proofErr w:type="gramEnd"/>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Consultant Paediatric Pharmacist. Neonatal and Paediatric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22E79620" w14:textId="46137072" w:rsidR="001D40D5" w:rsidRPr="001D40D5" w:rsidRDefault="001D40D5" w:rsidP="00E015AA">
            <w:pPr>
              <w:pStyle w:val="Bulletindent1"/>
              <w:numPr>
                <w:ilvl w:val="1"/>
                <w:numId w:val="15"/>
              </w:numPr>
              <w:rPr>
                <w:szCs w:val="23"/>
              </w:rPr>
            </w:pPr>
            <w:hyperlink r:id="rId13" w:history="1">
              <w:r w:rsidRPr="001D40D5">
                <w:rPr>
                  <w:rStyle w:val="Hyperlink"/>
                  <w:lang w:eastAsia="en-GB"/>
                </w:rPr>
                <w:t>DermNet impetigo resources</w:t>
              </w:r>
            </w:hyperlink>
            <w:r>
              <w:rPr>
                <w:rFonts w:cs="Arial"/>
                <w:szCs w:val="23"/>
                <w:lang w:eastAsia="en-GB"/>
              </w:rPr>
              <w:t xml:space="preserve"> </w:t>
            </w:r>
            <w:r w:rsidRPr="001D40D5">
              <w:t>(including images)</w:t>
            </w:r>
          </w:p>
          <w:p w14:paraId="1DD6DFF3" w14:textId="651C6462" w:rsidR="001D40D5" w:rsidRPr="001D40D5" w:rsidRDefault="001D40D5" w:rsidP="00E015AA">
            <w:pPr>
              <w:pStyle w:val="Bulletindent1"/>
              <w:numPr>
                <w:ilvl w:val="1"/>
                <w:numId w:val="15"/>
              </w:numPr>
              <w:rPr>
                <w:szCs w:val="23"/>
              </w:rPr>
            </w:pPr>
            <w:hyperlink r:id="rId14" w:history="1">
              <w:r w:rsidRPr="001D40D5">
                <w:rPr>
                  <w:rStyle w:val="Hyperlink"/>
                  <w:lang w:eastAsia="en-GB"/>
                </w:rPr>
                <w:t>Primary Care Dermatology Society impetigo resources</w:t>
              </w:r>
            </w:hyperlink>
            <w:r w:rsidRPr="001D40D5">
              <w:t>(including images)</w:t>
            </w:r>
          </w:p>
          <w:p w14:paraId="23A095D4" w14:textId="2795B0AE" w:rsidR="001D40D5" w:rsidRPr="001D40D5" w:rsidRDefault="001D40D5" w:rsidP="00E015AA">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BEAD63E" w14:textId="06318D81" w:rsidR="001D40D5" w:rsidRPr="001D40D5" w:rsidRDefault="001D40D5" w:rsidP="00E015AA">
            <w:pPr>
              <w:pStyle w:val="Bulletindent1"/>
              <w:numPr>
                <w:ilvl w:val="1"/>
                <w:numId w:val="15"/>
              </w:numPr>
              <w:rPr>
                <w:szCs w:val="23"/>
              </w:rPr>
            </w:pPr>
            <w:hyperlink r:id="rId16"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6AEB5639" w14:textId="7EB4DF63" w:rsidR="00E015AA" w:rsidRPr="00E015AA" w:rsidRDefault="00E015AA" w:rsidP="00E015AA">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3"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08BBC1AF" w:rsidR="001D40D5" w:rsidRDefault="00E015AA" w:rsidP="001D40D5">
            <w:pPr>
              <w:pStyle w:val="Tabletext"/>
              <w:rPr>
                <w:lang w:val="en-GB"/>
              </w:rPr>
            </w:pPr>
            <w:r w:rsidRPr="00E015AA">
              <w:rPr>
                <w:lang w:val="en-GB"/>
              </w:rPr>
              <w:t>Individuals operating under this PGD should follow</w:t>
            </w:r>
            <w:r w:rsidR="001D40D5">
              <w:rPr>
                <w:lang w:val="en-GB"/>
              </w:rPr>
              <w:t>:</w:t>
            </w:r>
          </w:p>
          <w:p w14:paraId="49021F91" w14:textId="6AFD3B0D" w:rsidR="001D40D5" w:rsidRPr="00941F77" w:rsidRDefault="00941F77" w:rsidP="001D40D5">
            <w:pPr>
              <w:pStyle w:val="Tabletext"/>
              <w:rPr>
                <w:lang w:val="en-GB"/>
              </w:rPr>
            </w:pPr>
            <w:hyperlink r:id="rId25" w:history="1">
              <w:r w:rsidRPr="00941F77">
                <w:rPr>
                  <w:rStyle w:val="Hyperlink"/>
                </w:rPr>
                <w:t>N</w:t>
              </w:r>
              <w:r w:rsidR="001D40D5" w:rsidRPr="00941F77">
                <w:rPr>
                  <w:rStyle w:val="Hyperlink"/>
                  <w:lang w:val="en-GB"/>
                </w:rPr>
                <w:t>ational guidance for the diagnosis of impetigo in the UK – NICE CKS – impetigo</w:t>
              </w:r>
            </w:hyperlink>
            <w:r w:rsidR="001D40D5" w:rsidRPr="00941F77">
              <w:rPr>
                <w:lang w:val="en-GB"/>
              </w:rPr>
              <w:t xml:space="preserve"> </w:t>
            </w:r>
          </w:p>
          <w:p w14:paraId="5719D930" w14:textId="690E838A" w:rsidR="00B81529" w:rsidRPr="00DF77C7" w:rsidRDefault="00941F77" w:rsidP="00941F77">
            <w:pPr>
              <w:pStyle w:val="Tabletext"/>
              <w:rPr>
                <w:lang w:val="en-GB"/>
              </w:rPr>
            </w:pPr>
            <w:hyperlink r:id="rId26" w:history="1">
              <w:r w:rsidRPr="00941F77">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230F6565" w:rsidR="00D36D23" w:rsidRDefault="00941F77" w:rsidP="00957B7C">
            <w:pPr>
              <w:pStyle w:val="Tabletext"/>
            </w:pPr>
            <w:r w:rsidRPr="00941F77">
              <w:rPr>
                <w:iCs/>
                <w:lang w:val="en-GB"/>
              </w:rPr>
              <w:t xml:space="preserve">Widespread non-bullous impetigo in children aged 1 year and over and adults, where flucloxacillin is not appropriate due to hypersensitivity  </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08EA36DE" w:rsidR="006E1B84" w:rsidRDefault="006E1B84" w:rsidP="00EF3229">
            <w:pPr>
              <w:pStyle w:val="Bulletindent1"/>
            </w:pPr>
            <w:r w:rsidRPr="006E1B84">
              <w:t>Individuals aged 1</w:t>
            </w:r>
            <w:r w:rsidR="00941F77">
              <w:t xml:space="preserve"> </w:t>
            </w:r>
            <w:r w:rsidRPr="006E1B84">
              <w:t>year and over</w:t>
            </w:r>
          </w:p>
          <w:p w14:paraId="3B6B0004" w14:textId="77777777" w:rsidR="00941F77" w:rsidRPr="00941F77" w:rsidRDefault="002D3580" w:rsidP="00941F77">
            <w:pPr>
              <w:pStyle w:val="Bulletindent1"/>
            </w:pPr>
            <w:r>
              <w:t xml:space="preserve">Signs </w:t>
            </w:r>
            <w:r w:rsidRPr="00C23691">
              <w:t xml:space="preserve">and symptoms of </w:t>
            </w:r>
            <w:r w:rsidR="00941F77">
              <w:t>impetigo</w:t>
            </w:r>
            <w:r w:rsidRPr="00C23691">
              <w:t xml:space="preserve"> using the </w:t>
            </w:r>
            <w:hyperlink r:id="rId27" w:history="1">
              <w:r w:rsidR="00941F77" w:rsidRPr="00941F77">
                <w:rPr>
                  <w:rStyle w:val="Hyperlink"/>
                  <w:lang w:val="en-US"/>
                </w:rPr>
                <w:t>N</w:t>
              </w:r>
              <w:r w:rsidR="00941F77" w:rsidRPr="00941F77">
                <w:rPr>
                  <w:rStyle w:val="Hyperlink"/>
                </w:rPr>
                <w:t>ational guidance for the diagnosis of impetigo in the UK – NICE CKS – impetigo</w:t>
              </w:r>
            </w:hyperlink>
            <w:r w:rsidR="00941F77" w:rsidRPr="00941F77">
              <w:t xml:space="preserve"> </w:t>
            </w:r>
          </w:p>
          <w:p w14:paraId="27B3B596" w14:textId="5833422B" w:rsidR="00BC6E78" w:rsidRPr="00BC6E78" w:rsidRDefault="00BC6E78" w:rsidP="00BC6E78">
            <w:pPr>
              <w:pStyle w:val="Bulletindent1"/>
            </w:pPr>
            <w:r w:rsidRPr="00BC6E78">
              <w:rPr>
                <w:lang w:bidi="en-GB"/>
              </w:rPr>
              <w:t xml:space="preserve">Widespread (4 or more lesions/clusters present) </w:t>
            </w:r>
            <w:r w:rsidRPr="00BC6E78">
              <w:t xml:space="preserve">non-bullous </w:t>
            </w:r>
            <w:r w:rsidRPr="00BC6E78">
              <w:rPr>
                <w:lang w:bidi="en-GB"/>
              </w:rPr>
              <w:t>impetigo</w:t>
            </w:r>
          </w:p>
          <w:p w14:paraId="344A12DC" w14:textId="6789E3F6" w:rsidR="00BC6E78" w:rsidRPr="00BC6E78" w:rsidRDefault="00BC6E78" w:rsidP="00BC6E78">
            <w:pPr>
              <w:pStyle w:val="Bulletindent1"/>
            </w:pPr>
            <w:r w:rsidRPr="00BC6E78">
              <w:t xml:space="preserve">Known hypersensitivity to flucloxacillin, any penicillin or any of the components within the formulation of flucloxacillin formulations - see </w:t>
            </w:r>
            <w:hyperlink r:id="rId28" w:history="1">
              <w:r>
                <w:rPr>
                  <w:rStyle w:val="Hyperlink"/>
                </w:rPr>
                <w:t>Summary of Product Characteristics which can be accessed on the EMC website</w:t>
              </w:r>
            </w:hyperlink>
            <w:r w:rsidRPr="00BC6E78">
              <w:t xml:space="preserve">. </w:t>
            </w:r>
            <w:r w:rsidRPr="00BC6E78">
              <w:rPr>
                <w:b/>
                <w:bCs/>
                <w:iCs/>
              </w:rPr>
              <w:t>Acceptable sources of allergy information include individual/carer/parent/guardian or National Care Record</w:t>
            </w:r>
          </w:p>
          <w:p w14:paraId="18C253D2" w14:textId="77777777" w:rsidR="00BC6E78" w:rsidRPr="00BC6E78" w:rsidRDefault="00BC6E78" w:rsidP="00BC6E78">
            <w:pPr>
              <w:pStyle w:val="Bulletindent1"/>
              <w:numPr>
                <w:ilvl w:val="0"/>
                <w:numId w:val="0"/>
              </w:numPr>
              <w:ind w:left="360"/>
            </w:pPr>
            <w:r w:rsidRPr="00BC6E78">
              <w:rPr>
                <w:b/>
                <w:bCs/>
                <w:iCs/>
              </w:rPr>
              <w:t>OR</w:t>
            </w:r>
          </w:p>
          <w:p w14:paraId="02A2FFD7" w14:textId="72166738" w:rsidR="00AE4F4B" w:rsidRDefault="00BC6E78" w:rsidP="00BC6E78">
            <w:pPr>
              <w:pStyle w:val="Bulletindent1"/>
            </w:pPr>
            <w:r w:rsidRPr="00BC6E78">
              <w:t xml:space="preserve">History of severe immediate hypersensitivity reaction (e.g. anaphylaxis) to another beta-lactam antibiotic (e.g. cephalosporin, carbapenem or monobactam). </w:t>
            </w:r>
            <w:r w:rsidRPr="00BC6E78">
              <w:rPr>
                <w:b/>
                <w:bCs/>
                <w:iCs/>
              </w:rPr>
              <w:t>Acceptable sources of allergy information include individual/carer/parent/guardian or National Care Record</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011FBD">
            <w:pPr>
              <w:pStyle w:val="Bulletindent1"/>
            </w:pPr>
            <w:r w:rsidRPr="00801F6A">
              <w:t xml:space="preserve">Consent refused and documented in the individual’s clinical notes </w:t>
            </w:r>
          </w:p>
          <w:p w14:paraId="1B665F4B" w14:textId="184A73AD" w:rsidR="00801F6A" w:rsidRPr="00801F6A" w:rsidRDefault="00801F6A" w:rsidP="00011FBD">
            <w:pPr>
              <w:pStyle w:val="Bulletindent1"/>
            </w:pPr>
            <w:r w:rsidRPr="00801F6A">
              <w:t>Individuals under 1 year of age</w:t>
            </w:r>
          </w:p>
          <w:p w14:paraId="7F4DF234" w14:textId="77777777" w:rsidR="00801F6A" w:rsidRDefault="00801F6A" w:rsidP="00011FBD">
            <w:pPr>
              <w:pStyle w:val="Bulletindent1"/>
            </w:pPr>
            <w:r w:rsidRPr="00801F6A">
              <w:t>Pregnancy or suspected pregnancy</w:t>
            </w:r>
          </w:p>
          <w:p w14:paraId="79A97234" w14:textId="4FF23081" w:rsidR="00BC6E78" w:rsidRPr="005636A7" w:rsidRDefault="00BC6E78" w:rsidP="00011FBD">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011FBD">
            <w:pPr>
              <w:pStyle w:val="Bulletindent1"/>
              <w:rPr>
                <w:b/>
                <w:sz w:val="20"/>
              </w:rPr>
            </w:pPr>
            <w:bookmarkStart w:id="5" w:name="Severe"/>
            <w:bookmarkEnd w:id="5"/>
            <w:r w:rsidRPr="00903730">
              <w:t>Severely immunosuppressed individual</w:t>
            </w:r>
            <w:r>
              <w:t>s as defined i</w:t>
            </w:r>
            <w:r w:rsidRPr="00903730">
              <w:t xml:space="preserve">n </w:t>
            </w:r>
            <w:hyperlink r:id="rId29"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51D3C983" w:rsidR="009A5C7D" w:rsidRPr="00903730" w:rsidRDefault="0033118A" w:rsidP="00011FBD">
            <w:pPr>
              <w:pStyle w:val="Bulletindent1"/>
            </w:pPr>
            <w:r w:rsidRPr="00903730">
              <w:lastRenderedPageBreak/>
              <w:t>A</w:t>
            </w:r>
            <w:r w:rsidR="009A5C7D" w:rsidRPr="00903730">
              <w:t xml:space="preserve">cute and chronic leukaemias, and clinically aggressive lymphomas (including Hodgkin’s lymphoma) who are less than 12 months since achieving cure </w:t>
            </w:r>
          </w:p>
          <w:p w14:paraId="07EE8B7B" w14:textId="5ABFC349" w:rsidR="009A5C7D" w:rsidRPr="00903730" w:rsidRDefault="0033118A" w:rsidP="00011FBD">
            <w:pPr>
              <w:pStyle w:val="Bulletindent1"/>
            </w:pPr>
            <w:r w:rsidRPr="00903730">
              <w:t>I</w:t>
            </w:r>
            <w:r w:rsidR="009A5C7D" w:rsidRPr="00903730">
              <w:t xml:space="preserve">ndividuals under follow up for a </w:t>
            </w:r>
            <w:proofErr w:type="gramStart"/>
            <w:r w:rsidR="009A5C7D" w:rsidRPr="00903730">
              <w:t>chronic lymphoproliferative disorders</w:t>
            </w:r>
            <w:proofErr w:type="gramEnd"/>
            <w:r w:rsidR="009A5C7D" w:rsidRPr="00903730">
              <w:t xml:space="preserve"> including haematological malignancies such as indolent lymphoma, chronic lymphoid leukaemia, myeloma, Waldenstrom’s macroglobulinemia and other plasma cell dyscrasias (N.B: this list not exhaustive) </w:t>
            </w:r>
          </w:p>
          <w:p w14:paraId="65699B17" w14:textId="4D86BDF8" w:rsidR="009A5C7D" w:rsidRPr="00903730" w:rsidRDefault="0033118A" w:rsidP="00011FBD">
            <w:pPr>
              <w:pStyle w:val="Bulletindent1"/>
            </w:pPr>
            <w:r w:rsidRPr="00903730">
              <w:t>I</w:t>
            </w:r>
            <w:r w:rsidR="009A5C7D" w:rsidRPr="00903730">
              <w:t xml:space="preserve">mmunosuppression due to HIV/AIDS with a current CD4 count of below 200 cells/μl. </w:t>
            </w:r>
          </w:p>
          <w:p w14:paraId="1F6F9E0B" w14:textId="45CA8B5B" w:rsidR="009A5C7D" w:rsidRPr="00903730" w:rsidRDefault="0033118A" w:rsidP="00011FBD">
            <w:pPr>
              <w:pStyle w:val="Bulletindent1"/>
            </w:pPr>
            <w:r w:rsidRPr="00903730">
              <w:t>P</w:t>
            </w:r>
            <w:r w:rsidR="009A5C7D" w:rsidRPr="00903730">
              <w:t>rimary or acquired cellular and combined immune deficiencies – those with lymphopaenia (&lt;1,000 lymphocytes/ul) or with a functional lymphocyte disorder</w:t>
            </w:r>
          </w:p>
          <w:p w14:paraId="180ED9ED" w14:textId="6C60B246" w:rsidR="009A5C7D" w:rsidRPr="00903730" w:rsidRDefault="0033118A" w:rsidP="00011FBD">
            <w:pPr>
              <w:pStyle w:val="Bulletindent1"/>
            </w:pPr>
            <w:r w:rsidRPr="00903730">
              <w:t>T</w:t>
            </w:r>
            <w:r w:rsidR="009A5C7D" w:rsidRPr="00903730">
              <w:t xml:space="preserve">hose who have received an allogeneic (cells from a donor) or an autologous (using their own cells) stem cell transplant in the previous 24 months </w:t>
            </w:r>
          </w:p>
          <w:p w14:paraId="0CCB08FB" w14:textId="38D6407F" w:rsidR="009A5C7D" w:rsidRPr="00903730" w:rsidRDefault="0033118A" w:rsidP="00011FBD">
            <w:pPr>
              <w:pStyle w:val="Bulletindent1"/>
            </w:pPr>
            <w:r w:rsidRPr="00903730">
              <w:t>T</w:t>
            </w:r>
            <w:r w:rsidR="009A5C7D" w:rsidRPr="00903730">
              <w: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323434EE" w:rsidR="009A5C7D" w:rsidRPr="00903730" w:rsidRDefault="0033118A" w:rsidP="00011FBD">
            <w:pPr>
              <w:pStyle w:val="Bulletindent1"/>
            </w:pPr>
            <w:r w:rsidRPr="00903730">
              <w:t>Those</w:t>
            </w:r>
            <w:r w:rsidR="009A5C7D" w:rsidRPr="00903730">
              <w:t xml:space="preserve"> who are receiving or have received in the past 6 months immunosuppressive chemotherapy or radiotherapy for any indication </w:t>
            </w:r>
          </w:p>
          <w:p w14:paraId="5AD148BD" w14:textId="6CF10ED6" w:rsidR="009A5C7D" w:rsidRPr="00903730" w:rsidRDefault="0033118A" w:rsidP="00011FBD">
            <w:pPr>
              <w:pStyle w:val="Bulletindent1"/>
            </w:pPr>
            <w:r w:rsidRPr="00903730">
              <w:t>T</w:t>
            </w:r>
            <w:r w:rsidR="009A5C7D" w:rsidRPr="00903730">
              <w:t xml:space="preserve">hose who are receiving or have received in the previous 6 months immunosuppressive therapy for a solid organ transplant </w:t>
            </w:r>
          </w:p>
          <w:p w14:paraId="29E05600" w14:textId="1CECC975" w:rsidR="009A5C7D" w:rsidRPr="00903730" w:rsidRDefault="0033118A" w:rsidP="00011FBD">
            <w:pPr>
              <w:pStyle w:val="Bulletindent1"/>
            </w:pPr>
            <w:r w:rsidRPr="00903730">
              <w:t>T</w:t>
            </w:r>
            <w:r w:rsidR="009A5C7D" w:rsidRPr="00903730">
              <w: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lastRenderedPageBreak/>
              <w:t>Individuals with chronic immune mediated inflammatory disease who are receiving or have received immunosuppressive therapy</w:t>
            </w:r>
            <w:r>
              <w:rPr>
                <w:b/>
                <w:bCs/>
              </w:rPr>
              <w:t>:</w:t>
            </w:r>
          </w:p>
          <w:p w14:paraId="7E59AB2F" w14:textId="71FC0F4C" w:rsidR="009A5C7D" w:rsidRPr="00903730" w:rsidRDefault="0033118A" w:rsidP="00011FBD">
            <w:pPr>
              <w:pStyle w:val="Bulletindent1"/>
            </w:pPr>
            <w:r w:rsidRPr="00903730">
              <w:t>M</w:t>
            </w:r>
            <w:r w:rsidR="009A5C7D" w:rsidRPr="00903730">
              <w:t xml:space="preserve">oderate to high dose corticosteroids (equivalent ≥20mg prednisolone per day) for more than 10 days in the previous month </w:t>
            </w:r>
          </w:p>
          <w:p w14:paraId="51092628" w14:textId="576D0A0D" w:rsidR="009A5C7D" w:rsidRPr="00903730" w:rsidRDefault="0033118A" w:rsidP="00011FBD">
            <w:pPr>
              <w:pStyle w:val="Bulletindent1"/>
            </w:pPr>
            <w:r w:rsidRPr="00903730">
              <w:t>Lo</w:t>
            </w:r>
            <w:r w:rsidR="009A5C7D" w:rsidRPr="00903730">
              <w:t xml:space="preserve">ng term moderate dose corticosteroids (equivalent to ≥10mg prednisolone per day for more than 4 weeks) in the previous 3 months </w:t>
            </w:r>
          </w:p>
          <w:p w14:paraId="67099E93" w14:textId="08CDEFCF" w:rsidR="009A5C7D" w:rsidRPr="00903730" w:rsidRDefault="0033118A" w:rsidP="00011FBD">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3B6AFE4C" w:rsidR="009A5C7D" w:rsidRPr="00903730" w:rsidRDefault="0033118A" w:rsidP="00011FBD">
            <w:pPr>
              <w:pStyle w:val="Bulletindent1"/>
            </w:pPr>
            <w:r w:rsidRPr="00903730">
              <w:t>C</w:t>
            </w:r>
            <w:r w:rsidR="009A5C7D" w:rsidRPr="00903730">
              <w:t>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011FBD">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30"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011FBD">
            <w:pPr>
              <w:pStyle w:val="Bulletindent1"/>
              <w:numPr>
                <w:ilvl w:val="1"/>
                <w:numId w:val="15"/>
              </w:numPr>
            </w:pPr>
            <w:r w:rsidRPr="009A5C7D">
              <w:t>replacement corticosteroids for individuals with adrenal insufficiency</w:t>
            </w:r>
          </w:p>
          <w:p w14:paraId="6EB0C321" w14:textId="77777777" w:rsidR="009A5C7D" w:rsidRPr="009A5C7D" w:rsidRDefault="009A5C7D" w:rsidP="00011FBD">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011FBD">
            <w:pPr>
              <w:pStyle w:val="Bulletindent1"/>
              <w:numPr>
                <w:ilvl w:val="1"/>
                <w:numId w:val="15"/>
              </w:numPr>
            </w:pPr>
            <w:r w:rsidRPr="009A5C7D">
              <w:t>intra-articular, -bursal or -tendon corticosteroid injections.</w:t>
            </w:r>
          </w:p>
          <w:p w14:paraId="7B5D0722" w14:textId="1E2CFBB1" w:rsidR="009A5C7D" w:rsidRPr="009A5C7D" w:rsidRDefault="007210CD" w:rsidP="00011FBD">
            <w:pPr>
              <w:pStyle w:val="Bulletindent1"/>
            </w:pPr>
            <w:r w:rsidRPr="007210CD">
              <w:rPr>
                <w:iCs/>
              </w:rPr>
              <w:t>Known hypersensitivity to clarithromycin, any macrolide or any of the components within the formulatio</w:t>
            </w:r>
            <w:r>
              <w:rPr>
                <w:iCs/>
              </w:rPr>
              <w:t>n</w:t>
            </w:r>
            <w:r w:rsidR="009A5C7D" w:rsidRPr="009A5C7D">
              <w:t xml:space="preserve">- see </w:t>
            </w:r>
            <w:hyperlink r:id="rId31" w:anchor="gref" w:history="1">
              <w:hyperlink r:id="rId32"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 xml:space="preserve">Acceptable sources of allergy </w:t>
            </w:r>
            <w:r w:rsidR="009A5C7D" w:rsidRPr="009A5C7D">
              <w:rPr>
                <w:b/>
                <w:bCs/>
                <w:iCs/>
              </w:rPr>
              <w:lastRenderedPageBreak/>
              <w:t>information include individual/carer/parent/guardian or National Care Record</w:t>
            </w:r>
            <w:r w:rsidR="009A5C7D" w:rsidRPr="009A5C7D">
              <w:rPr>
                <w:iCs/>
              </w:rPr>
              <w:t xml:space="preserve">. </w:t>
            </w:r>
          </w:p>
          <w:p w14:paraId="698F6821" w14:textId="77777777" w:rsidR="007210CD" w:rsidRPr="007210CD" w:rsidRDefault="007210CD" w:rsidP="00011FBD">
            <w:pPr>
              <w:pStyle w:val="Bulletindent1"/>
              <w:rPr>
                <w:iCs/>
              </w:rPr>
            </w:pPr>
            <w:r w:rsidRPr="007210CD">
              <w:t>Inability to absorb oral medications and/or inability to swallow oral dosage formulations (i.e. tablets or oral suspension (or oral solution))</w:t>
            </w:r>
          </w:p>
          <w:p w14:paraId="28AE7BAE" w14:textId="77777777" w:rsidR="007210CD" w:rsidRDefault="007210CD" w:rsidP="00011FBD">
            <w:pPr>
              <w:pStyle w:val="Bulletindent1"/>
            </w:pPr>
            <w:r w:rsidRPr="007210CD">
              <w:t>Current long-term use of clarithromycin or another macrolide antibiotic (e.g. erythromycin for prophylaxis in asplenia, azithromycin for prophylaxis in individuals with COPD or bronchiectasis etc.)</w:t>
            </w:r>
          </w:p>
          <w:p w14:paraId="7A6E849F" w14:textId="4E16F9D5" w:rsidR="00B45C68" w:rsidRDefault="00B45C68" w:rsidP="00011FBD">
            <w:pPr>
              <w:pStyle w:val="Bulletindent1"/>
            </w:pPr>
            <w:r>
              <w:t xml:space="preserve">Individuals following a </w:t>
            </w:r>
            <w:hyperlink r:id="rId33"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4B7D2780" w14:textId="77777777" w:rsidR="00BC6E78" w:rsidRPr="00B22CCE" w:rsidRDefault="00BC6E78" w:rsidP="00011FBD">
            <w:pPr>
              <w:pStyle w:val="Bulletindent1"/>
            </w:pPr>
            <w:r w:rsidRPr="00CC1B72">
              <w:t xml:space="preserve">Failed </w:t>
            </w:r>
            <w:r>
              <w:t xml:space="preserve">previous oral antimicrobial treatment </w:t>
            </w:r>
            <w:r w:rsidRPr="00CC1B72">
              <w:t xml:space="preserve">for this episode of </w:t>
            </w:r>
            <w:r>
              <w:t>impetigo</w:t>
            </w:r>
          </w:p>
          <w:p w14:paraId="3DAF594C" w14:textId="6E9B0369" w:rsidR="00BC6E78" w:rsidRPr="00BC6E78" w:rsidRDefault="00BC6E78" w:rsidP="00011FBD">
            <w:pPr>
              <w:pStyle w:val="Bulletindent1"/>
            </w:pPr>
            <w:r w:rsidRPr="00BC6E78">
              <w:rPr>
                <w:rFonts w:eastAsia="Arial"/>
                <w:lang w:eastAsia="en-GB" w:bidi="en-GB"/>
              </w:rPr>
              <w:t>Recurrent impetigo (defined as 2 or more episodes in the same year)</w:t>
            </w:r>
          </w:p>
          <w:p w14:paraId="778D583C" w14:textId="77777777" w:rsidR="00BC6E78" w:rsidRPr="00BC6E78" w:rsidRDefault="00BC6E78" w:rsidP="00011FBD">
            <w:pPr>
              <w:pStyle w:val="Bulletindent1"/>
              <w:rPr>
                <w:rFonts w:eastAsia="Calibri"/>
              </w:rPr>
            </w:pPr>
            <w:r w:rsidRPr="00BC6E78">
              <w:rPr>
                <w:rFonts w:eastAsia="Arial"/>
                <w:lang w:eastAsia="en-GB" w:bidi="en-GB"/>
              </w:rPr>
              <w:t xml:space="preserve">Currently active underlying skin condition (e.g. currently uncontrolled episode of </w:t>
            </w:r>
          </w:p>
          <w:p w14:paraId="7CF37E30" w14:textId="0706030B" w:rsidR="00BC6E78" w:rsidRPr="00011FBD" w:rsidRDefault="00BC6E78" w:rsidP="00011FBD">
            <w:pPr>
              <w:pStyle w:val="Bulletindent1"/>
              <w:numPr>
                <w:ilvl w:val="1"/>
                <w:numId w:val="15"/>
              </w:numPr>
              <w:rPr>
                <w:rFonts w:eastAsia="Calibri"/>
              </w:rPr>
            </w:pPr>
            <w:hyperlink r:id="rId34"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66A6E274" w14:textId="5E66C921" w:rsidR="00011FBD" w:rsidRPr="00BC6E78" w:rsidRDefault="00011FBD" w:rsidP="00011FBD">
            <w:pPr>
              <w:pStyle w:val="Bulletindent1"/>
              <w:numPr>
                <w:ilvl w:val="0"/>
                <w:numId w:val="0"/>
              </w:numPr>
              <w:ind w:left="1080"/>
              <w:rPr>
                <w:rFonts w:eastAsia="Calibri"/>
              </w:rPr>
            </w:pPr>
            <w:r>
              <w:rPr>
                <w:rFonts w:eastAsia="Calibri"/>
              </w:rPr>
              <w:t>or</w:t>
            </w:r>
          </w:p>
          <w:p w14:paraId="07DF174E" w14:textId="4D76A652" w:rsidR="00BC6E78" w:rsidRPr="00BC6E78" w:rsidRDefault="00BC6E78" w:rsidP="00011FBD">
            <w:pPr>
              <w:pStyle w:val="Bulletindent1"/>
              <w:numPr>
                <w:ilvl w:val="1"/>
                <w:numId w:val="15"/>
              </w:numPr>
              <w:rPr>
                <w:rFonts w:eastAsia="Calibri"/>
              </w:rPr>
            </w:pPr>
            <w:hyperlink r:id="rId35" w:history="1">
              <w:r>
                <w:rPr>
                  <w:rFonts w:eastAsia="Arial"/>
                  <w:color w:val="0000FF"/>
                  <w:u w:val="single"/>
                  <w:lang w:eastAsia="en-GB" w:bidi="en-GB"/>
                </w:rPr>
                <w:t>contact dermatitis as described on the NHS website</w:t>
              </w:r>
            </w:hyperlink>
          </w:p>
          <w:p w14:paraId="544E91FF" w14:textId="75D2C182" w:rsidR="00011FBD" w:rsidRPr="00011FBD" w:rsidRDefault="00011FBD" w:rsidP="00011FBD">
            <w:pPr>
              <w:pStyle w:val="Bulletindent1"/>
              <w:rPr>
                <w:rFonts w:eastAsia="Calibri"/>
              </w:rPr>
            </w:pPr>
            <w:r>
              <w:rPr>
                <w:rFonts w:eastAsia="Arial"/>
                <w:lang w:eastAsia="en-GB" w:bidi="en-GB"/>
              </w:rPr>
              <w:t>Or c</w:t>
            </w:r>
            <w:r w:rsidR="00BC6E78" w:rsidRPr="00BC6E78">
              <w:rPr>
                <w:rFonts w:eastAsia="Arial"/>
                <w:lang w:eastAsia="en-GB" w:bidi="en-GB"/>
              </w:rPr>
              <w:t>urrent episode of</w:t>
            </w:r>
            <w:r>
              <w:rPr>
                <w:rFonts w:eastAsia="Arial"/>
                <w:lang w:eastAsia="en-GB" w:bidi="en-GB"/>
              </w:rPr>
              <w:t>:</w:t>
            </w:r>
          </w:p>
          <w:p w14:paraId="10912399" w14:textId="79EA0A9A" w:rsidR="00011FBD" w:rsidRPr="00011FBD" w:rsidRDefault="00011FBD" w:rsidP="00011FBD">
            <w:pPr>
              <w:pStyle w:val="Bulletindent1"/>
              <w:numPr>
                <w:ilvl w:val="1"/>
                <w:numId w:val="15"/>
              </w:numPr>
              <w:rPr>
                <w:rStyle w:val="Hyperlink"/>
                <w:rFonts w:eastAsia="Calibri"/>
              </w:rPr>
            </w:pPr>
            <w:r>
              <w:rPr>
                <w:rFonts w:eastAsia="Arial"/>
                <w:lang w:eastAsia="en-GB" w:bidi="en-GB"/>
              </w:rPr>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8E56FC7" w14:textId="7523CFDB" w:rsidR="00011FBD" w:rsidRPr="00011FBD" w:rsidRDefault="00011FBD" w:rsidP="00011FBD">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791013A2" w14:textId="4D394B36" w:rsidR="00011FBD" w:rsidRPr="00011FBD" w:rsidRDefault="00011FBD" w:rsidP="00011FBD">
            <w:pPr>
              <w:pStyle w:val="Bulletindent1"/>
              <w:numPr>
                <w:ilvl w:val="0"/>
                <w:numId w:val="0"/>
              </w:numPr>
              <w:ind w:left="1080"/>
              <w:rPr>
                <w:rFonts w:eastAsia="Calibri"/>
              </w:rPr>
            </w:pPr>
            <w:r>
              <w:rPr>
                <w:rFonts w:eastAsia="Arial"/>
                <w:lang w:eastAsia="en-GB" w:bidi="en-GB"/>
              </w:rPr>
              <w:fldChar w:fldCharType="end"/>
            </w:r>
            <w:r w:rsidR="00BC6E78" w:rsidRPr="00BC6E78">
              <w:rPr>
                <w:rFonts w:eastAsia="Arial"/>
                <w:lang w:eastAsia="en-GB" w:bidi="en-GB"/>
              </w:rPr>
              <w:t xml:space="preserve"> </w:t>
            </w:r>
            <w:r w:rsidRPr="00BC6E78">
              <w:rPr>
                <w:rFonts w:eastAsia="Arial"/>
                <w:lang w:eastAsia="en-GB" w:bidi="en-GB"/>
              </w:rPr>
              <w:t>O</w:t>
            </w:r>
            <w:r w:rsidR="00BC6E78" w:rsidRPr="00BC6E78">
              <w:rPr>
                <w:rFonts w:eastAsia="Arial"/>
                <w:lang w:eastAsia="en-GB" w:bidi="en-GB"/>
              </w:rPr>
              <w:t>r</w:t>
            </w:r>
          </w:p>
          <w:p w14:paraId="0B019C91" w14:textId="1084CDC6" w:rsidR="00BC6E78" w:rsidRPr="00BC6E78" w:rsidRDefault="00011FBD" w:rsidP="00011FBD">
            <w:pPr>
              <w:pStyle w:val="Bulletindent1"/>
              <w:numPr>
                <w:ilvl w:val="1"/>
                <w:numId w:val="15"/>
              </w:numPr>
              <w:rPr>
                <w:rFonts w:eastAsia="Calibri"/>
              </w:rPr>
            </w:pPr>
            <w:hyperlink r:id="rId36" w:history="1">
              <w:r>
                <w:rPr>
                  <w:rStyle w:val="Hyperlink"/>
                  <w:rFonts w:eastAsia="Arial"/>
                  <w:lang w:eastAsia="en-GB" w:bidi="en-GB"/>
                </w:rPr>
                <w:t>eczema herpeticum as described in British Association of Dermatologists patient information leaflet)</w:t>
              </w:r>
            </w:hyperlink>
          </w:p>
          <w:p w14:paraId="57E025FD" w14:textId="77777777" w:rsidR="00BC6E78" w:rsidRPr="00BC6E78" w:rsidRDefault="00BC6E78" w:rsidP="00011FBD">
            <w:pPr>
              <w:pStyle w:val="Bulletindent1"/>
              <w:rPr>
                <w:rFonts w:eastAsia="Calibri"/>
              </w:rPr>
            </w:pPr>
            <w:r w:rsidRPr="00BC6E78">
              <w:rPr>
                <w:rFonts w:eastAsia="Calibri"/>
              </w:rPr>
              <w:t>Localised (3 or fewer lesions/clusters present) non-bullous impetigo: consider topical treatment</w:t>
            </w:r>
          </w:p>
          <w:p w14:paraId="4D1E4768" w14:textId="77777777" w:rsidR="00BC6E78" w:rsidRPr="00BC6E78" w:rsidRDefault="00BC6E78" w:rsidP="00011FBD">
            <w:pPr>
              <w:pStyle w:val="Bulletindent1"/>
              <w:rPr>
                <w:rFonts w:eastAsia="Calibri"/>
              </w:rPr>
            </w:pPr>
            <w:r w:rsidRPr="00BC6E78">
              <w:rPr>
                <w:rFonts w:eastAsia="Arial"/>
                <w:lang w:eastAsia="en-GB" w:bidi="en-GB"/>
              </w:rPr>
              <w:t>Bullous impetigo (characterised by flaccid fluid-filled vesicles and blisters (often with a diameter of 1-2cm) which can persist for 2-3 days. Lesions rupture, leaving a thin, flat, yellow-brown crust)</w:t>
            </w:r>
          </w:p>
          <w:p w14:paraId="1DA63B39" w14:textId="77777777" w:rsidR="00BC6E78" w:rsidRPr="00BC6E78" w:rsidRDefault="00BC6E78" w:rsidP="00011FBD">
            <w:pPr>
              <w:pStyle w:val="Bulletindent1"/>
              <w:rPr>
                <w:rFonts w:eastAsia="Calibri"/>
              </w:rPr>
            </w:pPr>
            <w:r w:rsidRPr="00BC6E78">
              <w:rPr>
                <w:rFonts w:eastAsia="Arial"/>
                <w:lang w:eastAsia="en-GB" w:bidi="en-GB"/>
              </w:rPr>
              <w:t>Systemically unwell</w:t>
            </w:r>
          </w:p>
          <w:p w14:paraId="02D77E12" w14:textId="77777777" w:rsidR="00011FBD" w:rsidRPr="00C61FA0" w:rsidRDefault="00011FBD" w:rsidP="00011FBD">
            <w:pPr>
              <w:pStyle w:val="Bulletindent1"/>
            </w:pPr>
            <w:r w:rsidRPr="00C61FA0">
              <w:rPr>
                <w:rFonts w:eastAsia="Arial"/>
                <w:lang w:bidi="en-GB"/>
              </w:rPr>
              <w:lastRenderedPageBreak/>
              <w:t>Signs/symptoms of a more</w:t>
            </w:r>
            <w:r>
              <w:rPr>
                <w:rFonts w:eastAsia="Arial"/>
                <w:lang w:bidi="en-GB"/>
              </w:rPr>
              <w:t xml:space="preserve"> serious condition/illness (e.g.</w:t>
            </w:r>
            <w:r w:rsidRPr="00C61FA0">
              <w:rPr>
                <w:rFonts w:eastAsia="Arial"/>
                <w:lang w:bidi="en-GB"/>
              </w:rPr>
              <w:t xml:space="preserve"> swelling, large blisters, pain, pus or </w:t>
            </w:r>
            <w:r>
              <w:rPr>
                <w:rFonts w:eastAsia="Arial"/>
                <w:lang w:bidi="en-GB"/>
              </w:rPr>
              <w:t xml:space="preserve">spreading </w:t>
            </w:r>
            <w:r w:rsidRPr="00C61FA0">
              <w:rPr>
                <w:rFonts w:eastAsia="Arial"/>
                <w:lang w:bidi="en-GB"/>
              </w:rPr>
              <w:t>redness)</w:t>
            </w:r>
          </w:p>
          <w:p w14:paraId="394EEE5A" w14:textId="67167D9E" w:rsidR="00793D7D" w:rsidRDefault="00793D7D" w:rsidP="00011FBD">
            <w:pPr>
              <w:pStyle w:val="Bulletindent1"/>
            </w:pPr>
            <w:r>
              <w:rPr>
                <w:iCs/>
              </w:rPr>
              <w:t>A</w:t>
            </w:r>
            <w:r w:rsidRPr="00793D7D">
              <w:rPr>
                <w:iCs/>
              </w:rPr>
              <w:t xml:space="preserve">ny individual identified with symptoms of </w:t>
            </w:r>
            <w:hyperlink r:id="rId37" w:history="1">
              <w:r>
                <w:rPr>
                  <w:rStyle w:val="Hyperlink"/>
                </w:rPr>
                <w:t>severe/life-threatening infection or systemic sepsis as detailed on the NHS website</w:t>
              </w:r>
            </w:hyperlink>
            <w:r>
              <w:t xml:space="preserve"> - </w:t>
            </w:r>
            <w:r w:rsidRPr="00793D7D">
              <w:t>refer urgently via ambulance.</w:t>
            </w:r>
          </w:p>
          <w:p w14:paraId="07D50982" w14:textId="77777777" w:rsidR="00011FBD" w:rsidRPr="00AF73ED" w:rsidRDefault="00011FBD" w:rsidP="00011FBD">
            <w:pPr>
              <w:pStyle w:val="Bulletindent1"/>
            </w:pPr>
            <w:r>
              <w:rPr>
                <w:rFonts w:eastAsia="Arial"/>
                <w:lang w:bidi="en-GB"/>
              </w:rPr>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r w:rsidRPr="006A7EE3">
              <w:rPr>
                <w:iCs/>
              </w:rPr>
              <w:t xml:space="preserve">icillin-resistant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50318BDA" w14:textId="77777777" w:rsidR="007210CD" w:rsidRDefault="007210CD" w:rsidP="00011FBD">
            <w:pPr>
              <w:pStyle w:val="Bulletindent1"/>
            </w:pPr>
            <w:r w:rsidRPr="007210CD">
              <w:t>Known myasthenia gravis</w:t>
            </w:r>
          </w:p>
          <w:p w14:paraId="3B170870" w14:textId="77777777" w:rsidR="007210CD" w:rsidRDefault="007210CD" w:rsidP="00011FBD">
            <w:pPr>
              <w:pStyle w:val="Bulletindent1"/>
            </w:pPr>
            <w:r w:rsidRPr="007210CD">
              <w:t>Known history of QT prolongation (congenital or acquired), or ventricular cardiac arrhythmia, including torsades de pointe</w:t>
            </w:r>
          </w:p>
          <w:p w14:paraId="6337CB9C" w14:textId="7DF8EC89" w:rsidR="007210CD" w:rsidRDefault="007210CD" w:rsidP="00011FBD">
            <w:pPr>
              <w:pStyle w:val="Bulletindent1"/>
            </w:pPr>
            <w:r w:rsidRPr="007210CD">
              <w:t xml:space="preserve">Concomitant use of another medication known to cause QT prolongation (e.g. </w:t>
            </w:r>
            <w:r w:rsidR="00011FBD" w:rsidRPr="00011FBD">
              <w:rPr>
                <w:rFonts w:cs="Arial"/>
                <w:sz w:val="24"/>
                <w:szCs w:val="24"/>
                <w:lang w:eastAsia="en-GB"/>
              </w:rPr>
              <w:t>haloperidol, sotalol, terfenadine, pimozide)</w:t>
            </w:r>
            <w:r w:rsidR="00011FBD">
              <w:rPr>
                <w:rFonts w:cs="Arial"/>
                <w:sz w:val="24"/>
                <w:szCs w:val="24"/>
                <w:lang w:eastAsia="en-GB"/>
              </w:rPr>
              <w:t>. F</w:t>
            </w:r>
            <w:r w:rsidRPr="007210CD">
              <w:t xml:space="preserve">or further information recommended resources include: </w:t>
            </w:r>
            <w:hyperlink r:id="rId38" w:history="1">
              <w:r w:rsidR="00451EB4">
                <w:rPr>
                  <w:rStyle w:val="Hyperlink"/>
                </w:rPr>
                <w:t>CredibleMeds (registration required)</w:t>
              </w:r>
            </w:hyperlink>
            <w:r w:rsidRPr="007210CD">
              <w:t xml:space="preserve">, or </w:t>
            </w:r>
            <w:hyperlink r:id="rId39" w:history="1">
              <w:r w:rsidRPr="007210CD">
                <w:rPr>
                  <w:rStyle w:val="Hyperlink"/>
                </w:rPr>
                <w:t>Sudden arrhythmic death syndrome (SADS) - Drugs to avoid)</w:t>
              </w:r>
            </w:hyperlink>
          </w:p>
          <w:p w14:paraId="7FE63828" w14:textId="279579B5" w:rsidR="007210CD" w:rsidRPr="00793D7D" w:rsidRDefault="007210CD" w:rsidP="00011FBD">
            <w:pPr>
              <w:pStyle w:val="Bulletindent1"/>
            </w:pPr>
            <w:r w:rsidRPr="007210CD">
              <w:t>Known electrolyte disturbances (hypokalaemia or hypomagnesaemia)</w:t>
            </w:r>
          </w:p>
          <w:p w14:paraId="699E462F" w14:textId="77777777" w:rsidR="00793D7D" w:rsidRDefault="00793D7D" w:rsidP="00011FBD">
            <w:pPr>
              <w:pStyle w:val="Bulletindent1"/>
            </w:pPr>
            <w:r w:rsidRPr="00CC1B72">
              <w:t>Known Chron</w:t>
            </w:r>
            <w:r>
              <w:t>ic Kidney Disease (CKD) stages 4 or 5 (eGFR &lt;3</w:t>
            </w:r>
            <w:r w:rsidRPr="00CC1B72">
              <w:t>0ml/min/1.73m²)</w:t>
            </w:r>
          </w:p>
          <w:p w14:paraId="20C298D7" w14:textId="77777777" w:rsidR="007210CD" w:rsidRDefault="007210CD" w:rsidP="00011FBD">
            <w:pPr>
              <w:pStyle w:val="Bulletindent1"/>
            </w:pPr>
            <w:r w:rsidRPr="007210CD">
              <w:t xml:space="preserve">Known or suspected severe liver disease </w:t>
            </w:r>
          </w:p>
          <w:p w14:paraId="0628C311" w14:textId="77777777" w:rsidR="007210CD" w:rsidRDefault="007210CD" w:rsidP="00011FBD">
            <w:pPr>
              <w:pStyle w:val="Bulletindent1"/>
            </w:pPr>
            <w:r w:rsidRPr="007210CD">
              <w:t>Known heart disease (e.g. coronary artery disease, severe cardiac insufficiency, bradycardia &lt; 50 beats per minute)</w:t>
            </w:r>
          </w:p>
          <w:p w14:paraId="28409FF0" w14:textId="3139D728" w:rsidR="007210CD" w:rsidRPr="005273D0" w:rsidRDefault="007210CD" w:rsidP="00011FBD">
            <w:pPr>
              <w:pStyle w:val="Bulletindent1"/>
            </w:pPr>
            <w:r w:rsidRPr="007210CD">
              <w:t>Less than 3 days before receiving, or within 3 days after receiving, oral typhoid vaccine</w:t>
            </w:r>
          </w:p>
          <w:p w14:paraId="242D0FB3" w14:textId="761EC4C2" w:rsidR="00CB4A2B" w:rsidRDefault="00793D7D" w:rsidP="00011FB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0DE44677" w14:textId="60123D78" w:rsidR="00E12123" w:rsidRPr="00EF685C" w:rsidRDefault="00E12123" w:rsidP="00E12123">
            <w:pPr>
              <w:pStyle w:val="Tabletext"/>
            </w:pPr>
            <w:r w:rsidRPr="00267C96">
              <w:rPr>
                <w:b/>
              </w:rPr>
              <w:t>Breastfeeding individuals:</w:t>
            </w:r>
            <w:r w:rsidRPr="00EF685C">
              <w:t xml:space="preserve"> </w:t>
            </w:r>
            <w:r w:rsidR="00451EB4" w:rsidRPr="00451EB4">
              <w:rPr>
                <w:lang w:val="en-GB"/>
              </w:rPr>
              <w:t>Clarithromycin can be used in breastfeeding individuals (</w:t>
            </w:r>
            <w:hyperlink r:id="rId40" w:history="1">
              <w:r w:rsidR="00451EB4">
                <w:rPr>
                  <w:rStyle w:val="Hyperlink"/>
                  <w:lang w:val="en-GB"/>
                </w:rPr>
                <w:t>as per SPS - Using macrolide antibiotics during breastfeeding</w:t>
              </w:r>
            </w:hyperlink>
            <w:r w:rsidR="00451EB4" w:rsidRPr="00451EB4">
              <w:rPr>
                <w:lang w:val="en-GB"/>
              </w:rPr>
              <w:t>): monitor nursing infant for gastro-intestinal disturbances, oral candida infection, rashes, drowsiness, irritability, sweating and loss of appetite</w:t>
            </w:r>
            <w:r w:rsidR="00E67D7A">
              <w:rPr>
                <w:lang w:val="en-GB"/>
              </w:rPr>
              <w:t>.</w:t>
            </w:r>
            <w:r w:rsidRPr="00EF685C">
              <w:t xml:space="preserve">  </w:t>
            </w:r>
          </w:p>
          <w:p w14:paraId="09700D30" w14:textId="77777777" w:rsidR="00E12123" w:rsidRDefault="00E12123" w:rsidP="00E12123">
            <w:pPr>
              <w:pStyle w:val="Tabletext"/>
            </w:pPr>
          </w:p>
          <w:p w14:paraId="2AB6A8A1" w14:textId="77777777" w:rsidR="00E12123" w:rsidRPr="00C16E72" w:rsidRDefault="00E12123" w:rsidP="00E12123">
            <w:pPr>
              <w:pStyle w:val="Tabletext"/>
            </w:pPr>
            <w:r>
              <w:t>*******************************************************************</w:t>
            </w:r>
          </w:p>
          <w:p w14:paraId="2EB771F7" w14:textId="0FB29F24" w:rsidR="00E12123" w:rsidRDefault="001F2113" w:rsidP="001F2113">
            <w:pPr>
              <w:pStyle w:val="Tabletext"/>
            </w:pPr>
            <w:r w:rsidRPr="001F2113">
              <w:t xml:space="preserve">Caution should be exercised when supplying clarithromycin, a strong cytochrome P450 (CYP) 3A4 </w:t>
            </w:r>
            <w:r w:rsidRPr="001F2113">
              <w:lastRenderedPageBreak/>
              <w:t xml:space="preserve">inhibitor to individuals taking the following medicine(s), that are known or suspected </w:t>
            </w:r>
            <w:proofErr w:type="gramStart"/>
            <w:r w:rsidRPr="001F2113">
              <w:t>to be</w:t>
            </w:r>
            <w:proofErr w:type="gramEnd"/>
            <w:r w:rsidRPr="001F2113">
              <w:t xml:space="preserve"> affected by clarithromycin:</w:t>
            </w:r>
          </w:p>
          <w:p w14:paraId="348F5E42" w14:textId="77777777" w:rsidR="00E12123" w:rsidRDefault="00E12123" w:rsidP="00E12123">
            <w:pPr>
              <w:pStyle w:val="TableParagraph"/>
              <w:rPr>
                <w:rFonts w:ascii="Arial" w:hAnsi="Arial" w:cs="Arial"/>
                <w:lang w:val="en-GB"/>
              </w:rPr>
            </w:pPr>
          </w:p>
          <w:p w14:paraId="33067D80" w14:textId="77777777" w:rsidR="001F2113" w:rsidRDefault="001F2113" w:rsidP="001F2113">
            <w:pPr>
              <w:pStyle w:val="Tabletext"/>
              <w:rPr>
                <w:rFonts w:eastAsia="Calibri" w:cs="Arial"/>
                <w:szCs w:val="22"/>
              </w:rPr>
            </w:pPr>
            <w:r w:rsidRPr="001F2113">
              <w:rPr>
                <w:rFonts w:eastAsia="Calibri"/>
                <w:b/>
                <w:bCs/>
              </w:rPr>
              <w:t>Coumarin anticoagulants (e.g. warfarin, acenocoumarol, phenindione):</w:t>
            </w:r>
            <w:r w:rsidRPr="001F2113">
              <w:rPr>
                <w:rFonts w:eastAsia="Calibri"/>
              </w:rPr>
              <w:t xml:space="preserve"> rises in INR reported. Individuals should be advised to have their INR monitored while on treatmen</w:t>
            </w:r>
            <w:r>
              <w:rPr>
                <w:rFonts w:eastAsia="Calibri"/>
              </w:rPr>
              <w:t xml:space="preserve">t with </w:t>
            </w:r>
            <w:r w:rsidRPr="001F2113">
              <w:rPr>
                <w:rFonts w:eastAsia="Calibri" w:cs="Arial"/>
                <w:szCs w:val="22"/>
              </w:rPr>
              <w:t>clarithromycin and should be counselled re: seeking medical attention if any episode of bleeding develops while taking.</w:t>
            </w:r>
          </w:p>
          <w:p w14:paraId="384E486B" w14:textId="77777777" w:rsidR="001F2113" w:rsidRDefault="001F2113" w:rsidP="001F2113">
            <w:pPr>
              <w:pStyle w:val="Tabletext"/>
              <w:rPr>
                <w:rFonts w:eastAsia="Calibri" w:cs="Arial"/>
                <w:szCs w:val="22"/>
              </w:rPr>
            </w:pPr>
          </w:p>
          <w:p w14:paraId="3C9D6A4D" w14:textId="77777777" w:rsidR="001F2113" w:rsidRDefault="001F2113" w:rsidP="001F2113">
            <w:pPr>
              <w:pStyle w:val="Tabletext"/>
              <w:rPr>
                <w:rFonts w:eastAsia="Calibri" w:cs="Arial"/>
                <w:szCs w:val="22"/>
              </w:rPr>
            </w:pPr>
            <w:r w:rsidRPr="001F2113">
              <w:rPr>
                <w:rFonts w:eastAsia="Calibri" w:cs="Arial"/>
                <w:b/>
                <w:bCs/>
                <w:szCs w:val="22"/>
              </w:rPr>
              <w:t>Direct oral anticoagulants (DOACs)</w:t>
            </w:r>
            <w:r w:rsidRPr="001F2113">
              <w:rPr>
                <w:rFonts w:eastAsia="Calibri" w:cs="Arial"/>
                <w:szCs w:val="22"/>
              </w:rPr>
              <w:t xml:space="preserve"> (e.g. apixaban, dabigatran, edoxaban, rivaroxaban) Increased risk of bleeding when given with clarithromycin. Individuals should be advised to seek medical attention if any episode of bleeding develops while taking.</w:t>
            </w:r>
          </w:p>
          <w:p w14:paraId="1A1A279C" w14:textId="77777777" w:rsidR="001F2113" w:rsidRDefault="001F2113" w:rsidP="001F2113">
            <w:pPr>
              <w:pStyle w:val="Tabletext"/>
              <w:rPr>
                <w:rFonts w:eastAsia="Calibri" w:cs="Arial"/>
                <w:szCs w:val="22"/>
              </w:rPr>
            </w:pPr>
          </w:p>
          <w:p w14:paraId="3208C9E5" w14:textId="77777777" w:rsidR="001F2113" w:rsidRDefault="001F2113" w:rsidP="001F2113">
            <w:pPr>
              <w:pStyle w:val="Tabletext"/>
              <w:rPr>
                <w:rFonts w:eastAsia="Calibri" w:cs="Arial"/>
                <w:szCs w:val="22"/>
              </w:rPr>
            </w:pPr>
            <w:r w:rsidRPr="001F2113">
              <w:rPr>
                <w:rFonts w:eastAsia="Calibri" w:cs="Arial"/>
                <w:b/>
                <w:bCs/>
                <w:szCs w:val="22"/>
              </w:rPr>
              <w:t>Statins</w:t>
            </w:r>
            <w:r w:rsidRPr="001F2113">
              <w:rPr>
                <w:rFonts w:eastAsia="Calibri" w:cs="Arial"/>
                <w:szCs w:val="22"/>
              </w:rPr>
              <w:t xml:space="preserve">: simvastatin use is contraindicated with clarithromycin. Counsel individuals taking other statins of the risk of rhabdomyolysis while taking clarithromycin and </w:t>
            </w:r>
            <w:proofErr w:type="gramStart"/>
            <w:r w:rsidRPr="001F2113">
              <w:rPr>
                <w:rFonts w:eastAsia="Calibri" w:cs="Arial"/>
                <w:szCs w:val="22"/>
              </w:rPr>
              <w:t>to seek</w:t>
            </w:r>
            <w:proofErr w:type="gramEnd"/>
            <w:r w:rsidRPr="001F2113">
              <w:rPr>
                <w:rFonts w:eastAsia="Calibri" w:cs="Arial"/>
                <w:szCs w:val="22"/>
              </w:rPr>
              <w:t xml:space="preserve"> medical attention if muscle pain develops. Consider withholding statin while taking clarithromycin to reduce risk of rhabdomyolysis.</w:t>
            </w:r>
          </w:p>
          <w:p w14:paraId="59F9E30C" w14:textId="77777777" w:rsidR="001F2113" w:rsidRDefault="001F2113" w:rsidP="001F2113">
            <w:pPr>
              <w:pStyle w:val="Tabletext"/>
              <w:rPr>
                <w:rFonts w:eastAsia="Calibri" w:cs="Arial"/>
                <w:szCs w:val="22"/>
              </w:rPr>
            </w:pPr>
          </w:p>
          <w:p w14:paraId="336B27CB" w14:textId="77777777" w:rsidR="001F2113" w:rsidRDefault="001F2113" w:rsidP="001F2113">
            <w:pPr>
              <w:pStyle w:val="Tabletext"/>
              <w:rPr>
                <w:rFonts w:eastAsia="Calibri" w:cs="Arial"/>
                <w:szCs w:val="22"/>
              </w:rPr>
            </w:pPr>
            <w:r w:rsidRPr="001F2113">
              <w:rPr>
                <w:rFonts w:eastAsia="Calibri" w:cs="Arial"/>
                <w:b/>
                <w:bCs/>
                <w:szCs w:val="22"/>
              </w:rPr>
              <w:t>Calcium channel blockers</w:t>
            </w:r>
            <w:r w:rsidRPr="001F2113">
              <w:rPr>
                <w:rFonts w:eastAsia="Calibri" w:cs="Arial"/>
                <w:szCs w:val="22"/>
              </w:rPr>
              <w:t xml:space="preserve">: lercanidipine use is contraindicated with clarithromycin. Risk of hypotension (low blood pressure) when taking clarithromycin with amlodipine, diltiazem, felodipine, nifedipine or verapamil. Counsel individuals of the risk and </w:t>
            </w:r>
            <w:proofErr w:type="gramStart"/>
            <w:r w:rsidRPr="001F2113">
              <w:rPr>
                <w:rFonts w:eastAsia="Calibri" w:cs="Arial"/>
                <w:szCs w:val="22"/>
              </w:rPr>
              <w:t>advise to</w:t>
            </w:r>
            <w:proofErr w:type="gramEnd"/>
            <w:r w:rsidRPr="001F2113">
              <w:rPr>
                <w:rFonts w:eastAsia="Calibri" w:cs="Arial"/>
                <w:szCs w:val="22"/>
              </w:rPr>
              <w:t xml:space="preserve"> avoid driving/operating machinery if </w:t>
            </w:r>
            <w:proofErr w:type="gramStart"/>
            <w:r w:rsidRPr="001F2113">
              <w:rPr>
                <w:rFonts w:eastAsia="Calibri" w:cs="Arial"/>
                <w:szCs w:val="22"/>
              </w:rPr>
              <w:t>light headed</w:t>
            </w:r>
            <w:proofErr w:type="gramEnd"/>
            <w:r w:rsidRPr="001F2113">
              <w:rPr>
                <w:rFonts w:eastAsia="Calibri" w:cs="Arial"/>
                <w:szCs w:val="22"/>
              </w:rPr>
              <w:t>/dizzy</w:t>
            </w:r>
          </w:p>
          <w:p w14:paraId="688E065D" w14:textId="77777777" w:rsidR="001F2113" w:rsidRDefault="001F2113" w:rsidP="001F2113">
            <w:pPr>
              <w:pStyle w:val="Tabletext"/>
              <w:rPr>
                <w:rFonts w:eastAsia="Calibri" w:cs="Arial"/>
                <w:szCs w:val="22"/>
              </w:rPr>
            </w:pPr>
          </w:p>
          <w:p w14:paraId="4E35DBBB" w14:textId="77777777" w:rsidR="001F2113" w:rsidRDefault="001F2113" w:rsidP="001F2113">
            <w:pPr>
              <w:pStyle w:val="Tabletext"/>
              <w:rPr>
                <w:rFonts w:eastAsia="Calibri" w:cs="Arial"/>
                <w:szCs w:val="22"/>
              </w:rPr>
            </w:pPr>
            <w:r w:rsidRPr="001F2113">
              <w:rPr>
                <w:rFonts w:eastAsia="Calibri" w:cs="Arial"/>
                <w:b/>
                <w:bCs/>
                <w:szCs w:val="22"/>
              </w:rPr>
              <w:t>Oral hypoglycaemic agents (e.g. sulphonylureas)</w:t>
            </w:r>
            <w:r>
              <w:rPr>
                <w:rFonts w:eastAsia="Calibri" w:cs="Arial"/>
                <w:b/>
                <w:bCs/>
                <w:szCs w:val="22"/>
              </w:rPr>
              <w:t xml:space="preserve"> </w:t>
            </w:r>
            <w:r w:rsidRPr="001F2113">
              <w:rPr>
                <w:rFonts w:eastAsia="Calibri" w:cs="Arial"/>
                <w:b/>
                <w:bCs/>
                <w:szCs w:val="22"/>
              </w:rPr>
              <w:t>/insulin:</w:t>
            </w:r>
            <w:r w:rsidRPr="001F2113">
              <w:rPr>
                <w:rFonts w:eastAsia="Calibri" w:cs="Arial"/>
                <w:szCs w:val="22"/>
              </w:rPr>
              <w:t xml:space="preserve"> Use with clarithromycin can cause low blood glucose levels (hypoglycaemia). Advise individuals to monitor blood glucose levels more regularly while taking</w:t>
            </w:r>
          </w:p>
          <w:p w14:paraId="5EE95510" w14:textId="77777777" w:rsidR="001F2113" w:rsidRDefault="001F2113" w:rsidP="001F2113">
            <w:pPr>
              <w:pStyle w:val="Tabletext"/>
              <w:rPr>
                <w:rFonts w:eastAsia="Calibri" w:cs="Arial"/>
                <w:szCs w:val="22"/>
              </w:rPr>
            </w:pPr>
          </w:p>
          <w:p w14:paraId="4A2D4198" w14:textId="4B3F45BD" w:rsidR="001F2113" w:rsidRDefault="001F2113" w:rsidP="001F2113">
            <w:pPr>
              <w:pStyle w:val="Tabletext"/>
              <w:rPr>
                <w:rFonts w:eastAsia="Calibri" w:cs="Arial"/>
                <w:szCs w:val="22"/>
              </w:rPr>
            </w:pPr>
            <w:r w:rsidRPr="001F2113">
              <w:rPr>
                <w:rFonts w:eastAsia="Calibri" w:cs="Arial"/>
                <w:b/>
                <w:bCs/>
                <w:szCs w:val="22"/>
              </w:rPr>
              <w:t>Digoxin</w:t>
            </w:r>
            <w:r w:rsidRPr="001F2113">
              <w:rPr>
                <w:rFonts w:eastAsia="Calibri" w:cs="Arial"/>
                <w:szCs w:val="22"/>
              </w:rPr>
              <w:t>: Concomitant use with clarithromycin can increase digoxin levels. Advise individuals of symptoms of digoxin toxicity</w:t>
            </w:r>
            <w:r>
              <w:rPr>
                <w:rFonts w:eastAsia="Calibri" w:cs="Arial"/>
                <w:szCs w:val="22"/>
              </w:rPr>
              <w:t xml:space="preserve"> </w:t>
            </w:r>
            <w:hyperlink r:id="rId41" w:history="1">
              <w:r>
                <w:rPr>
                  <w:rStyle w:val="Hyperlink"/>
                  <w:rFonts w:eastAsia="Calibri" w:cs="Arial"/>
                  <w:szCs w:val="22"/>
                </w:rPr>
                <w:t>as detailed on the NHS website  (change in vision e.g. blurred vision, diarrhoea, confusion, dizziness, nausea, vomiting, skin rash</w:t>
              </w:r>
            </w:hyperlink>
            <w:r w:rsidRPr="001F2113">
              <w:rPr>
                <w:rFonts w:eastAsia="Calibri" w:cs="Arial"/>
                <w:szCs w:val="22"/>
              </w:rPr>
              <w:t>) and to seek medical attention if any of these develop.</w:t>
            </w:r>
          </w:p>
          <w:p w14:paraId="7769638A" w14:textId="77777777" w:rsidR="001F2113" w:rsidRDefault="001F2113" w:rsidP="001F2113">
            <w:pPr>
              <w:pStyle w:val="Tabletext"/>
              <w:rPr>
                <w:rFonts w:eastAsia="Calibri" w:cs="Arial"/>
                <w:szCs w:val="22"/>
              </w:rPr>
            </w:pPr>
          </w:p>
          <w:p w14:paraId="0740904D" w14:textId="77777777" w:rsidR="001F2113" w:rsidRDefault="001F2113" w:rsidP="001F2113">
            <w:pPr>
              <w:pStyle w:val="Tabletext"/>
              <w:rPr>
                <w:rFonts w:eastAsia="Calibri" w:cs="Arial"/>
                <w:szCs w:val="22"/>
              </w:rPr>
            </w:pPr>
            <w:r w:rsidRPr="001F2113">
              <w:rPr>
                <w:rFonts w:eastAsia="Calibri" w:cs="Arial"/>
                <w:szCs w:val="22"/>
              </w:rPr>
              <w:t>Caution should be exercised when supplying clarithromycin to individuals taking the following medicine(s):</w:t>
            </w:r>
          </w:p>
          <w:p w14:paraId="66569D4B" w14:textId="77777777" w:rsidR="001F2113" w:rsidRDefault="001F2113" w:rsidP="001F2113">
            <w:pPr>
              <w:pStyle w:val="Tabletext"/>
              <w:rPr>
                <w:rFonts w:eastAsia="Calibri" w:cs="Arial"/>
                <w:szCs w:val="22"/>
              </w:rPr>
            </w:pPr>
          </w:p>
          <w:p w14:paraId="45C0AF55" w14:textId="77777777" w:rsidR="001F2113" w:rsidRDefault="001F2113" w:rsidP="001F2113">
            <w:pPr>
              <w:pStyle w:val="Tabletext"/>
              <w:rPr>
                <w:rFonts w:eastAsia="Calibri" w:cs="Arial"/>
                <w:szCs w:val="22"/>
              </w:rPr>
            </w:pPr>
            <w:r w:rsidRPr="001F2113">
              <w:rPr>
                <w:rFonts w:eastAsia="Calibri" w:cs="Arial"/>
                <w:b/>
                <w:bCs/>
                <w:szCs w:val="22"/>
              </w:rPr>
              <w:lastRenderedPageBreak/>
              <w:t>Medicines known to cause hypokalaemia</w:t>
            </w:r>
            <w:r w:rsidRPr="001F2113">
              <w:rPr>
                <w:rFonts w:eastAsia="Calibri" w:cs="Arial"/>
                <w:szCs w:val="22"/>
              </w:rPr>
              <w:t xml:space="preserve"> (e.g. diuretics, corticosteroids, xanthines): may cause electrolyte disturbances – monitoring may be indicated. Advise individuals to contact their prescriber to discuss need. </w:t>
            </w:r>
          </w:p>
          <w:p w14:paraId="0F4EAC76" w14:textId="77777777" w:rsidR="001F2113" w:rsidRDefault="001F2113" w:rsidP="001F2113">
            <w:pPr>
              <w:pStyle w:val="Tabletext"/>
              <w:rPr>
                <w:rFonts w:eastAsia="Calibri" w:cs="Arial"/>
                <w:szCs w:val="22"/>
              </w:rPr>
            </w:pPr>
          </w:p>
          <w:p w14:paraId="458E069B" w14:textId="2B5B24F7" w:rsidR="001F2113" w:rsidRDefault="001F2113" w:rsidP="001F2113">
            <w:pPr>
              <w:pStyle w:val="Tabletext"/>
              <w:rPr>
                <w:rFonts w:cs="Arial"/>
                <w:lang w:val="en-GB"/>
              </w:rPr>
            </w:pPr>
            <w:r w:rsidRPr="001F2113">
              <w:rPr>
                <w:rFonts w:eastAsia="Calibri" w:cs="Arial"/>
                <w:szCs w:val="22"/>
              </w:rPr>
              <w:t xml:space="preserve">This list is not </w:t>
            </w:r>
            <w:proofErr w:type="gramStart"/>
            <w:r w:rsidRPr="001F2113">
              <w:rPr>
                <w:rFonts w:eastAsia="Calibri" w:cs="Arial"/>
                <w:szCs w:val="22"/>
              </w:rPr>
              <w:t>exhaustive</w:t>
            </w:r>
            <w:proofErr w:type="gramEnd"/>
            <w:r w:rsidRPr="001F2113">
              <w:rPr>
                <w:rFonts w:eastAsia="Calibri" w:cs="Arial"/>
                <w:szCs w:val="22"/>
              </w:rPr>
              <w:t xml:space="preserve"> and a detailed list of drug interactions is available in the SPC, which is available from the </w:t>
            </w:r>
            <w:hyperlink r:id="rId42" w:history="1">
              <w:r>
                <w:rPr>
                  <w:rStyle w:val="Hyperlink"/>
                  <w:rFonts w:eastAsia="Calibri" w:cs="Arial"/>
                  <w:szCs w:val="22"/>
                </w:rPr>
                <w:t>electronic Medicines Compendium website.</w:t>
              </w:r>
            </w:hyperlink>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4E816997" w14:textId="77777777" w:rsidR="009B0699" w:rsidRDefault="009B0699" w:rsidP="00E67D7A">
            <w:pPr>
              <w:pStyle w:val="Tabletext"/>
              <w:rPr>
                <w:rFonts w:eastAsia="Calibri"/>
              </w:rPr>
            </w:pPr>
            <w:r w:rsidRPr="009B0699">
              <w:rPr>
                <w:rFonts w:eastAsia="Calibri"/>
              </w:rPr>
              <w:t>Caution should be exercised when supplying clarithromycin tablets or oral suspension (or oral solution) to individuals who should avoid the following excipients:</w:t>
            </w:r>
          </w:p>
          <w:p w14:paraId="516477CA" w14:textId="4A76E6CF" w:rsidR="00E12123" w:rsidRPr="000B32D0" w:rsidRDefault="00E12123" w:rsidP="00E12123">
            <w:pPr>
              <w:rPr>
                <w:rFonts w:ascii="Arial" w:hAnsi="Arial" w:cs="Arial"/>
                <w:b/>
                <w:sz w:val="22"/>
                <w:szCs w:val="22"/>
              </w:rPr>
            </w:pPr>
            <w:r w:rsidRPr="000B32D0">
              <w:rPr>
                <w:rFonts w:ascii="Arial" w:hAnsi="Arial" w:cs="Arial"/>
                <w:b/>
                <w:sz w:val="22"/>
                <w:szCs w:val="22"/>
              </w:rPr>
              <w:t>Lactose, sucrose, fructose and sorbitol:</w:t>
            </w:r>
          </w:p>
          <w:p w14:paraId="16544F96" w14:textId="497ABEBC" w:rsidR="00E12123" w:rsidRPr="000B32D0" w:rsidRDefault="00E12123" w:rsidP="00E67D7A">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3" w:history="1">
              <w:r w:rsidR="00A16080">
                <w:rPr>
                  <w:rStyle w:val="Hyperlink"/>
                  <w:rFonts w:cs="Arial"/>
                </w:rPr>
                <w:t>SmPC which can be accessed on the EMC website</w:t>
              </w:r>
            </w:hyperlink>
            <w:r w:rsidRPr="000B32D0">
              <w:t xml:space="preserve"> </w:t>
            </w:r>
            <w:r w:rsidRPr="00E67D7A">
              <w:t>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33118A">
            <w:pPr>
              <w:pStyle w:val="Tabletext"/>
            </w:pPr>
            <w:r w:rsidRPr="00186EC7">
              <w:rPr>
                <w:rFonts w:cs="Arial"/>
              </w:rPr>
              <w:t xml:space="preserve">Individuals with </w:t>
            </w:r>
            <w:hyperlink r:id="rId44"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5"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19FA4D21" w14:textId="10E02376" w:rsidR="00D76227" w:rsidRPr="00C42AB1" w:rsidRDefault="00D76227" w:rsidP="00D76227">
            <w:pPr>
              <w:pStyle w:val="Bulletindent1"/>
              <w:rPr>
                <w:color w:val="0000FF"/>
                <w:u w:val="single"/>
              </w:rPr>
            </w:pPr>
            <w:hyperlink r:id="rId46" w:history="1">
              <w:r w:rsidRPr="00D76227">
                <w:rPr>
                  <w:rStyle w:val="Hyperlink"/>
                  <w:rFonts w:cs="Arial"/>
                  <w:bCs/>
                  <w:szCs w:val="22"/>
                </w:rPr>
                <w:t>Provide information on impetigo</w:t>
              </w:r>
              <w:r w:rsidRPr="00D76227">
                <w:rPr>
                  <w:rStyle w:val="Hyperlink"/>
                </w:rPr>
                <w:t xml:space="preserve"> (British Association of Dermatologists patient information leaflet)</w:t>
              </w:r>
            </w:hyperlink>
            <w:r>
              <w:t xml:space="preserve"> </w:t>
            </w:r>
          </w:p>
          <w:p w14:paraId="51254FAC" w14:textId="1836C86D" w:rsidR="00A16080" w:rsidRDefault="00D76227" w:rsidP="00D76227">
            <w:pPr>
              <w:pStyle w:val="Bulletindent1"/>
            </w:pPr>
            <w:hyperlink r:id="rId47" w:history="1">
              <w:r w:rsidRPr="00D76227">
                <w:rPr>
                  <w:rStyle w:val="Hyperlink"/>
                  <w:rFonts w:cs="Arial"/>
                  <w:bCs/>
                  <w:szCs w:val="22"/>
                </w:rPr>
                <w:t>Provide information on impetigo</w:t>
              </w:r>
              <w:r w:rsidRPr="00D76227">
                <w:rPr>
                  <w:rStyle w:val="Hyperlink"/>
                </w:rPr>
                <w:t xml:space="preserve"> </w:t>
              </w:r>
              <w:proofErr w:type="gramStart"/>
              <w:r w:rsidRPr="00D76227">
                <w:rPr>
                  <w:rStyle w:val="Hyperlink"/>
                </w:rPr>
                <w:t>( from</w:t>
              </w:r>
              <w:proofErr w:type="gramEnd"/>
              <w:r w:rsidRPr="00D76227">
                <w:rPr>
                  <w:rStyle w:val="Hyperlink"/>
                </w:rPr>
                <w:t xml:space="preserve">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956C18B" w14:textId="237E1F88" w:rsidR="00D76227" w:rsidRPr="00D76227" w:rsidRDefault="00D76227" w:rsidP="00D76227">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48"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504BB1B5" w14:textId="77777777" w:rsidR="00D76227" w:rsidRPr="00D76227" w:rsidRDefault="00D76227" w:rsidP="00D76227">
            <w:pPr>
              <w:pStyle w:val="Bulletindent1"/>
              <w:rPr>
                <w:rFonts w:eastAsia="Calibri"/>
              </w:rPr>
            </w:pPr>
            <w:r w:rsidRPr="00D76227">
              <w:rPr>
                <w:rFonts w:eastAsia="Calibri"/>
                <w:lang w:val="en-US"/>
              </w:rPr>
              <w:t>Advise individual/carer/parent guardian to seek medical advice if:</w:t>
            </w:r>
          </w:p>
          <w:p w14:paraId="02ED6026" w14:textId="77777777" w:rsidR="00D76227" w:rsidRPr="00D76227" w:rsidRDefault="00D76227" w:rsidP="00D76227">
            <w:pPr>
              <w:pStyle w:val="Bulletindent1"/>
              <w:numPr>
                <w:ilvl w:val="1"/>
                <w:numId w:val="15"/>
              </w:numPr>
              <w:rPr>
                <w:rFonts w:eastAsia="Calibri"/>
              </w:rPr>
            </w:pPr>
            <w:r w:rsidRPr="00D76227">
              <w:rPr>
                <w:rFonts w:eastAsia="Calibri"/>
                <w:lang w:val="en-US"/>
              </w:rPr>
              <w:lastRenderedPageBreak/>
              <w:t xml:space="preserve">Symptoms worsen rapidly or  </w:t>
            </w:r>
          </w:p>
          <w:p w14:paraId="678E3ACA" w14:textId="77777777" w:rsidR="00D76227" w:rsidRPr="00D76227" w:rsidRDefault="00D76227" w:rsidP="00D76227">
            <w:pPr>
              <w:pStyle w:val="Bulletindent1"/>
              <w:numPr>
                <w:ilvl w:val="1"/>
                <w:numId w:val="15"/>
              </w:numPr>
              <w:rPr>
                <w:rFonts w:eastAsia="Calibri"/>
                <w:b/>
              </w:rPr>
            </w:pPr>
            <w:r w:rsidRPr="00D76227">
              <w:rPr>
                <w:rFonts w:eastAsia="Calibri"/>
              </w:rPr>
              <w:t xml:space="preserve">Symptoms worsen significantly </w:t>
            </w:r>
          </w:p>
          <w:p w14:paraId="009A8B26" w14:textId="77777777" w:rsidR="00D76227" w:rsidRDefault="00D76227" w:rsidP="007F1BF9">
            <w:pPr>
              <w:pStyle w:val="Tabletext"/>
              <w:rPr>
                <w:b/>
                <w:bCs/>
              </w:rPr>
            </w:pPr>
          </w:p>
          <w:p w14:paraId="549607B7" w14:textId="77777777" w:rsidR="00D76227" w:rsidRDefault="00D76227" w:rsidP="00D76227">
            <w:pPr>
              <w:pStyle w:val="Tabletext"/>
              <w:rPr>
                <w:b/>
                <w:bCs/>
                <w:lang w:val="en-GB"/>
              </w:rPr>
            </w:pPr>
            <w:r w:rsidRPr="00D76227">
              <w:rPr>
                <w:b/>
                <w:bCs/>
                <w:lang w:val="en-GB"/>
              </w:rPr>
              <w:t>Refer to a local health protection team (or a consultant in Communicable Disease Control) for further assessment if:</w:t>
            </w:r>
          </w:p>
          <w:p w14:paraId="4DF2DC19" w14:textId="77777777" w:rsidR="00D76227" w:rsidRDefault="00D76227" w:rsidP="00D76227">
            <w:pPr>
              <w:pStyle w:val="Bulletindent1"/>
            </w:pPr>
            <w:r>
              <w:t>Suspect a significant local outbreak (e.g. in a nursing home, crèche, school etc.)</w:t>
            </w:r>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79C3A9A2" w14:textId="77777777" w:rsidR="00D76227" w:rsidRDefault="00D76227" w:rsidP="00D76227">
            <w:pPr>
              <w:pStyle w:val="Bulletindent1"/>
            </w:pPr>
            <w:r>
              <w:t>B</w:t>
            </w:r>
            <w:r w:rsidRPr="00F30584">
              <w:t>ullous impetigo (characterised by flaccid fluid-filled vesicles and blisters (often with a diam</w:t>
            </w:r>
            <w:r>
              <w:t>eter of 1-2cm) which can persis</w:t>
            </w:r>
            <w:r w:rsidRPr="00F30584">
              <w:t>t for 2-3 days. Lesions rupture, leaving a thin, flat, yellow-brown crust)</w:t>
            </w:r>
          </w:p>
          <w:p w14:paraId="5DC07D6F" w14:textId="20E34A50" w:rsidR="00A16080" w:rsidRDefault="00A16080" w:rsidP="00D76227">
            <w:pPr>
              <w:pStyle w:val="Bulletindent1"/>
            </w:pPr>
            <w:r w:rsidRPr="00A16080">
              <w:t>Systemically unwell, but not showing signs or symptoms of sepsis</w:t>
            </w:r>
          </w:p>
          <w:p w14:paraId="70DAEF93" w14:textId="77777777" w:rsidR="00D76227" w:rsidRPr="003701B1" w:rsidRDefault="00D76227" w:rsidP="00D76227">
            <w:pPr>
              <w:pStyle w:val="Bulletindent1"/>
            </w:pPr>
            <w:r>
              <w:t>Individuals c</w:t>
            </w:r>
            <w:r w:rsidRPr="003701B1">
              <w:t xml:space="preserve">onsidered to be clinically at high risk of complications (e.g. </w:t>
            </w:r>
            <w:r>
              <w:t xml:space="preserve">severely immunosuppressed or </w:t>
            </w:r>
            <w:r w:rsidRPr="003701B1">
              <w:t>immunosuppressed</w:t>
            </w:r>
            <w:r>
              <w:t xml:space="preserve"> and infection is localised</w:t>
            </w:r>
            <w:r w:rsidRPr="003701B1">
              <w:t>)</w:t>
            </w:r>
          </w:p>
          <w:p w14:paraId="1A25CE9E" w14:textId="77777777" w:rsidR="00D76227" w:rsidRPr="003701B1" w:rsidRDefault="00D76227" w:rsidP="00D76227">
            <w:pPr>
              <w:pStyle w:val="Bulletindent1"/>
            </w:pPr>
            <w:r>
              <w:t>R</w:t>
            </w:r>
            <w:r w:rsidRPr="003701B1">
              <w:t xml:space="preserve">ecurrent impetigo </w:t>
            </w:r>
            <w:r w:rsidRPr="003701B1">
              <w:rPr>
                <w:rFonts w:eastAsia="Arial"/>
                <w:lang w:bidi="en-GB"/>
              </w:rPr>
              <w:t>(defined as 2 or more episodes in the same year)</w:t>
            </w:r>
          </w:p>
          <w:p w14:paraId="35A385C6" w14:textId="6F709875" w:rsidR="007F1BF9" w:rsidRPr="00D76227" w:rsidRDefault="007F1BF9" w:rsidP="00D76227">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 xml:space="preserve">indicated/permitted but </w:t>
            </w:r>
            <w:r w:rsidR="00D76227" w:rsidRPr="00D56E2C">
              <w:rPr>
                <w:rFonts w:cs="Arial"/>
                <w:szCs w:val="22"/>
              </w:rPr>
              <w:t xml:space="preserve">dermatological symptoms </w:t>
            </w:r>
            <w:r w:rsidRPr="007F1BF9">
              <w:rPr>
                <w:lang w:eastAsia="en-GB"/>
              </w:rPr>
              <w:t>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76270E6A" w14:textId="77777777" w:rsidR="00D76227" w:rsidRPr="003701B1" w:rsidRDefault="00D76227" w:rsidP="00D76227">
            <w:pPr>
              <w:pStyle w:val="Bulletindent1"/>
            </w:pPr>
            <w:r>
              <w:t xml:space="preserve">Individual is severely immunosuppressed </w:t>
            </w:r>
            <w:proofErr w:type="gramStart"/>
            <w:r>
              <w:t>or  i</w:t>
            </w:r>
            <w:r w:rsidRPr="004D22EE">
              <w:t>mmuno</w:t>
            </w:r>
            <w:r>
              <w:t>suppressed</w:t>
            </w:r>
            <w:proofErr w:type="gramEnd"/>
            <w:r>
              <w:t xml:space="preserve"> and infection is </w:t>
            </w:r>
            <w:r w:rsidRPr="003701B1">
              <w:t>widespread</w:t>
            </w:r>
          </w:p>
          <w:p w14:paraId="5360EF1E" w14:textId="23B1A004" w:rsidR="00D76227" w:rsidRPr="003701B1" w:rsidRDefault="00D76227" w:rsidP="00D76227">
            <w:pPr>
              <w:pStyle w:val="Bulletindent1"/>
            </w:pPr>
            <w:r>
              <w:rPr>
                <w:rFonts w:eastAsia="Arial"/>
                <w:lang w:bidi="en-GB"/>
              </w:rPr>
              <w:t>S</w:t>
            </w:r>
            <w:r w:rsidRPr="003701B1">
              <w:rPr>
                <w:rFonts w:eastAsia="Arial"/>
                <w:lang w:bidi="en-GB"/>
              </w:rPr>
              <w:t>igns/symptoms of a more</w:t>
            </w:r>
            <w:r>
              <w:rPr>
                <w:rFonts w:eastAsia="Arial"/>
                <w:lang w:bidi="en-GB"/>
              </w:rPr>
              <w:t xml:space="preserve"> serious condition/illness (e.g.</w:t>
            </w:r>
            <w:r w:rsidRPr="003701B1">
              <w:rPr>
                <w:rFonts w:eastAsia="Arial"/>
                <w:lang w:bidi="en-GB"/>
              </w:rPr>
              <w:t xml:space="preserve"> swelling, large blisters, pain, pus or</w:t>
            </w:r>
            <w:r>
              <w:rPr>
                <w:rFonts w:eastAsia="Arial"/>
                <w:lang w:bidi="en-GB"/>
              </w:rPr>
              <w:t xml:space="preserve"> spreading</w:t>
            </w:r>
            <w:r w:rsidRPr="003701B1">
              <w:rPr>
                <w:rFonts w:eastAsia="Arial"/>
                <w:lang w:bidi="en-GB"/>
              </w:rPr>
              <w:t xml:space="preserve"> redness) are present and </w:t>
            </w:r>
            <w:hyperlink r:id="rId49" w:history="1">
              <w:r>
                <w:rPr>
                  <w:rStyle w:val="Hyperlink"/>
                  <w:rFonts w:cs="Arial"/>
                </w:rPr>
                <w:t>complications of impetigo as described in NICE CKS - impetigo</w:t>
              </w:r>
            </w:hyperlink>
            <w:r>
              <w:t xml:space="preserve"> (e.g. cellulitis, Staphylococ</w:t>
            </w:r>
            <w:r w:rsidRPr="003701B1">
              <w:t>cal scalded skin syndrome, or other deep soft tissue infection) are suspected.</w:t>
            </w: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lastRenderedPageBreak/>
              <w:t>Document advice given</w:t>
            </w:r>
          </w:p>
          <w:p w14:paraId="54841819" w14:textId="6BC90A73" w:rsidR="00C3283F" w:rsidRDefault="00A16080" w:rsidP="00E12123">
            <w:pPr>
              <w:pStyle w:val="Bulletindent1"/>
            </w:pPr>
            <w:r w:rsidRPr="00A16080">
              <w:t xml:space="preserve">Provide safety netting advice and advise individual/carer/parent/guardian of alternative </w:t>
            </w:r>
            <w:r w:rsidRPr="00A16080">
              <w:lastRenderedPageBreak/>
              <w:t xml:space="preserve">treatment available using </w:t>
            </w:r>
            <w:hyperlink r:id="rId50" w:history="1">
              <w:r w:rsidR="0070537E" w:rsidRPr="0070537E">
                <w:rPr>
                  <w:rStyle w:val="Hyperlink"/>
                </w:rPr>
                <w:t xml:space="preserve"> information on impetigo </w:t>
              </w:r>
              <w:proofErr w:type="gramStart"/>
              <w:r w:rsidR="0070537E" w:rsidRPr="0070537E">
                <w:rPr>
                  <w:rStyle w:val="Hyperlink"/>
                </w:rPr>
                <w:t>( from</w:t>
              </w:r>
              <w:proofErr w:type="gramEnd"/>
              <w:r w:rsidR="0070537E" w:rsidRPr="0070537E">
                <w:rPr>
                  <w:rStyle w:val="Hyperlink"/>
                </w:rPr>
                <w:t xml:space="preserve">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D487FF2" w14:textId="524B32EF" w:rsidR="00A16080" w:rsidRPr="00A16080" w:rsidRDefault="00A16080" w:rsidP="00A16080">
            <w:pPr>
              <w:rPr>
                <w:rStyle w:val="TableHeaderColumn"/>
                <w:sz w:val="22"/>
                <w:szCs w:val="22"/>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p w14:paraId="56C04ED7" w14:textId="77777777" w:rsidR="00A16080" w:rsidRPr="00A16080" w:rsidRDefault="00A16080" w:rsidP="00A16080">
            <w:pPr>
              <w:rPr>
                <w:rFonts w:ascii="Arial" w:hAnsi="Arial"/>
                <w:b/>
                <w:bCs/>
              </w:rPr>
            </w:pP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163E2623" w14:textId="77777777" w:rsidR="00C3283F" w:rsidRDefault="00C3283F" w:rsidP="00BA5AC3">
            <w:pPr>
              <w:pStyle w:val="Tabletext"/>
              <w:rPr>
                <w:lang w:val="en-GB"/>
              </w:rPr>
            </w:pPr>
            <w:r w:rsidRPr="00C3283F">
              <w:rPr>
                <w:lang w:val="en-GB"/>
              </w:rPr>
              <w:t>Clarithromycin 250mg tablets</w:t>
            </w:r>
          </w:p>
          <w:p w14:paraId="2AE9B5DF" w14:textId="77777777" w:rsidR="00C3283F" w:rsidRDefault="00C3283F" w:rsidP="00BA5AC3">
            <w:pPr>
              <w:pStyle w:val="Tabletext"/>
              <w:rPr>
                <w:lang w:val="en-GB"/>
              </w:rPr>
            </w:pPr>
            <w:r w:rsidRPr="00C3283F">
              <w:rPr>
                <w:lang w:val="en-GB"/>
              </w:rPr>
              <w:t>Clarithromycin 125mg/5mL oral suspension (or oral solution) x 70mL</w:t>
            </w:r>
          </w:p>
          <w:p w14:paraId="2B104BB5" w14:textId="62F2F404" w:rsidR="00BA5AC3" w:rsidRPr="0012506B" w:rsidRDefault="00C3283F" w:rsidP="00BA5AC3">
            <w:pPr>
              <w:pStyle w:val="Tabletext"/>
            </w:pPr>
            <w:r w:rsidRPr="00C3283F">
              <w:rPr>
                <w:lang w:val="en-GB"/>
              </w:rPr>
              <w:t>Clarithromycin 250mg/5mL oral suspension (or oral solution) x 70mL</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787625">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27E75F7E" w14:textId="77777777" w:rsidR="0070537E" w:rsidRPr="0070537E" w:rsidRDefault="0070537E" w:rsidP="0070537E">
            <w:pPr>
              <w:pStyle w:val="Tabletext"/>
              <w:rPr>
                <w:iCs/>
                <w:lang w:val="en-GB"/>
              </w:rPr>
            </w:pPr>
            <w:r w:rsidRPr="0070537E">
              <w:rPr>
                <w:iCs/>
                <w:lang w:val="en-GB"/>
              </w:rPr>
              <w:t>Orally, tablets swallowed whole with water (taken with or without food).</w:t>
            </w:r>
          </w:p>
          <w:p w14:paraId="04517ADA" w14:textId="765DF653" w:rsidR="004A295D" w:rsidRPr="00C3283F" w:rsidRDefault="00C3283F" w:rsidP="00C3283F">
            <w:pPr>
              <w:pStyle w:val="Tabletext"/>
            </w:pPr>
            <w:r w:rsidRPr="00C3283F">
              <w:t>Note: Clarithromycin oral suspension (or oral solution) can cause a bitter after-taste. This can be avoided by drinking juice or water soon after intake of the oral suspension (or oral solution).</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0CAECCF3" w14:textId="586FEE71"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4D948DA3" w14:textId="77777777" w:rsidR="00BD3700" w:rsidRDefault="00BD3700" w:rsidP="005A6885">
            <w:pPr>
              <w:pStyle w:val="Tabletext"/>
              <w:rPr>
                <w:lang w:val="en-GB"/>
              </w:rPr>
            </w:pPr>
            <w:r w:rsidRPr="00BD3700">
              <w:rPr>
                <w:b/>
                <w:bCs/>
                <w:lang w:val="en-GB"/>
              </w:rPr>
              <w:t>Manipulating solid dosage forms</w:t>
            </w:r>
            <w:r w:rsidRPr="00BD3700">
              <w:rPr>
                <w:lang w:val="en-GB"/>
              </w:rPr>
              <w:t xml:space="preserve"> </w:t>
            </w:r>
          </w:p>
          <w:p w14:paraId="4A523A13" w14:textId="77777777" w:rsidR="00BD3700" w:rsidRDefault="00BD3700" w:rsidP="005A6885">
            <w:pPr>
              <w:pStyle w:val="Tabletext"/>
              <w:rPr>
                <w:lang w:val="en-GB"/>
              </w:rPr>
            </w:pPr>
            <w:r w:rsidRPr="00BD3700">
              <w:rPr>
                <w:lang w:val="en-GB"/>
              </w:rPr>
              <w:t xml:space="preserve">In the event of an individual being unable to swallow solid oral dosage formulations, and alternate liquid formulations not being readily available provide advice on how to give doses by crushing or dispersing tablets. Use in this way may be outside the product licence and is thus </w:t>
            </w:r>
            <w:proofErr w:type="gramStart"/>
            <w:r w:rsidRPr="00BD3700">
              <w:rPr>
                <w:lang w:val="en-GB"/>
              </w:rPr>
              <w:t>off-label</w:t>
            </w:r>
            <w:proofErr w:type="gramEnd"/>
            <w:r w:rsidRPr="00BD3700">
              <w:rPr>
                <w:lang w:val="en-GB"/>
              </w:rPr>
              <w:t>.</w:t>
            </w:r>
          </w:p>
          <w:p w14:paraId="193902BB" w14:textId="77777777" w:rsidR="00BD3700" w:rsidRDefault="00BD3700" w:rsidP="005A6885">
            <w:pPr>
              <w:pStyle w:val="Tabletext"/>
              <w:rPr>
                <w:lang w:val="en-GB"/>
              </w:rPr>
            </w:pPr>
            <w:r w:rsidRPr="00BD3700">
              <w:rPr>
                <w:b/>
                <w:bCs/>
                <w:lang w:val="en-GB"/>
              </w:rPr>
              <w:t>Dispersing or crushing</w:t>
            </w:r>
            <w:r w:rsidRPr="00BD3700">
              <w:rPr>
                <w:lang w:val="en-GB"/>
              </w:rPr>
              <w:t xml:space="preserve"> </w:t>
            </w:r>
          </w:p>
          <w:p w14:paraId="689FBD89" w14:textId="77777777" w:rsidR="00BD3700" w:rsidRDefault="00BD3700" w:rsidP="005A6885">
            <w:pPr>
              <w:pStyle w:val="Tabletext"/>
              <w:rPr>
                <w:lang w:val="en-GB"/>
              </w:rPr>
            </w:pPr>
            <w:r w:rsidRPr="00BD3700">
              <w:rPr>
                <w:lang w:val="en-GB"/>
              </w:rPr>
              <w:t xml:space="preserve">Clarithromycin tablets are film-coated and can be crushed and mixed with liquid or soft food. Crushing tablets </w:t>
            </w:r>
            <w:r w:rsidRPr="00BD3700">
              <w:rPr>
                <w:b/>
                <w:bCs/>
                <w:lang w:val="en-GB"/>
              </w:rPr>
              <w:t>should not</w:t>
            </w:r>
            <w:r w:rsidRPr="00BD3700">
              <w:rPr>
                <w:lang w:val="en-GB"/>
              </w:rPr>
              <w:t xml:space="preserve"> be undertaken by anyone with, or in the vicinity of someone with a macrolide allergy.</w:t>
            </w:r>
          </w:p>
          <w:p w14:paraId="252334D7" w14:textId="77777777" w:rsidR="00BD3700" w:rsidRDefault="00BD3700" w:rsidP="005A6885">
            <w:pPr>
              <w:pStyle w:val="Tabletext"/>
              <w:rPr>
                <w:lang w:val="en-GB"/>
              </w:rPr>
            </w:pPr>
            <w:r w:rsidRPr="00BD3700">
              <w:rPr>
                <w:b/>
                <w:bCs/>
                <w:lang w:val="en-GB"/>
              </w:rPr>
              <w:t>Dispersing tablets</w:t>
            </w:r>
          </w:p>
          <w:p w14:paraId="0F73ACA8" w14:textId="77777777" w:rsidR="00BD3700" w:rsidRDefault="00BD3700" w:rsidP="005A6885">
            <w:pPr>
              <w:pStyle w:val="Tabletext"/>
              <w:rPr>
                <w:lang w:val="en-GB"/>
              </w:rPr>
            </w:pPr>
            <w:r w:rsidRPr="00BD3700">
              <w:rPr>
                <w:lang w:val="en-GB"/>
              </w:rPr>
              <w:t>To disperse the tablet:</w:t>
            </w:r>
          </w:p>
          <w:p w14:paraId="19DC791E" w14:textId="77777777" w:rsidR="00BD3700" w:rsidRDefault="00BD3700" w:rsidP="00BD3700">
            <w:pPr>
              <w:pStyle w:val="Bulletindent1"/>
            </w:pPr>
            <w:r>
              <w:t>P</w:t>
            </w:r>
            <w:r w:rsidRPr="00BD3700">
              <w:t>lace the tablet in the barrel of a 10mL oral syringe</w:t>
            </w:r>
          </w:p>
          <w:p w14:paraId="03B84E25" w14:textId="77777777" w:rsidR="00BD3700" w:rsidRDefault="00BD3700" w:rsidP="00BD3700">
            <w:pPr>
              <w:pStyle w:val="Bulletindent1"/>
            </w:pPr>
            <w:r w:rsidRPr="00BD3700">
              <w:t>Replace the plunger</w:t>
            </w:r>
          </w:p>
          <w:p w14:paraId="5144F9A6" w14:textId="77777777" w:rsidR="00BD3700" w:rsidRDefault="00BD3700" w:rsidP="00BD3700">
            <w:pPr>
              <w:pStyle w:val="Bulletindent1"/>
            </w:pPr>
            <w:r w:rsidRPr="00BD3700">
              <w:t>Draw up approximately 5mL of water and 2mL of air</w:t>
            </w:r>
          </w:p>
          <w:p w14:paraId="7DA0CBD0" w14:textId="77777777" w:rsidR="00BD3700" w:rsidRDefault="00BD3700" w:rsidP="00BD3700">
            <w:pPr>
              <w:pStyle w:val="Bulletindent1"/>
            </w:pPr>
            <w:r w:rsidRPr="00BD3700">
              <w:t>Shake well and allow to disperse (this may take up to 10 minutes)</w:t>
            </w:r>
          </w:p>
          <w:p w14:paraId="551E0550" w14:textId="77777777" w:rsidR="00BD3700" w:rsidRDefault="00BD3700" w:rsidP="00BD3700">
            <w:pPr>
              <w:pStyle w:val="Bulletindent1"/>
            </w:pPr>
            <w:r w:rsidRPr="00BD3700">
              <w:t>Ensure all contents of the oral syringe are given in the mouth</w:t>
            </w:r>
          </w:p>
          <w:p w14:paraId="4AB603F4" w14:textId="77777777" w:rsidR="00BD3700" w:rsidRDefault="00BD3700" w:rsidP="00BD3700">
            <w:pPr>
              <w:pStyle w:val="Tabletext"/>
            </w:pPr>
            <w:r w:rsidRPr="00BD3700">
              <w:t xml:space="preserve"> Alternatively, the tablet may be mixed with 5 to 10mL of water in small glass or medicine cup and stirred well.</w:t>
            </w:r>
          </w:p>
          <w:p w14:paraId="0D3C88F0" w14:textId="77777777" w:rsidR="00BD3700" w:rsidRDefault="00BD3700" w:rsidP="00BD3700">
            <w:pPr>
              <w:pStyle w:val="Tabletext"/>
            </w:pPr>
            <w:r w:rsidRPr="00BD3700">
              <w:rPr>
                <w:b/>
                <w:bCs/>
              </w:rPr>
              <w:t>Masking the taste</w:t>
            </w:r>
            <w:r w:rsidRPr="00BD3700">
              <w:t xml:space="preserve"> </w:t>
            </w:r>
          </w:p>
          <w:p w14:paraId="418BDA9A" w14:textId="77777777" w:rsidR="00BD3700" w:rsidRDefault="00BD3700" w:rsidP="00BD3700">
            <w:pPr>
              <w:pStyle w:val="Tabletext"/>
            </w:pPr>
            <w:r w:rsidRPr="00BD3700">
              <w:t>The crushed tablet will taste bitter so it can be helpful to use a strongly flavoured drink (e.g. blackcurrant cordial) or food (e.g. jam, apple sauce, yoghurt) that the individual likes:</w:t>
            </w:r>
          </w:p>
          <w:p w14:paraId="4BB13C53" w14:textId="77777777" w:rsidR="00BD3700" w:rsidRDefault="00BD3700" w:rsidP="00BD3700">
            <w:pPr>
              <w:pStyle w:val="Bulletindent1"/>
            </w:pPr>
            <w:r w:rsidRPr="00BD3700">
              <w:t>Use a small amount of food or drink (e.g. a teaspoonful) so you can be sure the individual eats it all and swallows the whole dose</w:t>
            </w:r>
          </w:p>
          <w:p w14:paraId="03A51400" w14:textId="77777777" w:rsidR="00BD3700" w:rsidRDefault="00BD3700" w:rsidP="00BD3700">
            <w:pPr>
              <w:pStyle w:val="Bulletindent1"/>
            </w:pPr>
            <w:r w:rsidRPr="00BD3700">
              <w:lastRenderedPageBreak/>
              <w:t>It might be helpful to use an oral syringe for liquids</w:t>
            </w:r>
          </w:p>
          <w:p w14:paraId="3F7C931D" w14:textId="1FEA8961" w:rsidR="00A16080" w:rsidRPr="005A6885" w:rsidRDefault="00BD3700" w:rsidP="00BD3700">
            <w:pPr>
              <w:pStyle w:val="Bulletindent1"/>
            </w:pPr>
            <w:r w:rsidRPr="00BD3700">
              <w:t>After mixing the crushed tablet with food or drink, give it straight away.</w:t>
            </w: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4A6D96" w14:textId="77777777" w:rsidR="0070537E" w:rsidRPr="0070537E" w:rsidRDefault="0070537E" w:rsidP="0070537E">
            <w:pPr>
              <w:pStyle w:val="Tabletext"/>
              <w:rPr>
                <w:b/>
                <w:bCs/>
              </w:rPr>
            </w:pPr>
            <w:r w:rsidRPr="0070537E">
              <w:rPr>
                <w:b/>
                <w:bCs/>
              </w:rPr>
              <w:t>Children 1–11 years:</w:t>
            </w:r>
          </w:p>
          <w:p w14:paraId="2E5B05C2" w14:textId="77777777" w:rsidR="0070537E" w:rsidRPr="0070537E" w:rsidRDefault="0070537E" w:rsidP="0070537E">
            <w:pPr>
              <w:pStyle w:val="Tabletext"/>
            </w:pPr>
            <w:proofErr w:type="gramStart"/>
            <w:r w:rsidRPr="0070537E">
              <w:t>Body-weight</w:t>
            </w:r>
            <w:proofErr w:type="gramEnd"/>
            <w:r w:rsidRPr="0070537E">
              <w:t>:</w:t>
            </w:r>
          </w:p>
          <w:p w14:paraId="74F8BD63" w14:textId="77777777" w:rsidR="0070537E" w:rsidRPr="0070537E" w:rsidRDefault="0070537E" w:rsidP="0070537E">
            <w:pPr>
              <w:pStyle w:val="Bulletindent1"/>
            </w:pPr>
            <w:r w:rsidRPr="0070537E">
              <w:t>up to 8 kg: 7.5 mg/kg twice daily (every 12 hours)</w:t>
            </w:r>
          </w:p>
          <w:p w14:paraId="05867DF9" w14:textId="77777777" w:rsidR="0070537E" w:rsidRPr="0070537E" w:rsidRDefault="0070537E" w:rsidP="0070537E">
            <w:pPr>
              <w:pStyle w:val="Bulletindent1"/>
            </w:pPr>
            <w:r w:rsidRPr="0070537E">
              <w:t>8–11 kg: 62.5 mg twice daily (every 12 hours)</w:t>
            </w:r>
          </w:p>
          <w:p w14:paraId="139B6871" w14:textId="77777777" w:rsidR="0070537E" w:rsidRPr="0070537E" w:rsidRDefault="0070537E" w:rsidP="0070537E">
            <w:pPr>
              <w:pStyle w:val="Bulletindent1"/>
            </w:pPr>
            <w:r w:rsidRPr="0070537E">
              <w:t>12–19 kg: 125 mg twice daily (every 12 hours)</w:t>
            </w:r>
          </w:p>
          <w:p w14:paraId="4C026641" w14:textId="77777777" w:rsidR="0070537E" w:rsidRPr="0070537E" w:rsidRDefault="0070537E" w:rsidP="0070537E">
            <w:pPr>
              <w:pStyle w:val="Bulletindent1"/>
            </w:pPr>
            <w:r w:rsidRPr="0070537E">
              <w:t>20–29 kg: 187.5 mg twice daily (every 12 hours)</w:t>
            </w:r>
          </w:p>
          <w:p w14:paraId="1319B617" w14:textId="77777777" w:rsidR="0070537E" w:rsidRPr="0070537E" w:rsidRDefault="0070537E" w:rsidP="0070537E">
            <w:pPr>
              <w:pStyle w:val="Bulletindent1"/>
            </w:pPr>
            <w:r w:rsidRPr="0070537E">
              <w:t>30–40 kg: 250 mg twice daily (every 12 hours)</w:t>
            </w:r>
          </w:p>
          <w:p w14:paraId="007332D2" w14:textId="77777777" w:rsidR="0070537E" w:rsidRDefault="0070537E" w:rsidP="00A16080">
            <w:pPr>
              <w:pStyle w:val="Tabletext"/>
              <w:rPr>
                <w:b/>
                <w:bCs/>
                <w:lang w:val="en-GB"/>
              </w:rPr>
            </w:pPr>
          </w:p>
          <w:p w14:paraId="5CE8A13E" w14:textId="27ABAF5C"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069249D2" w:rsidR="0012506B" w:rsidRDefault="0070537E" w:rsidP="00A16080">
            <w:pPr>
              <w:pStyle w:val="Tabletext"/>
            </w:pPr>
            <w:r>
              <w:rPr>
                <w:lang w:val="en-GB"/>
              </w:rPr>
              <w:t>250</w:t>
            </w:r>
            <w:r w:rsidR="00BD3700" w:rsidRPr="00BD3700">
              <w:rPr>
                <w:lang w:val="en-GB"/>
              </w:rPr>
              <w:t>mg twice daily (every 12 hours)</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2BBBD7D2" w14:textId="77777777" w:rsidR="000A6E15" w:rsidRPr="000A6E15" w:rsidRDefault="000A6E15" w:rsidP="000A6E15">
            <w:p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
                <w:bCs/>
                <w:color w:val="0E0E0E"/>
                <w:kern w:val="0"/>
                <w:sz w:val="22"/>
                <w:szCs w:val="22"/>
                <w:lang w:eastAsia="en-GB"/>
                <w14:ligatures w14:val="none"/>
              </w:rPr>
              <w:t>Children 1–11 years:</w:t>
            </w:r>
          </w:p>
          <w:p w14:paraId="60535274" w14:textId="77777777" w:rsidR="000A6E15" w:rsidRPr="000A6E15" w:rsidRDefault="000A6E15" w:rsidP="000A6E15">
            <w:pPr>
              <w:shd w:val="clear" w:color="auto" w:fill="FFFFFF"/>
              <w:spacing w:after="0" w:line="240" w:lineRule="auto"/>
              <w:rPr>
                <w:rFonts w:ascii="Arial" w:eastAsia="Times New Roman" w:hAnsi="Arial" w:cs="Arial"/>
                <w:bCs/>
                <w:color w:val="0E0E0E"/>
                <w:kern w:val="0"/>
                <w:sz w:val="22"/>
                <w:szCs w:val="22"/>
                <w:lang w:eastAsia="en-GB"/>
                <w14:ligatures w14:val="none"/>
              </w:rPr>
            </w:pPr>
            <w:proofErr w:type="gramStart"/>
            <w:r w:rsidRPr="000A6E15">
              <w:rPr>
                <w:rFonts w:ascii="Arial" w:eastAsia="Times New Roman" w:hAnsi="Arial" w:cs="Arial"/>
                <w:bCs/>
                <w:color w:val="0E0E0E"/>
                <w:kern w:val="0"/>
                <w:sz w:val="22"/>
                <w:szCs w:val="22"/>
                <w:lang w:eastAsia="en-GB"/>
                <w14:ligatures w14:val="none"/>
              </w:rPr>
              <w:t>Body-weight</w:t>
            </w:r>
            <w:proofErr w:type="gramEnd"/>
            <w:r w:rsidRPr="000A6E15">
              <w:rPr>
                <w:rFonts w:ascii="Arial" w:eastAsia="Times New Roman" w:hAnsi="Arial" w:cs="Arial"/>
                <w:bCs/>
                <w:color w:val="0E0E0E"/>
                <w:kern w:val="0"/>
                <w:sz w:val="22"/>
                <w:szCs w:val="22"/>
                <w:lang w:eastAsia="en-GB"/>
                <w14:ligatures w14:val="none"/>
              </w:rPr>
              <w:t>:</w:t>
            </w:r>
          </w:p>
          <w:p w14:paraId="778F0AB2"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color w:val="0E0E0E"/>
                <w:kern w:val="0"/>
                <w:sz w:val="22"/>
                <w:szCs w:val="22"/>
                <w:bdr w:val="none" w:sz="0" w:space="0" w:color="auto" w:frame="1"/>
                <w:shd w:val="clear" w:color="auto" w:fill="FFFFFF"/>
                <w:lang w:val="en-US" w:eastAsia="en-GB"/>
                <w14:ligatures w14:val="none"/>
              </w:rPr>
              <w:t>up to 8 kg:</w:t>
            </w:r>
            <w:r w:rsidRPr="000A6E15">
              <w:rPr>
                <w:rFonts w:ascii="Arial" w:eastAsia="Times New Roman" w:hAnsi="Arial" w:cs="Arial"/>
                <w:b/>
                <w:bCs/>
                <w:color w:val="0E0E0E"/>
                <w:kern w:val="0"/>
                <w:sz w:val="22"/>
                <w:szCs w:val="22"/>
                <w:bdr w:val="none" w:sz="0" w:space="0" w:color="auto" w:frame="1"/>
                <w:shd w:val="clear" w:color="auto" w:fill="FFFFFF"/>
                <w:lang w:val="en-US" w:eastAsia="en-GB"/>
                <w14:ligatures w14:val="none"/>
              </w:rPr>
              <w:t> </w:t>
            </w:r>
            <w:r w:rsidRPr="000A6E15">
              <w:rPr>
                <w:rFonts w:ascii="Arial" w:eastAsia="Times New Roman" w:hAnsi="Arial" w:cs="Arial"/>
                <w:color w:val="000000"/>
                <w:kern w:val="0"/>
                <w:sz w:val="22"/>
                <w:szCs w:val="22"/>
                <w:bdr w:val="none" w:sz="0" w:space="0" w:color="auto" w:frame="1"/>
                <w:shd w:val="clear" w:color="auto" w:fill="FFFFFF"/>
                <w:lang w:val="en-US" w:eastAsia="en-GB"/>
                <w14:ligatures w14:val="none"/>
              </w:rPr>
              <w:t>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bCs/>
                <w:color w:val="000000"/>
                <w:kern w:val="0"/>
                <w:sz w:val="22"/>
                <w:szCs w:val="22"/>
                <w:bdr w:val="none" w:sz="0" w:space="0" w:color="auto" w:frame="1"/>
                <w:shd w:val="clear" w:color="auto" w:fill="FFFFFF"/>
                <w:lang w:val="en-US" w:eastAsia="en-GB"/>
                <w14:ligatures w14:val="none"/>
              </w:rPr>
              <w:t>OR</w:t>
            </w:r>
            <w:r w:rsidRPr="000A6E15">
              <w:rPr>
                <w:rFonts w:ascii="Arial" w:eastAsia="Times New Roman" w:hAnsi="Arial" w:cs="Arial"/>
                <w:color w:val="000000"/>
                <w:kern w:val="0"/>
                <w:sz w:val="22"/>
                <w:szCs w:val="22"/>
                <w:bdr w:val="none" w:sz="0" w:space="0" w:color="auto" w:frame="1"/>
                <w:shd w:val="clear" w:color="auto" w:fill="FFFFFF"/>
                <w:lang w:val="en-US" w:eastAsia="en-GB"/>
                <w14:ligatures w14:val="none"/>
              </w:rPr>
              <w:t> appropriately labelled pack of 1 x 70mL x 125mg/5mL oral suspension </w:t>
            </w:r>
            <w:r w:rsidRPr="000A6E15">
              <w:rPr>
                <w:rFonts w:ascii="Arial" w:eastAsia="Calibri" w:hAnsi="Arial" w:cs="Arial"/>
                <w:kern w:val="0"/>
                <w:sz w:val="22"/>
                <w:szCs w:val="22"/>
                <w14:ligatures w14:val="none"/>
              </w:rPr>
              <w:t>(or oral solution)</w:t>
            </w:r>
          </w:p>
          <w:p w14:paraId="459A57B5"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Cs/>
                <w:color w:val="0E0E0E"/>
                <w:kern w:val="0"/>
                <w:sz w:val="22"/>
                <w:szCs w:val="22"/>
                <w:lang w:eastAsia="en-GB"/>
                <w14:ligatures w14:val="none"/>
              </w:rPr>
              <w:t>8–11 kg:</w:t>
            </w:r>
            <w:r w:rsidRPr="000A6E15">
              <w:rPr>
                <w:rFonts w:ascii="Arial" w:eastAsia="Times New Roman" w:hAnsi="Arial" w:cs="Arial"/>
                <w:b/>
                <w:bCs/>
                <w:color w:val="0E0E0E"/>
                <w:kern w:val="0"/>
                <w:sz w:val="22"/>
                <w:szCs w:val="22"/>
                <w:lang w:eastAsia="en-GB"/>
                <w14:ligatures w14:val="none"/>
              </w:rPr>
              <w:t xml:space="preserve"> </w:t>
            </w:r>
            <w:r w:rsidRPr="000A6E15">
              <w:rPr>
                <w:rFonts w:ascii="Arial" w:eastAsia="Times New Roman" w:hAnsi="Arial" w:cs="Arial"/>
                <w:iCs/>
                <w:kern w:val="0"/>
                <w:sz w:val="22"/>
                <w:szCs w:val="22"/>
                <w:lang w:eastAsia="en-GB"/>
                <w14:ligatures w14:val="none"/>
              </w:rPr>
              <w:t xml:space="preserve">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iCs/>
                <w:kern w:val="0"/>
                <w:sz w:val="22"/>
                <w:szCs w:val="22"/>
                <w:lang w:eastAsia="en-GB"/>
                <w14:ligatures w14:val="none"/>
              </w:rPr>
              <w:t>OR</w:t>
            </w:r>
            <w:r w:rsidRPr="000A6E15">
              <w:rPr>
                <w:rFonts w:ascii="Arial" w:eastAsia="Times New Roman" w:hAnsi="Arial" w:cs="Arial"/>
                <w:iCs/>
                <w:kern w:val="0"/>
                <w:sz w:val="22"/>
                <w:szCs w:val="22"/>
                <w:lang w:eastAsia="en-GB"/>
                <w14:ligatures w14:val="none"/>
              </w:rPr>
              <w:t xml:space="preserve"> appropriately labelled pack of 1 x 70mL x 125mg/5mL oral suspension </w:t>
            </w:r>
            <w:r w:rsidRPr="000A6E15">
              <w:rPr>
                <w:rFonts w:ascii="Arial" w:eastAsia="Calibri" w:hAnsi="Arial" w:cs="Arial"/>
                <w:kern w:val="0"/>
                <w:sz w:val="22"/>
                <w:szCs w:val="22"/>
                <w14:ligatures w14:val="none"/>
              </w:rPr>
              <w:t>(or oral solution)</w:t>
            </w:r>
          </w:p>
          <w:p w14:paraId="4D239D22"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Cs/>
                <w:color w:val="0E0E0E"/>
                <w:kern w:val="0"/>
                <w:sz w:val="22"/>
                <w:szCs w:val="22"/>
                <w:lang w:eastAsia="en-GB"/>
                <w14:ligatures w14:val="none"/>
              </w:rPr>
              <w:t>12–19 kg:</w:t>
            </w:r>
            <w:r w:rsidRPr="000A6E15">
              <w:rPr>
                <w:rFonts w:ascii="Arial" w:eastAsia="Times New Roman" w:hAnsi="Arial" w:cs="Arial"/>
                <w:b/>
                <w:bCs/>
                <w:color w:val="0E0E0E"/>
                <w:kern w:val="0"/>
                <w:sz w:val="22"/>
                <w:szCs w:val="22"/>
                <w:lang w:eastAsia="en-GB"/>
                <w14:ligatures w14:val="none"/>
              </w:rPr>
              <w:t xml:space="preserve"> </w:t>
            </w:r>
            <w:r w:rsidRPr="000A6E15">
              <w:rPr>
                <w:rFonts w:ascii="Arial" w:eastAsia="Times New Roman" w:hAnsi="Arial" w:cs="Arial"/>
                <w:iCs/>
                <w:kern w:val="0"/>
                <w:sz w:val="22"/>
                <w:szCs w:val="22"/>
                <w:lang w:eastAsia="en-GB"/>
                <w14:ligatures w14:val="none"/>
              </w:rPr>
              <w:t xml:space="preserve">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iCs/>
                <w:kern w:val="0"/>
                <w:sz w:val="22"/>
                <w:szCs w:val="22"/>
                <w:lang w:eastAsia="en-GB"/>
                <w14:ligatures w14:val="none"/>
              </w:rPr>
              <w:t>OR</w:t>
            </w:r>
            <w:r w:rsidRPr="000A6E15">
              <w:rPr>
                <w:rFonts w:ascii="Arial" w:eastAsia="Times New Roman" w:hAnsi="Arial" w:cs="Arial"/>
                <w:iCs/>
                <w:kern w:val="0"/>
                <w:sz w:val="22"/>
                <w:szCs w:val="22"/>
                <w:lang w:eastAsia="en-GB"/>
                <w14:ligatures w14:val="none"/>
              </w:rPr>
              <w:t xml:space="preserve"> appropriately labelled pack of 1 x 70mL x 125mg/5mL oral suspension </w:t>
            </w:r>
            <w:r w:rsidRPr="000A6E15">
              <w:rPr>
                <w:rFonts w:ascii="Arial" w:eastAsia="Calibri" w:hAnsi="Arial" w:cs="Arial"/>
                <w:kern w:val="0"/>
                <w:sz w:val="22"/>
                <w:szCs w:val="22"/>
                <w14:ligatures w14:val="none"/>
              </w:rPr>
              <w:t>(or oral solution)</w:t>
            </w:r>
          </w:p>
          <w:p w14:paraId="6A500E25"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Cs/>
                <w:color w:val="0E0E0E"/>
                <w:kern w:val="0"/>
                <w:sz w:val="22"/>
                <w:szCs w:val="22"/>
                <w:lang w:eastAsia="en-GB"/>
                <w14:ligatures w14:val="none"/>
              </w:rPr>
              <w:t>20</w:t>
            </w:r>
            <w:r w:rsidRPr="000A6E15">
              <w:rPr>
                <w:rFonts w:ascii="Arial" w:eastAsia="Times New Roman" w:hAnsi="Arial" w:cs="Arial"/>
                <w:b/>
                <w:bCs/>
                <w:kern w:val="0"/>
                <w:sz w:val="22"/>
                <w:szCs w:val="22"/>
                <w:lang w:eastAsia="en-GB"/>
                <w14:ligatures w14:val="none"/>
              </w:rPr>
              <w:t>–</w:t>
            </w:r>
            <w:r w:rsidRPr="000A6E15">
              <w:rPr>
                <w:rFonts w:ascii="Arial" w:eastAsia="Times New Roman" w:hAnsi="Arial" w:cs="Arial"/>
                <w:bCs/>
                <w:kern w:val="0"/>
                <w:sz w:val="22"/>
                <w:szCs w:val="22"/>
                <w:lang w:eastAsia="en-GB"/>
                <w14:ligatures w14:val="none"/>
              </w:rPr>
              <w:t>29 kg:</w:t>
            </w:r>
            <w:r w:rsidRPr="000A6E15">
              <w:rPr>
                <w:rFonts w:ascii="Arial" w:eastAsia="Times New Roman" w:hAnsi="Arial" w:cs="Arial"/>
                <w:b/>
                <w:bCs/>
                <w:color w:val="0E0E0E"/>
                <w:kern w:val="0"/>
                <w:sz w:val="22"/>
                <w:szCs w:val="22"/>
                <w:lang w:eastAsia="en-GB"/>
                <w14:ligatures w14:val="none"/>
              </w:rPr>
              <w:t xml:space="preserve"> </w:t>
            </w:r>
            <w:r w:rsidRPr="000A6E15">
              <w:rPr>
                <w:rFonts w:ascii="Arial" w:eastAsia="Times New Roman" w:hAnsi="Arial" w:cs="Arial"/>
                <w:iCs/>
                <w:kern w:val="0"/>
                <w:sz w:val="22"/>
                <w:szCs w:val="22"/>
                <w:lang w:eastAsia="en-GB"/>
                <w14:ligatures w14:val="none"/>
              </w:rPr>
              <w:t xml:space="preserve">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iCs/>
                <w:kern w:val="0"/>
                <w:sz w:val="22"/>
                <w:szCs w:val="22"/>
                <w:lang w:eastAsia="en-GB"/>
                <w14:ligatures w14:val="none"/>
              </w:rPr>
              <w:t>OR</w:t>
            </w:r>
            <w:r w:rsidRPr="000A6E15">
              <w:rPr>
                <w:rFonts w:ascii="Arial" w:eastAsia="Times New Roman" w:hAnsi="Arial" w:cs="Arial"/>
                <w:iCs/>
                <w:kern w:val="0"/>
                <w:sz w:val="22"/>
                <w:szCs w:val="22"/>
                <w:lang w:eastAsia="en-GB"/>
                <w14:ligatures w14:val="none"/>
              </w:rPr>
              <w:t xml:space="preserve"> appropriately labelled </w:t>
            </w:r>
            <w:r w:rsidRPr="000A6E15">
              <w:rPr>
                <w:rFonts w:ascii="Arial" w:eastAsia="Times New Roman" w:hAnsi="Arial" w:cs="Arial"/>
                <w:iCs/>
                <w:kern w:val="0"/>
                <w:sz w:val="22"/>
                <w:szCs w:val="22"/>
                <w:lang w:eastAsia="en-GB"/>
                <w14:ligatures w14:val="none"/>
              </w:rPr>
              <w:lastRenderedPageBreak/>
              <w:t xml:space="preserve">pack of 2 x 70mL x 125mg/5mL oral suspension </w:t>
            </w:r>
            <w:r w:rsidRPr="000A6E15">
              <w:rPr>
                <w:rFonts w:ascii="Arial" w:eastAsia="Calibri" w:hAnsi="Arial" w:cs="Arial"/>
                <w:kern w:val="0"/>
                <w:sz w:val="22"/>
                <w:szCs w:val="22"/>
                <w14:ligatures w14:val="none"/>
              </w:rPr>
              <w:t>(or oral solution)</w:t>
            </w:r>
          </w:p>
          <w:p w14:paraId="1C3B97C1" w14:textId="77777777" w:rsidR="000A6E15" w:rsidRPr="000A6E15" w:rsidRDefault="000A6E15" w:rsidP="00830555">
            <w:pPr>
              <w:widowControl w:val="0"/>
              <w:numPr>
                <w:ilvl w:val="0"/>
                <w:numId w:val="18"/>
              </w:numPr>
              <w:spacing w:after="0" w:line="240" w:lineRule="auto"/>
              <w:rPr>
                <w:rFonts w:ascii="Arial" w:eastAsia="Calibri" w:hAnsi="Arial" w:cs="Arial"/>
                <w:iCs/>
                <w:kern w:val="0"/>
                <w:sz w:val="22"/>
                <w:szCs w:val="22"/>
                <w:lang w:val="en-US"/>
                <w14:ligatures w14:val="none"/>
              </w:rPr>
            </w:pPr>
            <w:r w:rsidRPr="000A6E15">
              <w:rPr>
                <w:rFonts w:ascii="Arial" w:eastAsia="Calibri" w:hAnsi="Arial" w:cs="Arial"/>
                <w:bCs/>
                <w:color w:val="0E0E0E"/>
                <w:kern w:val="0"/>
                <w:sz w:val="22"/>
                <w:szCs w:val="22"/>
                <w:lang w:val="en-US"/>
                <w14:ligatures w14:val="none"/>
              </w:rPr>
              <w:t>30–40 kg:</w:t>
            </w:r>
            <w:r w:rsidRPr="000A6E15">
              <w:rPr>
                <w:rFonts w:ascii="Arial" w:eastAsia="Calibri" w:hAnsi="Arial" w:cs="Arial"/>
                <w:b/>
                <w:bCs/>
                <w:color w:val="0E0E0E"/>
                <w:kern w:val="0"/>
                <w:sz w:val="22"/>
                <w:szCs w:val="22"/>
                <w:lang w:val="en-US"/>
                <w14:ligatures w14:val="none"/>
              </w:rPr>
              <w:t xml:space="preserve"> </w:t>
            </w:r>
            <w:r w:rsidRPr="000A6E15">
              <w:rPr>
                <w:rFonts w:ascii="Arial" w:eastAsia="Calibri" w:hAnsi="Arial" w:cs="Arial"/>
                <w:iCs/>
                <w:kern w:val="0"/>
                <w:sz w:val="22"/>
                <w:szCs w:val="22"/>
                <w:lang w:val="en-US"/>
                <w14:ligatures w14:val="none"/>
              </w:rPr>
              <w:t xml:space="preserve">Appropriately labelled pack of 10 x 250mg tablets </w:t>
            </w:r>
            <w:r w:rsidRPr="000A6E15">
              <w:rPr>
                <w:rFonts w:ascii="Arial" w:eastAsia="Calibri" w:hAnsi="Arial" w:cs="Arial"/>
                <w:b/>
                <w:iCs/>
                <w:kern w:val="0"/>
                <w:sz w:val="22"/>
                <w:szCs w:val="22"/>
                <w:lang w:val="en-US"/>
                <w14:ligatures w14:val="none"/>
              </w:rPr>
              <w:t>OR</w:t>
            </w:r>
            <w:r w:rsidRPr="000A6E15">
              <w:rPr>
                <w:rFonts w:ascii="Arial" w:eastAsia="Calibri" w:hAnsi="Arial" w:cs="Arial"/>
                <w:iCs/>
                <w:kern w:val="0"/>
                <w:sz w:val="22"/>
                <w:szCs w:val="22"/>
                <w:lang w:val="en-US"/>
                <w14:ligatures w14:val="none"/>
              </w:rPr>
              <w:t xml:space="preserve"> appropriately labelled pack of 1 x 70mL x 250mg/5mL oral suspension </w:t>
            </w:r>
            <w:r w:rsidRPr="000A6E15">
              <w:rPr>
                <w:rFonts w:ascii="Arial" w:eastAsia="Calibri" w:hAnsi="Arial" w:cs="Arial"/>
                <w:kern w:val="0"/>
                <w:sz w:val="22"/>
                <w:szCs w:val="22"/>
                <w:lang w:val="en-US"/>
                <w14:ligatures w14:val="none"/>
              </w:rPr>
              <w:t xml:space="preserve">(or oral solution) </w:t>
            </w:r>
            <w:proofErr w:type="gramStart"/>
            <w:r w:rsidRPr="000A6E15">
              <w:rPr>
                <w:rFonts w:ascii="Arial" w:eastAsia="Calibri" w:hAnsi="Arial" w:cs="Arial"/>
                <w:b/>
                <w:iCs/>
                <w:kern w:val="0"/>
                <w:sz w:val="22"/>
                <w:szCs w:val="22"/>
                <w:lang w:val="en-US"/>
                <w14:ligatures w14:val="none"/>
              </w:rPr>
              <w:t>OR</w:t>
            </w:r>
            <w:r w:rsidRPr="000A6E15">
              <w:rPr>
                <w:rFonts w:ascii="Arial" w:eastAsia="Calibri" w:hAnsi="Arial" w:cs="Arial"/>
                <w:iCs/>
                <w:kern w:val="0"/>
                <w:sz w:val="22"/>
                <w:szCs w:val="22"/>
                <w:lang w:val="en-US"/>
                <w14:ligatures w14:val="none"/>
              </w:rPr>
              <w:t xml:space="preserve">  appropriately</w:t>
            </w:r>
            <w:proofErr w:type="gramEnd"/>
            <w:r w:rsidRPr="000A6E15">
              <w:rPr>
                <w:rFonts w:ascii="Arial" w:eastAsia="Calibri" w:hAnsi="Arial" w:cs="Arial"/>
                <w:iCs/>
                <w:kern w:val="0"/>
                <w:sz w:val="22"/>
                <w:szCs w:val="22"/>
                <w:lang w:val="en-US"/>
                <w14:ligatures w14:val="none"/>
              </w:rPr>
              <w:t xml:space="preserve"> labelled pack of 2 x 70mL x 125mg/5mL oral suspension </w:t>
            </w:r>
            <w:r w:rsidRPr="000A6E15">
              <w:rPr>
                <w:rFonts w:ascii="Arial" w:eastAsia="Calibri" w:hAnsi="Arial" w:cs="Arial"/>
                <w:kern w:val="0"/>
                <w:sz w:val="22"/>
                <w:szCs w:val="22"/>
                <w:lang w:val="en-US"/>
                <w14:ligatures w14:val="none"/>
              </w:rPr>
              <w:t>(or oral solution)</w:t>
            </w:r>
          </w:p>
          <w:p w14:paraId="35DE49A4" w14:textId="77777777" w:rsidR="000A6E15" w:rsidRDefault="000A6E15" w:rsidP="009B62D2">
            <w:pPr>
              <w:pStyle w:val="Tabletext"/>
              <w:rPr>
                <w:b/>
                <w:bCs/>
                <w:szCs w:val="22"/>
                <w:lang w:val="en-GB"/>
              </w:rPr>
            </w:pPr>
          </w:p>
          <w:p w14:paraId="3207AFB9" w14:textId="67D3728C" w:rsidR="00FA5C07" w:rsidRDefault="00FA5C07" w:rsidP="009B62D2">
            <w:pPr>
              <w:pStyle w:val="Tabletext"/>
              <w:rPr>
                <w:b/>
                <w:bCs/>
                <w:szCs w:val="22"/>
                <w:lang w:val="en-GB"/>
              </w:rPr>
            </w:pPr>
            <w:r w:rsidRPr="00FA5C07">
              <w:rPr>
                <w:b/>
                <w:bCs/>
                <w:szCs w:val="22"/>
                <w:lang w:val="en-GB"/>
              </w:rPr>
              <w:t>Children 12–17 years and adults:</w:t>
            </w:r>
          </w:p>
          <w:p w14:paraId="6BB457A8" w14:textId="14A3834B" w:rsidR="00FA5C07" w:rsidRDefault="000A6E15" w:rsidP="009B62D2">
            <w:pPr>
              <w:pStyle w:val="Tabletext"/>
              <w:rPr>
                <w:b/>
                <w:bCs/>
                <w:szCs w:val="22"/>
                <w:lang w:val="en-GB"/>
              </w:rPr>
            </w:pPr>
            <w:r>
              <w:rPr>
                <w:szCs w:val="22"/>
                <w:lang w:val="en-GB"/>
              </w:rPr>
              <w:t>A</w:t>
            </w:r>
            <w:r w:rsidR="00FA5C07" w:rsidRPr="00FA5C07">
              <w:rPr>
                <w:szCs w:val="22"/>
                <w:lang w:val="en-GB"/>
              </w:rPr>
              <w:t xml:space="preserve">ppropriately labelled pack of </w:t>
            </w:r>
            <w:r w:rsidR="0007088A">
              <w:rPr>
                <w:szCs w:val="22"/>
                <w:lang w:val="en-GB"/>
              </w:rPr>
              <w:t>1</w:t>
            </w:r>
            <w:r w:rsidR="00FA5C07" w:rsidRPr="00FA5C07">
              <w:rPr>
                <w:szCs w:val="22"/>
                <w:lang w:val="en-GB"/>
              </w:rPr>
              <w:t>0 x 250mg tablets</w:t>
            </w:r>
            <w:r w:rsidR="00FA5C07" w:rsidRPr="00FA5C07">
              <w:rPr>
                <w:b/>
                <w:bCs/>
                <w:szCs w:val="22"/>
                <w:lang w:val="en-GB"/>
              </w:rPr>
              <w:t xml:space="preserve"> OR </w:t>
            </w:r>
          </w:p>
          <w:p w14:paraId="3FCBDF19" w14:textId="2CC3F127" w:rsidR="00FA5C07" w:rsidRDefault="00FA5C07" w:rsidP="009B62D2">
            <w:pPr>
              <w:pStyle w:val="Tabletext"/>
              <w:rPr>
                <w:b/>
                <w:bCs/>
                <w:szCs w:val="22"/>
                <w:lang w:val="en-GB"/>
              </w:rPr>
            </w:pPr>
            <w:r w:rsidRPr="00FA5C07">
              <w:rPr>
                <w:szCs w:val="22"/>
                <w:lang w:val="en-GB"/>
              </w:rPr>
              <w:t xml:space="preserve">appropriately labelled pack of </w:t>
            </w:r>
            <w:r w:rsidR="0007088A">
              <w:rPr>
                <w:szCs w:val="22"/>
                <w:lang w:val="en-GB"/>
              </w:rPr>
              <w:t>1</w:t>
            </w:r>
            <w:r w:rsidRPr="00FA5C07">
              <w:rPr>
                <w:szCs w:val="22"/>
                <w:lang w:val="en-GB"/>
              </w:rPr>
              <w:t xml:space="preserve"> x 70mL x 250mg/5mL oral suspension (or oral solution)</w:t>
            </w:r>
          </w:p>
          <w:p w14:paraId="4EB11520" w14:textId="77777777" w:rsidR="00FA5C07" w:rsidRDefault="00FA5C07" w:rsidP="009B62D2">
            <w:pPr>
              <w:pStyle w:val="Tabletext"/>
              <w:rPr>
                <w:b/>
                <w:bCs/>
                <w:szCs w:val="22"/>
                <w:lang w:val="en-GB"/>
              </w:rPr>
            </w:pPr>
            <w:r w:rsidRPr="00FA5C07">
              <w:rPr>
                <w:b/>
                <w:bCs/>
                <w:szCs w:val="22"/>
                <w:lang w:val="en-GB"/>
              </w:rPr>
              <w:t xml:space="preserve">OR </w:t>
            </w:r>
          </w:p>
          <w:p w14:paraId="1BDDBFD7" w14:textId="520C63CC" w:rsidR="00165DD9" w:rsidRPr="00FA5C07" w:rsidRDefault="00FA5C07" w:rsidP="009B62D2">
            <w:pPr>
              <w:pStyle w:val="Tabletext"/>
            </w:pPr>
            <w:r w:rsidRPr="00FA5C07">
              <w:rPr>
                <w:szCs w:val="22"/>
                <w:lang w:val="en-GB"/>
              </w:rPr>
              <w:t xml:space="preserve">appropriately labelled pack of </w:t>
            </w:r>
            <w:r w:rsidR="0007088A">
              <w:rPr>
                <w:szCs w:val="22"/>
                <w:lang w:val="en-GB"/>
              </w:rPr>
              <w:t>2</w:t>
            </w:r>
            <w:r w:rsidRPr="00FA5C07">
              <w:rPr>
                <w:szCs w:val="22"/>
                <w:lang w:val="en-GB"/>
              </w:rPr>
              <w:t xml:space="preserve"> x 70mL x 125mg/5mL oral suspension (or oral solution)</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lastRenderedPageBreak/>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B4A2B">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B4A2B">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287AC895" w:rsidR="005F17C5" w:rsidRPr="00C434B8" w:rsidRDefault="00A16080" w:rsidP="0033118A">
            <w:pPr>
              <w:pStyle w:val="Tabletext"/>
            </w:pPr>
            <w:r w:rsidRPr="00A16080">
              <w:t>Stock must be securely stored according to organisation medicines policy and in conditions in line with</w:t>
            </w:r>
            <w:r>
              <w:t xml:space="preserve"> </w:t>
            </w:r>
            <w:r w:rsidR="005F17C5" w:rsidRPr="005A6885">
              <w:t xml:space="preserve">the </w:t>
            </w:r>
            <w:hyperlink r:id="rId51" w:history="1">
              <w:r w:rsidR="0018109D">
                <w:rPr>
                  <w:rStyle w:val="Hyperlink"/>
                  <w:rFonts w:cs="Arial"/>
                </w:rPr>
                <w:t xml:space="preserve"> </w:t>
              </w:r>
              <w:r w:rsidR="0033118A" w:rsidRPr="0033118A">
                <w:rPr>
                  <w:rStyle w:val="Hyperlink"/>
                </w:rPr>
                <w:t>product SmPC</w:t>
              </w:r>
              <w:r w:rsidR="0018109D" w:rsidRPr="0033118A">
                <w:rPr>
                  <w:rStyle w:val="Hyperlink"/>
                </w:rPr>
                <w:t xml:space="preserve">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ECAC2CA" w14:textId="009EE066" w:rsidR="0018109D" w:rsidRPr="0018109D" w:rsidRDefault="00A16080" w:rsidP="0018109D">
            <w:pPr>
              <w:pStyle w:val="Tabletext"/>
            </w:pPr>
            <w:r w:rsidRPr="00A16080">
              <w:rPr>
                <w:lang w:val="en-GB"/>
              </w:rPr>
              <w:t>Where it is known an individual is concurrently taking one of the following medicines,</w:t>
            </w:r>
            <w:r w:rsidR="00FA5C07">
              <w:rPr>
                <w:lang w:val="en-GB"/>
              </w:rPr>
              <w:t xml:space="preserve"> </w:t>
            </w:r>
            <w:r w:rsidR="00FA5C07" w:rsidRPr="00FA5C07">
              <w:rPr>
                <w:lang w:val="en-GB"/>
              </w:rPr>
              <w:t>clarithromycin</w:t>
            </w:r>
            <w:r w:rsidR="00FA5C07">
              <w:rPr>
                <w:lang w:val="en-GB"/>
              </w:rPr>
              <w:t xml:space="preserve"> </w:t>
            </w:r>
            <w:r w:rsidRPr="00A16080">
              <w:rPr>
                <w:lang w:val="en-GB"/>
              </w:rPr>
              <w:t>must not be supplied under this PGD and the individual referred to a prescriber:</w:t>
            </w:r>
          </w:p>
          <w:p w14:paraId="554798A2" w14:textId="77777777" w:rsidR="002C7751" w:rsidRDefault="00FA5C07" w:rsidP="00FA5C07">
            <w:pPr>
              <w:pStyle w:val="Bulletindent1"/>
            </w:pPr>
            <w:r w:rsidRPr="002C7751">
              <w:t xml:space="preserve">Simvastatin, lovastatin* </w:t>
            </w:r>
          </w:p>
          <w:p w14:paraId="7F6AAEA1" w14:textId="77777777" w:rsidR="002C7751" w:rsidRDefault="00FA5C07" w:rsidP="00FA5C07">
            <w:pPr>
              <w:pStyle w:val="Bulletindent1"/>
            </w:pPr>
            <w:r w:rsidRPr="002C7751">
              <w:t>Astemizole, cisapride</w:t>
            </w:r>
            <w:r w:rsidRPr="00FA5C07">
              <w:t>*, domperidone, pimozide, terfenadine*.</w:t>
            </w:r>
          </w:p>
          <w:p w14:paraId="18B0E0A8" w14:textId="77777777" w:rsidR="002C7751" w:rsidRDefault="00FA5C07" w:rsidP="00FA5C07">
            <w:pPr>
              <w:pStyle w:val="Bulletindent1"/>
            </w:pPr>
            <w:r w:rsidRPr="00FA5C07">
              <w:t xml:space="preserve">Ergotamine or dihydroergotamine </w:t>
            </w:r>
          </w:p>
          <w:p w14:paraId="3279A644" w14:textId="77777777" w:rsidR="002C7751" w:rsidRDefault="00FA5C07" w:rsidP="00FA5C07">
            <w:pPr>
              <w:pStyle w:val="Bulletindent1"/>
            </w:pPr>
            <w:r w:rsidRPr="00FA5C07">
              <w:t xml:space="preserve"> Ranolazine</w:t>
            </w:r>
          </w:p>
          <w:p w14:paraId="001A7CD2" w14:textId="77777777" w:rsidR="002C7751" w:rsidRDefault="00FA5C07" w:rsidP="00FA5C07">
            <w:pPr>
              <w:pStyle w:val="Bulletindent1"/>
            </w:pPr>
            <w:r w:rsidRPr="00FA5C07">
              <w:t xml:space="preserve">Ticagrelor </w:t>
            </w:r>
          </w:p>
          <w:p w14:paraId="2BCA5017" w14:textId="77777777" w:rsidR="002C7751" w:rsidRDefault="00FA5C07" w:rsidP="00FA5C07">
            <w:pPr>
              <w:pStyle w:val="Bulletindent1"/>
            </w:pPr>
            <w:r w:rsidRPr="00FA5C07">
              <w:t>Chloroquine or hydroxychloroquine</w:t>
            </w:r>
          </w:p>
          <w:p w14:paraId="0B10F446" w14:textId="77777777" w:rsidR="002C7751" w:rsidRDefault="00FA5C07" w:rsidP="00FA5C07">
            <w:pPr>
              <w:pStyle w:val="Bulletindent1"/>
            </w:pPr>
            <w:r w:rsidRPr="00FA5C07">
              <w:t xml:space="preserve">Colchicine </w:t>
            </w:r>
          </w:p>
          <w:p w14:paraId="4B356ED2" w14:textId="77777777" w:rsidR="00910EBA" w:rsidRDefault="00FA5C07" w:rsidP="00FA5C07">
            <w:pPr>
              <w:pStyle w:val="Bulletindent1"/>
            </w:pPr>
            <w:r w:rsidRPr="00FA5C07">
              <w:t>Midazolam (oral)</w:t>
            </w:r>
          </w:p>
          <w:p w14:paraId="1F169073" w14:textId="77777777" w:rsidR="00910EBA" w:rsidRDefault="00FA5C07" w:rsidP="00FA5C07">
            <w:pPr>
              <w:pStyle w:val="Bulletindent1"/>
            </w:pPr>
            <w:r w:rsidRPr="00FA5C07">
              <w:t xml:space="preserve">Lomitapide </w:t>
            </w:r>
          </w:p>
          <w:p w14:paraId="35F24C05" w14:textId="77777777" w:rsidR="00910EBA" w:rsidRDefault="00FA5C07" w:rsidP="00FA5C07">
            <w:pPr>
              <w:pStyle w:val="Bulletindent1"/>
            </w:pPr>
            <w:r w:rsidRPr="00FA5C07">
              <w:t>Ivabradine</w:t>
            </w:r>
          </w:p>
          <w:p w14:paraId="5E996F21" w14:textId="77777777" w:rsidR="00910EBA" w:rsidRDefault="00FA5C07" w:rsidP="00FA5C07">
            <w:pPr>
              <w:pStyle w:val="Bulletindent1"/>
            </w:pPr>
            <w:r w:rsidRPr="00FA5C07">
              <w:t xml:space="preserve">Typhoid vaccine (oral): </w:t>
            </w:r>
            <w:hyperlink w:anchor="Exclusions" w:history="1">
              <w:r w:rsidRPr="00910EBA">
                <w:rPr>
                  <w:rStyle w:val="Hyperlink"/>
                </w:rPr>
                <w:t>see Criteria for exclusion</w:t>
              </w:r>
            </w:hyperlink>
          </w:p>
          <w:p w14:paraId="110E6CEA" w14:textId="405D7887" w:rsidR="00910EBA" w:rsidRDefault="00FA5C07" w:rsidP="00FA5C07">
            <w:pPr>
              <w:pStyle w:val="Bulletindent1"/>
            </w:pPr>
            <w:r w:rsidRPr="00FA5C07">
              <w:lastRenderedPageBreak/>
              <w:t>Medicines where concomitant use with a strong CYP 3A4 inhibitor (i.e. clarithromycin) is contraindicated (e.g.</w:t>
            </w:r>
          </w:p>
          <w:p w14:paraId="266384AF" w14:textId="77777777" w:rsidR="00910EBA" w:rsidRDefault="00FA5C07" w:rsidP="00910EBA">
            <w:pPr>
              <w:pStyle w:val="Bulletindent1"/>
              <w:numPr>
                <w:ilvl w:val="1"/>
                <w:numId w:val="15"/>
              </w:numPr>
            </w:pPr>
            <w:r w:rsidRPr="00FA5C07">
              <w:t xml:space="preserve">Avanafil </w:t>
            </w:r>
          </w:p>
          <w:p w14:paraId="3FCAD9E8" w14:textId="77777777" w:rsidR="00910EBA" w:rsidRDefault="00FA5C07" w:rsidP="00910EBA">
            <w:pPr>
              <w:pStyle w:val="Bulletindent1"/>
              <w:numPr>
                <w:ilvl w:val="1"/>
                <w:numId w:val="15"/>
              </w:numPr>
            </w:pPr>
            <w:r w:rsidRPr="00FA5C07">
              <w:t>Dronedarone</w:t>
            </w:r>
          </w:p>
          <w:p w14:paraId="7DB9C0EF" w14:textId="243F238F" w:rsidR="00910EBA" w:rsidRDefault="00FA5C07" w:rsidP="00910EBA">
            <w:pPr>
              <w:pStyle w:val="Bulletindent1"/>
              <w:numPr>
                <w:ilvl w:val="1"/>
                <w:numId w:val="15"/>
              </w:numPr>
            </w:pPr>
            <w:r w:rsidRPr="00FA5C07">
              <w:t>Eplerenone</w:t>
            </w:r>
          </w:p>
          <w:p w14:paraId="5301DBBA" w14:textId="3770B828" w:rsidR="00910EBA" w:rsidRDefault="00FA5C07" w:rsidP="00910EBA">
            <w:pPr>
              <w:pStyle w:val="Bulletindent1"/>
              <w:numPr>
                <w:ilvl w:val="1"/>
                <w:numId w:val="15"/>
              </w:numPr>
            </w:pPr>
            <w:r w:rsidRPr="00FA5C07">
              <w:t>Finerenone</w:t>
            </w:r>
          </w:p>
          <w:p w14:paraId="4AD1B5CD" w14:textId="2543DC8C" w:rsidR="00910EBA" w:rsidRDefault="00FA5C07" w:rsidP="00910EBA">
            <w:pPr>
              <w:pStyle w:val="Bulletindent1"/>
              <w:numPr>
                <w:ilvl w:val="1"/>
                <w:numId w:val="15"/>
              </w:numPr>
            </w:pPr>
            <w:r w:rsidRPr="00FA5C07">
              <w:t xml:space="preserve">Lercanidipine </w:t>
            </w:r>
          </w:p>
          <w:p w14:paraId="1277287B" w14:textId="3B3302F9" w:rsidR="00910EBA" w:rsidRDefault="00FA5C07" w:rsidP="00910EBA">
            <w:pPr>
              <w:pStyle w:val="Bulletindent1"/>
              <w:numPr>
                <w:ilvl w:val="1"/>
                <w:numId w:val="15"/>
              </w:numPr>
            </w:pPr>
            <w:r w:rsidRPr="00FA5C07">
              <w:t xml:space="preserve">Lurasidone </w:t>
            </w:r>
          </w:p>
          <w:p w14:paraId="50C28801" w14:textId="2F05F11C" w:rsidR="00910EBA" w:rsidRDefault="00FA5C07" w:rsidP="00910EBA">
            <w:pPr>
              <w:pStyle w:val="Bulletindent1"/>
              <w:numPr>
                <w:ilvl w:val="1"/>
                <w:numId w:val="15"/>
              </w:numPr>
            </w:pPr>
            <w:r w:rsidRPr="00FA5C07">
              <w:t xml:space="preserve">Naloxegol </w:t>
            </w:r>
          </w:p>
          <w:p w14:paraId="4DA5FF62" w14:textId="26940FD8" w:rsidR="00910EBA" w:rsidRDefault="00FA5C07" w:rsidP="00910EBA">
            <w:pPr>
              <w:pStyle w:val="Bulletindent1"/>
              <w:numPr>
                <w:ilvl w:val="1"/>
                <w:numId w:val="15"/>
              </w:numPr>
            </w:pPr>
            <w:r w:rsidRPr="00FA5C07">
              <w:t xml:space="preserve">Quetiapine) </w:t>
            </w:r>
          </w:p>
          <w:p w14:paraId="2DD79E80" w14:textId="67B04F5E" w:rsidR="00FA5C07" w:rsidRPr="00FA5C07" w:rsidRDefault="00FA5C07" w:rsidP="00FA5C07">
            <w:pPr>
              <w:pStyle w:val="Bulletindent1"/>
            </w:pPr>
            <w:r w:rsidRPr="00FA5C07">
              <w:t xml:space="preserve">Any medicine known to cause QT prolongation. For further information recommended resources include: </w:t>
            </w:r>
            <w:hyperlink r:id="rId52" w:history="1">
              <w:r w:rsidR="00910EBA" w:rsidRPr="00910EBA">
                <w:rPr>
                  <w:rStyle w:val="Hyperlink"/>
                </w:rPr>
                <w:t>CredibleMeds (registration required)</w:t>
              </w:r>
            </w:hyperlink>
            <w:r w:rsidRPr="00FA5C07">
              <w:t xml:space="preserve">, or </w:t>
            </w:r>
            <w:hyperlink r:id="rId53" w:history="1">
              <w:r w:rsidRPr="00910EBA">
                <w:rPr>
                  <w:rStyle w:val="Hyperlink"/>
                </w:rPr>
                <w:t>Sudden arrhythmic death syndrome (SADS) - Drugs to avoid</w:t>
              </w:r>
            </w:hyperlink>
          </w:p>
          <w:p w14:paraId="6D22F5F2" w14:textId="77777777" w:rsidR="00910EBA" w:rsidRDefault="00FA5C07" w:rsidP="00FA5C07">
            <w:pPr>
              <w:pStyle w:val="Bulletindent1"/>
            </w:pPr>
            <w:r w:rsidRPr="00FA5C07">
              <w:t xml:space="preserve"> Medicines that are strong inducers of cytochrome P450 (CYP) and may reduce the efficacy of clarithromycin (e.g.</w:t>
            </w:r>
          </w:p>
          <w:p w14:paraId="639F88AE" w14:textId="77777777" w:rsidR="00910EBA" w:rsidRDefault="00910EBA" w:rsidP="00910EBA">
            <w:pPr>
              <w:pStyle w:val="Bulletindent1"/>
              <w:numPr>
                <w:ilvl w:val="1"/>
                <w:numId w:val="15"/>
              </w:numPr>
            </w:pPr>
            <w:r>
              <w:t>E</w:t>
            </w:r>
            <w:r w:rsidR="00FA5C07" w:rsidRPr="00FA5C07">
              <w:t>favirenz, etravirine, nevirapine,</w:t>
            </w:r>
          </w:p>
          <w:p w14:paraId="3B8E5E71" w14:textId="77777777" w:rsidR="00910EBA" w:rsidRDefault="00910EBA" w:rsidP="00910EBA">
            <w:pPr>
              <w:pStyle w:val="Bulletindent1"/>
              <w:numPr>
                <w:ilvl w:val="1"/>
                <w:numId w:val="15"/>
              </w:numPr>
            </w:pPr>
            <w:r>
              <w:t>R</w:t>
            </w:r>
            <w:r w:rsidR="00FA5C07" w:rsidRPr="00FA5C07">
              <w:t>ifampicin, rifabutin, rifapentine</w:t>
            </w:r>
          </w:p>
          <w:p w14:paraId="170DC611" w14:textId="77777777" w:rsidR="00910EBA" w:rsidRDefault="00FA5C07" w:rsidP="00910EBA">
            <w:pPr>
              <w:pStyle w:val="Bulletindent1"/>
              <w:numPr>
                <w:ilvl w:val="1"/>
                <w:numId w:val="15"/>
              </w:numPr>
            </w:pPr>
            <w:r w:rsidRPr="00FA5C07">
              <w:t>Phenytoin, carbamazepine, phenobarbital,</w:t>
            </w:r>
          </w:p>
          <w:p w14:paraId="3EE6B54A" w14:textId="77777777" w:rsidR="00910EBA" w:rsidRDefault="00FA5C07" w:rsidP="00910EBA">
            <w:pPr>
              <w:pStyle w:val="Bulletindent1"/>
              <w:numPr>
                <w:ilvl w:val="1"/>
                <w:numId w:val="15"/>
              </w:numPr>
            </w:pPr>
            <w:r w:rsidRPr="00FA5C07">
              <w:t>St. John’s wort</w:t>
            </w:r>
          </w:p>
          <w:p w14:paraId="41D29CCB" w14:textId="77777777" w:rsidR="00910EBA" w:rsidRDefault="00FA5C07" w:rsidP="00910EBA">
            <w:pPr>
              <w:pStyle w:val="Bulletindent1"/>
              <w:numPr>
                <w:ilvl w:val="1"/>
                <w:numId w:val="15"/>
              </w:numPr>
            </w:pPr>
            <w:r w:rsidRPr="00FA5C07">
              <w:t xml:space="preserve">For further information recommended resources include: </w:t>
            </w:r>
          </w:p>
          <w:p w14:paraId="5EFBDDB6" w14:textId="27633D1D" w:rsidR="00910EBA" w:rsidRDefault="00FA5C07" w:rsidP="00A35A1C">
            <w:pPr>
              <w:pStyle w:val="Bulletindent1"/>
              <w:numPr>
                <w:ilvl w:val="2"/>
                <w:numId w:val="15"/>
              </w:numPr>
            </w:pPr>
            <w:hyperlink r:id="rId54" w:history="1">
              <w:r w:rsidRPr="00A35A1C">
                <w:rPr>
                  <w:rStyle w:val="Hyperlink"/>
                </w:rPr>
                <w:t>Indiana University School of Medicine Drug Interactions Flockhart Table™</w:t>
              </w:r>
            </w:hyperlink>
          </w:p>
          <w:p w14:paraId="6126D5A8" w14:textId="2BE7ED7E" w:rsidR="00910EBA" w:rsidRDefault="00FA5C07" w:rsidP="00A35A1C">
            <w:pPr>
              <w:pStyle w:val="Bulletindent1"/>
              <w:numPr>
                <w:ilvl w:val="2"/>
                <w:numId w:val="15"/>
              </w:numPr>
            </w:pPr>
            <w:hyperlink r:id="rId55" w:history="1">
              <w:r w:rsidRPr="00A35A1C">
                <w:rPr>
                  <w:rStyle w:val="Hyperlink"/>
                </w:rPr>
                <w:t>Mayo Clinic Labs Pharmacogenomic Association Table)</w:t>
              </w:r>
            </w:hyperlink>
            <w:r w:rsidRPr="00FA5C07">
              <w:t xml:space="preserve"> </w:t>
            </w:r>
          </w:p>
          <w:p w14:paraId="1A41F47E" w14:textId="77777777" w:rsidR="00EA214D" w:rsidRDefault="00FA5C07" w:rsidP="00EA214D">
            <w:pPr>
              <w:pStyle w:val="Bulletindent1"/>
            </w:pPr>
            <w:r w:rsidRPr="00FA5C07">
              <w:t xml:space="preserve"> Any other medicine where concomitant use with clarithromycin is contraindicated. </w:t>
            </w:r>
            <w:r w:rsidRPr="00EA214D">
              <w:rPr>
                <w:b/>
                <w:bCs/>
              </w:rPr>
              <w:t>*</w:t>
            </w:r>
            <w:r w:rsidRPr="00FA5C07">
              <w:t xml:space="preserve">May not be readily available in the UK </w:t>
            </w:r>
          </w:p>
          <w:p w14:paraId="43E86100" w14:textId="5B361030" w:rsidR="00FA5C07" w:rsidRPr="00FA5C07" w:rsidRDefault="00FA5C07" w:rsidP="00EA214D">
            <w:pPr>
              <w:pStyle w:val="Tabletext"/>
            </w:pPr>
            <w:r w:rsidRPr="00FA5C07">
              <w:lastRenderedPageBreak/>
              <w:t xml:space="preserve">See </w:t>
            </w:r>
            <w:hyperlink r:id="rId56" w:history="1">
              <w:r w:rsidRPr="00EA214D">
                <w:rPr>
                  <w:rStyle w:val="Hyperlink"/>
                </w:rPr>
                <w:t>BNF</w:t>
              </w:r>
            </w:hyperlink>
            <w:r w:rsidRPr="00FA5C07">
              <w:t xml:space="preserve"> for all drugs that can interact with clarithromycin.</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57"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58"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59" w:history="1">
              <w:r w:rsidR="00A16080">
                <w:rPr>
                  <w:rStyle w:val="Hyperlink"/>
                  <w:lang w:val="en-GB"/>
                </w:rPr>
                <w:t>SmPC which is available on the EMC website</w:t>
              </w:r>
            </w:hyperlink>
            <w:r w:rsidRPr="00E82744">
              <w:rPr>
                <w:lang w:val="en-GB"/>
              </w:rPr>
              <w:t xml:space="preserve"> or </w:t>
            </w:r>
            <w:hyperlink r:id="rId60"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8F20B4E" w14:textId="00118F2B" w:rsidR="00E82744" w:rsidRDefault="00A16080" w:rsidP="00A16080">
            <w:pPr>
              <w:pStyle w:val="Tabletext"/>
              <w:rPr>
                <w:rFonts w:eastAsia="Calibri"/>
                <w:kern w:val="2"/>
                <w14:ligatures w14:val="standardContextual"/>
              </w:rPr>
            </w:pPr>
            <w:r w:rsidRPr="00A16080">
              <w:rPr>
                <w:rFonts w:eastAsia="Calibri"/>
              </w:rPr>
              <w:t xml:space="preserve">The following side effects are listed in the product SPC/BNF as </w:t>
            </w:r>
            <w:r w:rsidR="00EA214D" w:rsidRPr="003F13C6">
              <w:rPr>
                <w:rFonts w:eastAsia="Calibri"/>
                <w:b/>
                <w:bCs/>
                <w:lang w:val="en-GB"/>
              </w:rPr>
              <w:t>very common or common</w:t>
            </w:r>
            <w:r w:rsidR="00EA214D" w:rsidRPr="00EA214D">
              <w:rPr>
                <w:rFonts w:eastAsia="Calibri"/>
                <w:lang w:val="en-GB"/>
              </w:rPr>
              <w:t xml:space="preserve"> with clarithromycin (but may not reflect all reported side effects)</w:t>
            </w:r>
            <w:r w:rsidR="00EA214D">
              <w:rPr>
                <w:rFonts w:eastAsia="Calibri"/>
                <w:lang w:val="en-GB"/>
              </w:rPr>
              <w:t>:</w:t>
            </w:r>
          </w:p>
          <w:p w14:paraId="6A85F332"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Gastrointestinal discomfort; including dyspepsia, diarrhoea, nausea and vomiting, abdominal pain, pancreatitis</w:t>
            </w:r>
          </w:p>
          <w:p w14:paraId="2FCFBB07" w14:textId="77777777" w:rsidR="003F13C6" w:rsidRPr="003F13C6" w:rsidRDefault="003F13C6" w:rsidP="003F13C6">
            <w:pPr>
              <w:pStyle w:val="Bulletindent1"/>
              <w:rPr>
                <w:rFonts w:eastAsia="Calibri"/>
              </w:rPr>
            </w:pPr>
            <w:r w:rsidRPr="003F13C6">
              <w:rPr>
                <w:lang w:eastAsia="en-GB"/>
              </w:rPr>
              <w:t>Abnormal liver function tests</w:t>
            </w:r>
          </w:p>
          <w:p w14:paraId="4F46CAAB"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Decreased appetite</w:t>
            </w:r>
          </w:p>
          <w:p w14:paraId="69D9D4C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Dizziness</w:t>
            </w:r>
          </w:p>
          <w:p w14:paraId="64C44A7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Headache</w:t>
            </w:r>
          </w:p>
          <w:p w14:paraId="5969298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Hearing impairment</w:t>
            </w:r>
          </w:p>
          <w:p w14:paraId="326AA3F1"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Insomnia</w:t>
            </w:r>
          </w:p>
          <w:p w14:paraId="4020191C"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Skin rashes/reactions, hyperhidrosis, paresthesia</w:t>
            </w:r>
          </w:p>
          <w:p w14:paraId="2A7028BB"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Taste altered</w:t>
            </w:r>
          </w:p>
          <w:p w14:paraId="2BD75471"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Vasodilation</w:t>
            </w:r>
          </w:p>
          <w:p w14:paraId="7ECF49F7"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Vision disorders</w:t>
            </w:r>
          </w:p>
          <w:p w14:paraId="637812AD" w14:textId="77777777" w:rsidR="003F13C6" w:rsidRDefault="003F13C6" w:rsidP="00A16080">
            <w:pPr>
              <w:pStyle w:val="Tabletext"/>
              <w:rPr>
                <w:lang w:eastAsia="en-GB"/>
              </w:rPr>
            </w:pP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61"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59A213F4" w14:textId="34B9BB1D" w:rsidR="00A16080" w:rsidRDefault="003F13C6" w:rsidP="00A1608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2" w:history="1">
              <w:r w:rsidRPr="00F6120B">
                <w:rPr>
                  <w:rStyle w:val="Hyperlink"/>
                </w:rPr>
                <w:t>MHRA's Yellow Card Scheme</w:t>
              </w:r>
            </w:hyperlink>
            <w:r>
              <w:t xml:space="preserve"> </w:t>
            </w:r>
            <w:r w:rsidRPr="00AC0BE9">
              <w:t>[</w:t>
            </w:r>
            <w:r w:rsidRPr="00504FB7">
              <w:rPr>
                <w:highlight w:val="cyan"/>
              </w:rPr>
              <w:t xml:space="preserve">follow </w:t>
            </w:r>
            <w:r w:rsidRPr="00504FB7">
              <w:rPr>
                <w:highlight w:val="cyan"/>
              </w:rPr>
              <w:lastRenderedPageBreak/>
              <w:t>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B47A35" w14:paraId="469757AF" w14:textId="77777777" w:rsidTr="00787625">
        <w:tc>
          <w:tcPr>
            <w:tcW w:w="3397" w:type="dxa"/>
          </w:tcPr>
          <w:p w14:paraId="78F26D33" w14:textId="72A52707" w:rsidR="00B47A35" w:rsidRPr="00A16080" w:rsidRDefault="00B47A35" w:rsidP="005A6168">
            <w:pPr>
              <w:rPr>
                <w:rStyle w:val="TableHeaderColumn"/>
                <w:sz w:val="22"/>
                <w:szCs w:val="22"/>
              </w:rPr>
            </w:pPr>
            <w:r w:rsidRPr="00B47A35">
              <w:rPr>
                <w:rFonts w:ascii="Arial" w:hAnsi="Arial"/>
                <w:b/>
                <w:bCs/>
                <w:sz w:val="22"/>
                <w:szCs w:val="22"/>
              </w:rPr>
              <w:lastRenderedPageBreak/>
              <w:t>Additional facilities and supplies</w:t>
            </w:r>
          </w:p>
        </w:tc>
        <w:tc>
          <w:tcPr>
            <w:tcW w:w="5103" w:type="dxa"/>
          </w:tcPr>
          <w:p w14:paraId="075442E7" w14:textId="0CDE1995" w:rsidR="00B47A35" w:rsidRPr="00A16080" w:rsidRDefault="00B47A35" w:rsidP="00B47A35">
            <w:pPr>
              <w:pStyle w:val="Tabletext"/>
            </w:pPr>
            <w:r w:rsidRPr="00B47A35">
              <w:rPr>
                <w:iCs/>
                <w:lang w:val="en-GB"/>
              </w:rPr>
              <w:t>Access to a weighing scale suitable to weigh children (if not available, a recent, accurate reported weight from parent/guardian is acceptable)</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AF3EB7">
            <w:pPr>
              <w:pStyle w:val="Bulletindent1"/>
            </w:pPr>
            <w:r w:rsidRPr="00A16080">
              <w:t>Provide marketing authorisation holder's patient information leaflet (PIL) provided with the product.</w:t>
            </w:r>
          </w:p>
          <w:p w14:paraId="37B7E694" w14:textId="4EEBFB37" w:rsidR="00AF3EB7" w:rsidRDefault="00AF3EB7" w:rsidP="00AF3EB7">
            <w:pPr>
              <w:pStyle w:val="Bulletindent1"/>
            </w:pPr>
            <w:r w:rsidRPr="00AF3EB7">
              <w:rPr>
                <w:rFonts w:cs="Arial"/>
                <w:iCs/>
              </w:rPr>
              <w:t>Signpost</w:t>
            </w:r>
            <w:r w:rsidRPr="00734C35">
              <w:t xml:space="preserve"> individual/carer/parent/guardian to </w:t>
            </w:r>
            <w:hyperlink r:id="rId63" w:history="1">
              <w:r w:rsidR="0070537E" w:rsidRPr="0070537E">
                <w:rPr>
                  <w:rStyle w:val="Hyperlink"/>
                </w:rPr>
                <w:t xml:space="preserve"> information on impetigo ( from the NHS website)</w:t>
              </w:r>
            </w:hyperlink>
            <w:r w:rsidRPr="00734C35">
              <w:t xml:space="preserve"> re: transmission and the importance of good hygiene to prevent onward transmission.</w:t>
            </w:r>
          </w:p>
          <w:p w14:paraId="7DACADA5" w14:textId="77777777" w:rsidR="00D37A41" w:rsidRPr="006767D3" w:rsidRDefault="00D37A41" w:rsidP="00AF3EB7">
            <w:pPr>
              <w:pStyle w:val="Bulletindent1"/>
            </w:pPr>
            <w:r>
              <w:t xml:space="preserve">Utilise </w:t>
            </w:r>
            <w:hyperlink r:id="rId64" w:history="1">
              <w:r w:rsidRPr="00936DA7">
                <w:rPr>
                  <w:rStyle w:val="Hyperlink"/>
                  <w:rFonts w:cs="Arial"/>
                  <w:iCs/>
                </w:rPr>
                <w:t>TARGET antibiotic checklist</w:t>
              </w:r>
            </w:hyperlink>
            <w:r>
              <w:t xml:space="preserve"> for counselling individuals/carers/parents/guardians. </w:t>
            </w:r>
          </w:p>
          <w:p w14:paraId="72AB3536" w14:textId="0DCDD72B" w:rsidR="00700627" w:rsidRDefault="00A16080" w:rsidP="00AF3EB7">
            <w:pPr>
              <w:pStyle w:val="Bulletindent1"/>
            </w:pPr>
            <w:r w:rsidRPr="00A16080">
              <w:t xml:space="preserve"> Give any additional information in accordance with the local service specification.</w:t>
            </w:r>
          </w:p>
        </w:tc>
      </w:tr>
      <w:tr w:rsidR="00700627" w14:paraId="09A371CA" w14:textId="77777777" w:rsidTr="00787625">
        <w:tc>
          <w:tcPr>
            <w:tcW w:w="3397" w:type="dxa"/>
          </w:tcPr>
          <w:p w14:paraId="5EE185C4" w14:textId="15A81625" w:rsidR="00A16080" w:rsidRPr="00A16080" w:rsidRDefault="00A16080" w:rsidP="00A16080">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AF3EB7">
            <w:pPr>
              <w:pStyle w:val="Bulletindent1"/>
            </w:pPr>
            <w:r w:rsidRPr="00A16080">
              <w:t>Explain the dose, frequency and method of administration.</w:t>
            </w:r>
          </w:p>
          <w:p w14:paraId="1C4A05D2" w14:textId="77777777" w:rsidR="00A16080" w:rsidRDefault="00A16080" w:rsidP="00AF3EB7">
            <w:pPr>
              <w:pStyle w:val="Bulletindent1"/>
            </w:pPr>
            <w:r w:rsidRPr="00A16080">
              <w:t>The individual/carer/parent/guardian should be advised to read the PIL.</w:t>
            </w:r>
          </w:p>
          <w:p w14:paraId="1F935B62" w14:textId="59387CD0" w:rsidR="00D37A41" w:rsidRPr="00D37A41" w:rsidRDefault="00D37A41" w:rsidP="00AF3EB7">
            <w:pPr>
              <w:pStyle w:val="Bulletindent1"/>
              <w:rPr>
                <w:rFonts w:eastAsia="Calibri"/>
              </w:rPr>
            </w:pPr>
            <w:r w:rsidRPr="00D37A41">
              <w:rPr>
                <w:rFonts w:eastAsia="Calibri"/>
                <w:lang w:val="en-US"/>
              </w:rPr>
              <w:t xml:space="preserve">Store reconstituted oral suspension (or oral solution) in accordance with the conditions as outlined in the individual product </w:t>
            </w:r>
            <w:hyperlink r:id="rId65" w:history="1">
              <w:r>
                <w:rPr>
                  <w:rFonts w:eastAsia="Calibri"/>
                  <w:color w:val="0000FF"/>
                  <w:u w:val="single"/>
                  <w:lang w:val="en-US"/>
                </w:rPr>
                <w:t>SPC which can be accessed on the EMC website</w:t>
              </w:r>
            </w:hyperlink>
            <w:r w:rsidRPr="00D37A41">
              <w:rPr>
                <w:rFonts w:eastAsia="Calibri"/>
                <w:color w:val="FF0000"/>
                <w:lang w:val="en-US"/>
              </w:rPr>
              <w:t xml:space="preserve"> </w:t>
            </w:r>
            <w:r w:rsidRPr="00D37A41">
              <w:rPr>
                <w:rFonts w:eastAsia="Calibri"/>
                <w:lang w:val="en-US"/>
              </w:rPr>
              <w:t>(storage recommendations may vary between different reconstituted oral suspension (or oral solution) products).</w:t>
            </w:r>
            <w:r w:rsidRPr="00D37A41">
              <w:rPr>
                <w:rFonts w:eastAsia="Calibri"/>
                <w:color w:val="FF0000"/>
                <w:lang w:val="en-US"/>
              </w:rPr>
              <w:t xml:space="preserve"> </w:t>
            </w:r>
          </w:p>
          <w:p w14:paraId="4A3D115C" w14:textId="77777777" w:rsidR="00AF3EB7" w:rsidRPr="00AF3EB7" w:rsidRDefault="00D37A41" w:rsidP="00AF3EB7">
            <w:pPr>
              <w:pStyle w:val="Bulletindent1"/>
              <w:rPr>
                <w:rFonts w:eastAsia="Calibri"/>
                <w:iCs/>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w:t>
            </w:r>
            <w:r w:rsidR="00AF3EB7" w:rsidRPr="00AF3EB7">
              <w:rPr>
                <w:rFonts w:eastAsia="Calibri"/>
                <w:iCs/>
              </w:rPr>
              <w:t>symptoms worsen rapidly or significantly at any time.</w:t>
            </w:r>
          </w:p>
          <w:p w14:paraId="6B0A8F06" w14:textId="30B0D813" w:rsidR="00D37A41" w:rsidRPr="00D37A41" w:rsidRDefault="00D37A41" w:rsidP="00AF3EB7">
            <w:pPr>
              <w:pStyle w:val="Bulletindent1"/>
              <w:rPr>
                <w:rFonts w:eastAsia="Calibri"/>
              </w:rPr>
            </w:pPr>
            <w:r w:rsidRPr="00D37A41">
              <w:rPr>
                <w:rFonts w:eastAsia="Calibri"/>
              </w:rPr>
              <w:lastRenderedPageBreak/>
              <w:t xml:space="preserve">Advise individual/carer/parent/guardian to seek immediate medical attention (by calling 999 or going to A&amp;E) if the individual develops </w:t>
            </w:r>
            <w:hyperlink r:id="rId66" w:history="1">
              <w:r>
                <w:rPr>
                  <w:rFonts w:eastAsia="Calibri"/>
                  <w:color w:val="0000FF"/>
                  <w:u w:val="single"/>
                </w:rPr>
                <w:t>signs or symptoms of sepsis as described on the NHS website</w:t>
              </w:r>
            </w:hyperlink>
            <w:r w:rsidRPr="00D37A41">
              <w:rPr>
                <w:rFonts w:eastAsia="Calibri"/>
              </w:rPr>
              <w:t xml:space="preserve">. </w:t>
            </w:r>
          </w:p>
          <w:p w14:paraId="6FA79EE4" w14:textId="47C6974B" w:rsidR="00A16080" w:rsidRDefault="00A16080" w:rsidP="00AF3EB7">
            <w:pPr>
              <w:pStyle w:val="Bulletindent1"/>
            </w:pPr>
            <w:r w:rsidRPr="00A16080">
              <w:t>Inform the individual/carer/parent/guardian of possible side effects and their management.</w:t>
            </w:r>
          </w:p>
          <w:p w14:paraId="60CBBE9A" w14:textId="77777777" w:rsidR="00D37A41" w:rsidRPr="00100AC8" w:rsidRDefault="00D37A41" w:rsidP="00AF3EB7">
            <w:pPr>
              <w:pStyle w:val="Bulletindent1"/>
              <w:rPr>
                <w:iCs/>
              </w:rPr>
            </w:pPr>
            <w:r>
              <w:rPr>
                <w:rFonts w:eastAsia="Arial"/>
              </w:rPr>
              <w:t>Advise</w:t>
            </w:r>
            <w:r w:rsidRPr="001B6ECB">
              <w:rPr>
                <w:rFonts w:eastAsia="Arial"/>
              </w:rPr>
              <w:t xml:space="preserve"> individual/carer</w:t>
            </w:r>
            <w:r>
              <w:rPr>
                <w:rFonts w:eastAsia="Arial"/>
              </w:rPr>
              <w:t>/parent/guardian</w:t>
            </w:r>
            <w:r w:rsidRPr="001B6ECB">
              <w:rPr>
                <w:rFonts w:eastAsia="Arial"/>
                <w:spacing w:val="12"/>
              </w:rPr>
              <w:t xml:space="preserve"> </w:t>
            </w:r>
            <w:r w:rsidRPr="001B6ECB">
              <w:rPr>
                <w:rFonts w:eastAsia="Arial"/>
              </w:rPr>
              <w:t>to take</w:t>
            </w:r>
            <w:r>
              <w:rPr>
                <w:rFonts w:eastAsia="Arial"/>
              </w:rPr>
              <w:t>/give</w:t>
            </w:r>
            <w:r w:rsidRPr="001B6ECB">
              <w:rPr>
                <w:rFonts w:eastAsia="Arial"/>
              </w:rPr>
              <w:t xml:space="preserve"> the medication at regular intervals and to finish the course.</w:t>
            </w:r>
          </w:p>
          <w:p w14:paraId="2E86E4AF" w14:textId="035C0A1E" w:rsidR="00D37A41" w:rsidRPr="00D37A41" w:rsidRDefault="00D37A41" w:rsidP="00AF3EB7">
            <w:pPr>
              <w:pStyle w:val="Bulletindent1"/>
            </w:pPr>
            <w:r w:rsidRPr="006F1D02">
              <w:rPr>
                <w:rFonts w:eastAsia="Arial"/>
              </w:rPr>
              <w:t>If the individual is affected by dizziness or drowsiness advise them not to drive or operate machinery</w:t>
            </w:r>
          </w:p>
          <w:p w14:paraId="44F6E36A" w14:textId="0A5DB8D3" w:rsidR="00D37A41" w:rsidRPr="00D37A41" w:rsidRDefault="00D37A41" w:rsidP="00AF3EB7">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0E4659D7" w14:textId="1FCB2B68" w:rsidR="00AF3EB7" w:rsidRPr="00AF3EB7" w:rsidRDefault="00AF3EB7" w:rsidP="00AF3EB7">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3BF15749" w14:textId="77777777" w:rsidR="00AF3EB7" w:rsidRPr="00AF3EB7" w:rsidRDefault="00AF3EB7" w:rsidP="00AF3EB7">
            <w:pPr>
              <w:widowControl w:val="0"/>
              <w:spacing w:after="0" w:line="240" w:lineRule="auto"/>
              <w:rPr>
                <w:rFonts w:ascii="Arial" w:eastAsia="Calibri" w:hAnsi="Arial" w:cs="Arial"/>
                <w:iCs/>
                <w:kern w:val="0"/>
                <w:sz w:val="22"/>
                <w:szCs w:val="22"/>
                <w14:ligatures w14:val="none"/>
              </w:rPr>
            </w:pPr>
          </w:p>
          <w:p w14:paraId="34AE5E9E" w14:textId="77777777" w:rsidR="00AF3EB7" w:rsidRPr="00AF3EB7" w:rsidRDefault="00AF3EB7" w:rsidP="00AF3EB7">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207097BC" w14:textId="77777777" w:rsidR="00AF3EB7" w:rsidRPr="00AF3EB7" w:rsidRDefault="00AF3EB7" w:rsidP="00AF3EB7">
            <w:pPr>
              <w:spacing w:after="0" w:line="240" w:lineRule="auto"/>
              <w:rPr>
                <w:rFonts w:ascii="Arial" w:eastAsia="Times New Roman" w:hAnsi="Arial" w:cs="Arial"/>
                <w:kern w:val="0"/>
                <w:sz w:val="22"/>
                <w:szCs w:val="22"/>
                <w:shd w:val="clear" w:color="auto" w:fill="FBFAF8"/>
                <w:lang w:eastAsia="en-GB"/>
                <w14:ligatures w14:val="none"/>
              </w:rPr>
            </w:pPr>
          </w:p>
          <w:p w14:paraId="1A79D3F3" w14:textId="77777777" w:rsidR="00AF3EB7" w:rsidRPr="00AF3EB7" w:rsidRDefault="00AF3EB7" w:rsidP="00AF3EB7">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Individuals, and if appropriate their family and carers/guardians, should be advised on good hygiene measures to reduce the spread of impetigo to other body areas and to other people.</w:t>
            </w:r>
          </w:p>
          <w:p w14:paraId="38554F6E" w14:textId="77777777" w:rsidR="00AF3EB7" w:rsidRPr="00857E82" w:rsidRDefault="00AF3EB7" w:rsidP="00AF3EB7">
            <w:pPr>
              <w:pStyle w:val="NormalWeb"/>
              <w:shd w:val="clear" w:color="auto" w:fill="FFFFFF"/>
              <w:spacing w:before="0" w:beforeAutospacing="0" w:after="0" w:afterAutospacing="0"/>
              <w:rPr>
                <w:rFonts w:ascii="Arial" w:hAnsi="Arial" w:cs="Arial"/>
                <w:sz w:val="22"/>
                <w:szCs w:val="22"/>
                <w:shd w:val="clear" w:color="auto" w:fill="FBFAF8"/>
              </w:rPr>
            </w:pPr>
          </w:p>
          <w:p w14:paraId="3BD500B5" w14:textId="77777777" w:rsidR="00AF3EB7" w:rsidRPr="00857E82" w:rsidRDefault="00AF3EB7" w:rsidP="00AF3EB7">
            <w:pPr>
              <w:pStyle w:val="Bulletindent1"/>
            </w:pPr>
            <w:r w:rsidRPr="00857E82">
              <w:t xml:space="preserve">To help stop impetigo spreading or getting worse (while it’s still contagious), the following advice can be given to affected </w:t>
            </w:r>
            <w:r>
              <w:t>individuals</w:t>
            </w:r>
            <w:r w:rsidRPr="00857E82">
              <w:t>:</w:t>
            </w:r>
          </w:p>
          <w:p w14:paraId="044B8C9A" w14:textId="77777777" w:rsidR="00AF3EB7" w:rsidRPr="00857E82" w:rsidRDefault="00AF3EB7" w:rsidP="00AF3EB7">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w:t>
            </w:r>
            <w:r>
              <w:lastRenderedPageBreak/>
              <w:t xml:space="preserve">no longer contagious 48 hours after treatment has started OR </w:t>
            </w:r>
            <w:r w:rsidRPr="00857E82">
              <w:t>when the lesions are healed, dry and crusted</w:t>
            </w:r>
            <w:r>
              <w:t xml:space="preserve"> if no treatment is provided.</w:t>
            </w:r>
            <w:r w:rsidRPr="00857E82">
              <w:t xml:space="preserve"> </w:t>
            </w:r>
          </w:p>
          <w:p w14:paraId="615DA511" w14:textId="77777777" w:rsidR="00AF3EB7" w:rsidRPr="00857E82" w:rsidRDefault="00AF3EB7" w:rsidP="00AF3EB7">
            <w:pPr>
              <w:pStyle w:val="Bulletindent1"/>
              <w:numPr>
                <w:ilvl w:val="1"/>
                <w:numId w:val="15"/>
              </w:numPr>
            </w:pPr>
            <w:r>
              <w:t>F</w:t>
            </w:r>
            <w:r w:rsidRPr="00857E82">
              <w:t>ood handlers are required by law to inform employers immediately if they have impetigo</w:t>
            </w:r>
          </w:p>
          <w:p w14:paraId="6092750F" w14:textId="77777777" w:rsidR="00AF3EB7" w:rsidRPr="00857E82" w:rsidRDefault="00AF3EB7" w:rsidP="00AF3EB7">
            <w:pPr>
              <w:pStyle w:val="Bulletindent1"/>
              <w:numPr>
                <w:ilvl w:val="1"/>
                <w:numId w:val="15"/>
              </w:numPr>
            </w:pPr>
            <w:r>
              <w:t>W</w:t>
            </w:r>
            <w:r w:rsidRPr="00857E82">
              <w:t xml:space="preserve">ash hands with soap and warm water before and after applying the cream </w:t>
            </w:r>
          </w:p>
          <w:p w14:paraId="6DA1B243" w14:textId="77777777" w:rsidR="00AF3EB7" w:rsidRPr="00857E82" w:rsidRDefault="00AF3EB7" w:rsidP="00AF3EB7">
            <w:pPr>
              <w:pStyle w:val="Bulletindent1"/>
              <w:numPr>
                <w:ilvl w:val="1"/>
                <w:numId w:val="15"/>
              </w:numPr>
            </w:pPr>
            <w:r>
              <w:t>W</w:t>
            </w:r>
            <w:r w:rsidRPr="00857E82">
              <w:t>ash flannels, sheets and towels at a high temperature</w:t>
            </w:r>
          </w:p>
          <w:p w14:paraId="6F40B12B" w14:textId="77777777" w:rsidR="00AF3EB7" w:rsidRPr="0087390B" w:rsidRDefault="00AF3EB7" w:rsidP="00AF3EB7">
            <w:pPr>
              <w:pStyle w:val="Bulletindent1"/>
              <w:numPr>
                <w:ilvl w:val="1"/>
                <w:numId w:val="15"/>
              </w:numPr>
            </w:pPr>
            <w:r>
              <w:t>W</w:t>
            </w:r>
            <w:r w:rsidRPr="00857E82">
              <w:t xml:space="preserve">ash or wipe down toys with detergent and warm water. </w:t>
            </w:r>
            <w:r w:rsidRPr="00857E82">
              <w:rPr>
                <w:b/>
                <w:iCs/>
              </w:rPr>
              <w:t xml:space="preserve"> </w:t>
            </w:r>
          </w:p>
          <w:p w14:paraId="3753034A" w14:textId="77777777" w:rsidR="00AF3EB7" w:rsidRPr="00D73164" w:rsidRDefault="00AF3EB7" w:rsidP="00AF3EB7">
            <w:pPr>
              <w:pStyle w:val="Bulletindent1"/>
            </w:pPr>
            <w:r w:rsidRPr="00D73164">
              <w:t>If a dose is missed advise to refer to PIL supplied with the product</w:t>
            </w:r>
          </w:p>
          <w:p w14:paraId="06B1F837" w14:textId="77777777" w:rsidR="00AF3EB7" w:rsidRPr="00D73164" w:rsidRDefault="00AF3EB7" w:rsidP="00AF3EB7">
            <w:pPr>
              <w:pStyle w:val="Bulletindent1"/>
            </w:pPr>
            <w:r w:rsidRPr="00D73164">
              <w:t>Advise individual/carer/parent/guardian to complete the full course even if symptoms improve.</w:t>
            </w:r>
          </w:p>
          <w:p w14:paraId="2BF8FA34" w14:textId="748C10A5" w:rsidR="00700627" w:rsidRPr="00D54EC6" w:rsidRDefault="00AF3EB7" w:rsidP="00AF3EB7">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14B568F2" w:rsidR="004133DF" w:rsidRDefault="004133DF" w:rsidP="004133DF">
            <w:pPr>
              <w:pStyle w:val="Bulletindent1"/>
            </w:pPr>
            <w:r w:rsidRPr="004133DF">
              <w:t>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lastRenderedPageBreak/>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67"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w:t>
            </w:r>
            <w:proofErr w:type="gramStart"/>
            <w:r w:rsidRPr="004133DF">
              <w:rPr>
                <w:b/>
                <w:bCs/>
              </w:rPr>
              <w:t>or  password</w:t>
            </w:r>
            <w:proofErr w:type="gramEnd"/>
            <w:r w:rsidRPr="004133DF">
              <w:rPr>
                <w:b/>
                <w:bCs/>
              </w:rPr>
              <w:t xml:space="preserve">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lastRenderedPageBreak/>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41E42A25" w14:textId="42902164" w:rsidR="00AF3EB7" w:rsidRPr="00AF3EB7" w:rsidRDefault="00AF3EB7" w:rsidP="00920B43">
      <w:pPr>
        <w:pStyle w:val="Bulletindent1"/>
        <w:rPr>
          <w:rStyle w:val="Hyperlink"/>
        </w:rPr>
      </w:pPr>
      <w:hyperlink r:id="rId68" w:history="1">
        <w:r w:rsidRPr="00AF3EB7">
          <w:rPr>
            <w:rStyle w:val="Hyperlink"/>
            <w:lang w:eastAsia="en-GB"/>
          </w:rPr>
          <w:t>British Association of Dermatologists. Impetigo Patient Information Leaflet (PIL).</w:t>
        </w:r>
      </w:hyperlink>
    </w:p>
    <w:p w14:paraId="7D34D896" w14:textId="71FE3FD8" w:rsidR="009B77E7" w:rsidRPr="00AF0367" w:rsidRDefault="009B77E7" w:rsidP="00920B43">
      <w:pPr>
        <w:pStyle w:val="Bulletindent1"/>
        <w:rPr>
          <w:color w:val="0000FF"/>
          <w:u w:val="single"/>
        </w:rPr>
      </w:pPr>
      <w:hyperlink r:id="rId69"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70"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71"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72" w:history="1">
        <w:r w:rsidRPr="009B77E7">
          <w:rPr>
            <w:rStyle w:val="Hyperlink"/>
          </w:rPr>
          <w:t>Reference guide to consent for examination or treatment</w:t>
        </w:r>
      </w:hyperlink>
    </w:p>
    <w:p w14:paraId="37EA1067" w14:textId="2905D4A1" w:rsidR="00AF0367" w:rsidRPr="00AF0367" w:rsidRDefault="00AF0367" w:rsidP="00877396">
      <w:pPr>
        <w:pStyle w:val="Bulletindent1"/>
        <w:rPr>
          <w:color w:val="0000FF"/>
          <w:u w:val="single"/>
        </w:rPr>
      </w:pPr>
      <w:hyperlink r:id="rId73" w:history="1">
        <w:r w:rsidRPr="00AF0367">
          <w:rPr>
            <w:rStyle w:val="Hyperlink"/>
          </w:rPr>
          <w:t>Medicines for Children. Clarithromycin for bacterial infections.</w:t>
        </w:r>
      </w:hyperlink>
    </w:p>
    <w:p w14:paraId="3BD7766D" w14:textId="79F0699F" w:rsidR="00AF0367" w:rsidRPr="00720435" w:rsidRDefault="00AF0367" w:rsidP="00720435">
      <w:pPr>
        <w:pStyle w:val="Bulletindent1"/>
        <w:rPr>
          <w:rStyle w:val="Hyperlink"/>
        </w:rPr>
      </w:pPr>
      <w:hyperlink r:id="rId74" w:history="1">
        <w:r w:rsidRPr="00720435">
          <w:rPr>
            <w:rStyle w:val="Hyperlink"/>
          </w:rPr>
          <w:t>NICE Medicines practice guideline MPG2 - Patient Group Directions - Last Updated 27 March 2017</w:t>
        </w:r>
      </w:hyperlink>
    </w:p>
    <w:p w14:paraId="4B459099" w14:textId="4B9F8BCB" w:rsidR="00AF0367" w:rsidRPr="00720435" w:rsidRDefault="00AF0367" w:rsidP="00720435">
      <w:pPr>
        <w:pStyle w:val="Bulletindent1"/>
        <w:rPr>
          <w:rStyle w:val="Hyperlink"/>
        </w:rPr>
      </w:pPr>
      <w:hyperlink r:id="rId75" w:history="1">
        <w:r w:rsidRPr="00720435">
          <w:rPr>
            <w:rStyle w:val="Hyperlink"/>
          </w:rPr>
          <w:t>NHS Specialist Pharmacy Service. Using solid oral dosage form antibiotics in children</w:t>
        </w:r>
      </w:hyperlink>
    </w:p>
    <w:p w14:paraId="6B56058C" w14:textId="5B02637B" w:rsidR="00AF0367" w:rsidRPr="00AF3EB7" w:rsidRDefault="00AF0367" w:rsidP="00720435">
      <w:pPr>
        <w:pStyle w:val="Bulletindent1"/>
        <w:rPr>
          <w:color w:val="0000FF"/>
          <w:u w:val="single"/>
        </w:rPr>
      </w:pPr>
      <w:hyperlink r:id="rId76" w:history="1">
        <w:r w:rsidRPr="00720435">
          <w:rPr>
            <w:rStyle w:val="Hyperlink"/>
          </w:rPr>
          <w:t>UK Sepsis Trust. Sepsis e-learning resources</w:t>
        </w:r>
      </w:hyperlink>
    </w:p>
    <w:p w14:paraId="62D68F22" w14:textId="671F322A" w:rsidR="00AF3EB7" w:rsidRDefault="00AF3EB7" w:rsidP="00720435">
      <w:pPr>
        <w:pStyle w:val="Bulletindent1"/>
        <w:rPr>
          <w:color w:val="0000FF"/>
          <w:u w:val="single"/>
        </w:rPr>
      </w:pPr>
      <w:hyperlink r:id="rId77" w:history="1">
        <w:r w:rsidRPr="00AF3EB7">
          <w:rPr>
            <w:rStyle w:val="Hyperlink"/>
          </w:rPr>
          <w:t>National Health Service. Impetigo.</w:t>
        </w:r>
      </w:hyperlink>
    </w:p>
    <w:p w14:paraId="1A8E6E58" w14:textId="39895632" w:rsidR="00AF3EB7" w:rsidRDefault="00AF3EB7" w:rsidP="00720435">
      <w:pPr>
        <w:pStyle w:val="Bulletindent1"/>
        <w:rPr>
          <w:rStyle w:val="Hyperlink"/>
        </w:rPr>
      </w:pPr>
      <w:hyperlink r:id="rId78" w:history="1">
        <w:r w:rsidRPr="00AF3EB7">
          <w:rPr>
            <w:rStyle w:val="Hyperlink"/>
          </w:rPr>
          <w:t>National Institute of Health and Clinical Excellence Clinical Knowledge Summary. Impetigo.</w:t>
        </w:r>
      </w:hyperlink>
    </w:p>
    <w:p w14:paraId="5CE09430" w14:textId="36FB2435" w:rsidR="00AF3EB7" w:rsidRDefault="00AF3EB7" w:rsidP="00720435">
      <w:pPr>
        <w:pStyle w:val="Bulletindent1"/>
        <w:rPr>
          <w:rStyle w:val="Hyperlink"/>
        </w:rPr>
      </w:pPr>
      <w:hyperlink r:id="rId79" w:history="1">
        <w:r w:rsidRPr="00AF3EB7">
          <w:rPr>
            <w:rStyle w:val="Hyperlink"/>
          </w:rPr>
          <w:t>National Institute of Health and Clinical Excellence guideline 153 (NG153). Impetigo: antimicrobial prescribing,</w:t>
        </w:r>
      </w:hyperlink>
    </w:p>
    <w:p w14:paraId="4FC80D6B" w14:textId="1C73B655" w:rsidR="00AF3EB7" w:rsidRPr="00AF3EB7" w:rsidRDefault="00AF3EB7" w:rsidP="00720435">
      <w:pPr>
        <w:pStyle w:val="Bulletindent1"/>
        <w:rPr>
          <w:rStyle w:val="Hyperlink"/>
        </w:rPr>
      </w:pPr>
      <w:hyperlink r:id="rId80" w:history="1">
        <w:r w:rsidRPr="00830555">
          <w:rPr>
            <w:rStyle w:val="Hyperlink"/>
          </w:rPr>
          <w:t>Loadsman MEN, Verheji TJM, van der Velden AW. (Aug 2019) Impetigo incidence and treatment: a retrospective study of Dutch routine primary care data</w:t>
        </w:r>
        <w:r w:rsidRPr="00830555">
          <w:rPr>
            <w:rStyle w:val="Hyperlink"/>
            <w:i/>
          </w:rPr>
          <w:t>. Family Practice.</w:t>
        </w:r>
        <w:r w:rsidRPr="00830555">
          <w:rPr>
            <w:rStyle w:val="Hyperlink"/>
          </w:rPr>
          <w:t xml:space="preserv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1"/>
      <w:headerReference w:type="default" r:id="rId82"/>
      <w:footerReference w:type="default" r:id="rId83"/>
      <w:headerReference w:type="first" r:id="rId8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C9057A">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C9057A"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C9057A">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87D95"/>
    <w:multiLevelType w:val="multilevel"/>
    <w:tmpl w:val="B50CFE60"/>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7"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1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2"/>
  </w:num>
  <w:num w:numId="2" w16cid:durableId="460340545">
    <w:abstractNumId w:val="6"/>
  </w:num>
  <w:num w:numId="3" w16cid:durableId="862549155">
    <w:abstractNumId w:val="15"/>
  </w:num>
  <w:num w:numId="4" w16cid:durableId="1902785077">
    <w:abstractNumId w:val="16"/>
  </w:num>
  <w:num w:numId="5" w16cid:durableId="1400252542">
    <w:abstractNumId w:val="9"/>
  </w:num>
  <w:num w:numId="6" w16cid:durableId="585113440">
    <w:abstractNumId w:val="5"/>
  </w:num>
  <w:num w:numId="7" w16cid:durableId="1512915418">
    <w:abstractNumId w:val="14"/>
  </w:num>
  <w:num w:numId="8" w16cid:durableId="759831936">
    <w:abstractNumId w:val="18"/>
  </w:num>
  <w:num w:numId="9" w16cid:durableId="1747412429">
    <w:abstractNumId w:val="1"/>
  </w:num>
  <w:num w:numId="10" w16cid:durableId="1297833641">
    <w:abstractNumId w:val="0"/>
  </w:num>
  <w:num w:numId="11" w16cid:durableId="1684160055">
    <w:abstractNumId w:val="17"/>
  </w:num>
  <w:num w:numId="12" w16cid:durableId="1610894224">
    <w:abstractNumId w:val="19"/>
  </w:num>
  <w:num w:numId="13" w16cid:durableId="1880973297">
    <w:abstractNumId w:val="8"/>
  </w:num>
  <w:num w:numId="14" w16cid:durableId="77676389">
    <w:abstractNumId w:val="2"/>
  </w:num>
  <w:num w:numId="15" w16cid:durableId="1496384920">
    <w:abstractNumId w:val="7"/>
  </w:num>
  <w:num w:numId="16" w16cid:durableId="441388192">
    <w:abstractNumId w:val="13"/>
    <w:lvlOverride w:ilvl="0">
      <w:startOverride w:val="1"/>
    </w:lvlOverride>
  </w:num>
  <w:num w:numId="17" w16cid:durableId="73867840">
    <w:abstractNumId w:val="3"/>
    <w:lvlOverride w:ilvl="0">
      <w:startOverride w:val="1"/>
    </w:lvlOverride>
  </w:num>
  <w:num w:numId="18" w16cid:durableId="78100180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2A3"/>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118A"/>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5BF5"/>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0D22"/>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24"/>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3C31"/>
    <w:rsid w:val="00B44178"/>
    <w:rsid w:val="00B45C68"/>
    <w:rsid w:val="00B46B20"/>
    <w:rsid w:val="00B47A35"/>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257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057A"/>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2E1F"/>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67D7A"/>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D7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unhideWhenUsed/>
    <w:rsid w:val="00E67D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7D7A"/>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53/"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impetigo/" TargetMode="External"/><Relationship Id="rId63" Type="http://schemas.openxmlformats.org/officeDocument/2006/relationships/hyperlink" Target="https://www.nhs.uk/conditions/impetigo/" TargetMode="External"/><Relationship Id="rId68" Type="http://schemas.openxmlformats.org/officeDocument/2006/relationships/hyperlink" Target="https://www.bad.org.uk/pils/impetigo/" TargetMode="External"/><Relationship Id="rId84" Type="http://schemas.openxmlformats.org/officeDocument/2006/relationships/header" Target="header3.xml"/><Relationship Id="rId16" Type="http://schemas.openxmlformats.org/officeDocument/2006/relationships/hyperlink" Target="https://www.blackandbrownskin.co.uk/campaign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medicines.org.uk/emc" TargetMode="External"/><Relationship Id="rId37" Type="http://schemas.openxmlformats.org/officeDocument/2006/relationships/hyperlink" Target="https://www.nhs.uk/conditions/sepsis/" TargetMode="External"/><Relationship Id="rId53" Type="http://schemas.openxmlformats.org/officeDocument/2006/relationships/hyperlink" Target="https://www.sads.org.uk/drugs-to-avoid/?doing_wp_cron=1676975888.9472379684448242187500" TargetMode="External"/><Relationship Id="rId58" Type="http://schemas.openxmlformats.org/officeDocument/2006/relationships/hyperlink" Target="https://www.pharmaceuticalpress.com/bnf-and-bnfc/" TargetMode="External"/><Relationship Id="rId74" Type="http://schemas.openxmlformats.org/officeDocument/2006/relationships/hyperlink" Target="https://www.nice.org.uk/guidance/mpg2" TargetMode="External"/><Relationship Id="rId79" Type="http://schemas.openxmlformats.org/officeDocument/2006/relationships/hyperlink" Target="https://www.nice.org.uk/guidance/ng153" TargetMode="External"/><Relationship Id="rId5" Type="http://schemas.openxmlformats.org/officeDocument/2006/relationships/webSettings" Target="webSettings.xml"/><Relationship Id="rId19" Type="http://schemas.openxmlformats.org/officeDocument/2006/relationships/hyperlink" Target="https://www.medicines.org.uk/emc" TargetMode="External"/><Relationship Id="rId14" Type="http://schemas.openxmlformats.org/officeDocument/2006/relationships/hyperlink" Target="https://www.pcds.org.uk/clinical-guidance/impetigo"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mpetigo/diagnosis/diagnosis/" TargetMode="External"/><Relationship Id="rId30" Type="http://schemas.openxmlformats.org/officeDocument/2006/relationships/hyperlink" Target="https://assets.publishing.service.gov.uk/media/5a82ce28e5274a2e8ab5970f/Greenbook_chapter_6.pdf" TargetMode="External"/><Relationship Id="rId35" Type="http://schemas.openxmlformats.org/officeDocument/2006/relationships/hyperlink" Target="https://www.nhs.uk/conditions/contact-dermatitis/" TargetMode="External"/><Relationship Id="rId43" Type="http://schemas.openxmlformats.org/officeDocument/2006/relationships/hyperlink" Target="https://www.medicines.org.uk/emc" TargetMode="External"/><Relationship Id="rId48" Type="http://schemas.openxmlformats.org/officeDocument/2006/relationships/hyperlink" Target="https://www.nhs.uk/conditions/impetigo/" TargetMode="External"/><Relationship Id="rId56" Type="http://schemas.openxmlformats.org/officeDocument/2006/relationships/hyperlink" Target="https://bnf.nice.org.uk/" TargetMode="External"/><Relationship Id="rId64" Type="http://schemas.openxmlformats.org/officeDocument/2006/relationships/hyperlink" Target="https://elearning.rcgp.org.uk/mod/book/view.php?id=13511&amp;chapterid=784" TargetMode="External"/><Relationship Id="rId69" Type="http://schemas.openxmlformats.org/officeDocument/2006/relationships/hyperlink" Target="https://www.medicines.org.uk/emc" TargetMode="External"/><Relationship Id="rId77" Type="http://schemas.openxmlformats.org/officeDocument/2006/relationships/hyperlink" Target="https://www.nhs.uk/conditions/impetigo/"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medicines.org.uk/emc" TargetMode="External"/><Relationship Id="rId72" Type="http://schemas.openxmlformats.org/officeDocument/2006/relationships/hyperlink" Target="https://assets.publishing.service.gov.uk/government/uploads/system/uploads/attachment_data/file/138296/dh_103653__1_.pdf" TargetMode="External"/><Relationship Id="rId80" Type="http://schemas.openxmlformats.org/officeDocument/2006/relationships/hyperlink" Target="https://doi.org/10.1093/fampra/cmy104"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mpetigo/diagnosis/diagnosis/" TargetMode="External"/><Relationship Id="rId33" Type="http://schemas.openxmlformats.org/officeDocument/2006/relationships/hyperlink" Target="https://www.cuh.nhs.uk/patient-information/ketogenic-dietary-therapy-kdt-for-children-who-are-eating-orally-and-their-carers/" TargetMode="External"/><Relationship Id="rId38" Type="http://schemas.openxmlformats.org/officeDocument/2006/relationships/hyperlink" Target="https://www.crediblemeds.org/" TargetMode="External"/><Relationship Id="rId46" Type="http://schemas.openxmlformats.org/officeDocument/2006/relationships/hyperlink" Target="https://www.bad.org.uk/pils/impetigo/" TargetMode="External"/><Relationship Id="rId59" Type="http://schemas.openxmlformats.org/officeDocument/2006/relationships/hyperlink" Target="https://www.medicines.org.uk/emc" TargetMode="External"/><Relationship Id="rId67"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www.cppe.ac.uk/gateway/sepsis" TargetMode="External"/><Relationship Id="rId41" Type="http://schemas.openxmlformats.org/officeDocument/2006/relationships/hyperlink" Target="https://www.nhs.uk/medicines/digoxin/side-effects-of-digoxin/" TargetMode="External"/><Relationship Id="rId54" Type="http://schemas.openxmlformats.org/officeDocument/2006/relationships/hyperlink" Target="https://drug-interactions.medicine.iu.edu/main-table" TargetMode="External"/><Relationship Id="rId62" Type="http://schemas.openxmlformats.org/officeDocument/2006/relationships/hyperlink" Target="https://yellowcard.mhra.gov.uk/" TargetMode="External"/><Relationship Id="rId70" Type="http://schemas.openxmlformats.org/officeDocument/2006/relationships/hyperlink" Target="https://bnf.nice.org.uk/" TargetMode="External"/><Relationship Id="rId75" Type="http://schemas.openxmlformats.org/officeDocument/2006/relationships/hyperlink" Target="https://www.sps.nhs.uk/articles/using-solid-oral-dosage-form-antibiotics-in-children/"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www.medicines.org.uk/emc/" TargetMode="External"/><Relationship Id="rId36" Type="http://schemas.openxmlformats.org/officeDocument/2006/relationships/hyperlink" Target="https://www.bad.org.uk/pils/eczema-herpeticum/" TargetMode="External"/><Relationship Id="rId49" Type="http://schemas.openxmlformats.org/officeDocument/2006/relationships/hyperlink" Target="https://cks.nice.org.uk/topics/impetigo/background-information/complications/"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medicines.org.uk/emc" TargetMode="External"/><Relationship Id="rId44" Type="http://schemas.openxmlformats.org/officeDocument/2006/relationships/hyperlink" Target="https://www.nhs.uk/conditions/phenylketonuria/" TargetMode="External"/><Relationship Id="rId52" Type="http://schemas.openxmlformats.org/officeDocument/2006/relationships/hyperlink" Target="https://www.crediblemeds.org/" TargetMode="External"/><Relationship Id="rId60" Type="http://schemas.openxmlformats.org/officeDocument/2006/relationships/hyperlink" Target="https://bnf.nice.org.uk/" TargetMode="External"/><Relationship Id="rId65" Type="http://schemas.openxmlformats.org/officeDocument/2006/relationships/hyperlink" Target="https://www.medicines.org.uk/emc/" TargetMode="External"/><Relationship Id="rId73" Type="http://schemas.openxmlformats.org/officeDocument/2006/relationships/hyperlink" Target="https://www.medicinesforchildren.org.uk/medicines/clarithromycin-for-bacterial-infections/" TargetMode="External"/><Relationship Id="rId78" Type="http://schemas.openxmlformats.org/officeDocument/2006/relationships/hyperlink" Target="https://cks.nice.org.uk/topics/impetigo/"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dermnetnz.org/topics/impetigo"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sads.org.uk/drugs-to-avoid/?doing_wp_cron=1676975888.9472379684448242187500" TargetMode="External"/><Relationship Id="rId34" Type="http://schemas.openxmlformats.org/officeDocument/2006/relationships/hyperlink" Target="https://www.nhs.uk/conditions/atopic-eczema/" TargetMode="External"/><Relationship Id="rId50" Type="http://schemas.openxmlformats.org/officeDocument/2006/relationships/hyperlink" Target="https://www.nhs.uk/conditions/impetigo/" TargetMode="External"/><Relationship Id="rId55" Type="http://schemas.openxmlformats.org/officeDocument/2006/relationships/hyperlink" Target="https://www.mayocliniclabs.com/en/-/media/it-mmfiles/Special%20Instructions/B/7/4/Pharmacogenomic_Associations_Tables" TargetMode="External"/><Relationship Id="rId76" Type="http://schemas.openxmlformats.org/officeDocument/2006/relationships/hyperlink" Target="https://sepsistrust.org/professional-resources/sepsis-e-learning/" TargetMode="External"/><Relationship Id="rId7" Type="http://schemas.openxmlformats.org/officeDocument/2006/relationships/endnotes" Target="endnotes.xml"/><Relationship Id="rId71" Type="http://schemas.openxmlformats.org/officeDocument/2006/relationships/hyperlink" Target="https://bnfc.nice.org.uk/" TargetMode="External"/><Relationship Id="rId2" Type="http://schemas.openxmlformats.org/officeDocument/2006/relationships/numbering" Target="numbering.xml"/><Relationship Id="rId29" Type="http://schemas.openxmlformats.org/officeDocument/2006/relationships/hyperlink" Target="https://assets.publishing.service.gov.uk/government/uploads/system/uploads/attachment_data/file/1012943/Green_book_of_immunisation_28a_Shingles.pdf" TargetMode="External"/><Relationship Id="rId24" Type="http://schemas.openxmlformats.org/officeDocument/2006/relationships/hyperlink" Target="https://www.nice.org.uk/guidance/mpg2/resources" TargetMode="External"/><Relationship Id="rId40" Type="http://schemas.openxmlformats.org/officeDocument/2006/relationships/hyperlink" Target="https://www.sps.nhs.uk/articles/using-macrolide-antibiotics-during-breastfeeding/" TargetMode="External"/><Relationship Id="rId45" Type="http://schemas.openxmlformats.org/officeDocument/2006/relationships/hyperlink" Target="https://www.medicines.org.uk/emc" TargetMode="External"/><Relationship Id="rId66" Type="http://schemas.openxmlformats.org/officeDocument/2006/relationships/hyperlink" Target="https://www.nhs.uk/conditions/sepsis/" TargetMode="External"/><Relationship Id="rId61" Type="http://schemas.openxmlformats.org/officeDocument/2006/relationships/hyperlink" Target="https://www.nhs.uk/health-a-to-z/conditions/"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35A2-7BFD-409C-9491-7E16B5D7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6623</Words>
  <Characters>39942</Characters>
  <Application>Microsoft Office Word</Application>
  <DocSecurity>0</DocSecurity>
  <Lines>1377</Lines>
  <Paragraphs>612</Paragraphs>
  <ScaleCrop>false</ScaleCrop>
  <Company/>
  <LinksUpToDate>false</LinksUpToDate>
  <CharactersWithSpaces>45953</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2026-04-02T14:09:00Z</dcterms:created>
  <dcterms:modified xsi:type="dcterms:W3CDTF">2026-04-02T14:10:00Z</dcterms:modified>
</cp:coreProperties>
</file>