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1926" w14:textId="31A8AC72" w:rsidR="00606A75" w:rsidRPr="00606A75" w:rsidRDefault="00606A75" w:rsidP="00F57271">
      <w:pPr>
        <w:pStyle w:val="PGDLogo0"/>
        <w:jc w:val="left"/>
      </w:pPr>
      <w:bookmarkStart w:id="0" w:name="paracetamol"/>
      <w:r w:rsidRPr="002228EC">
        <w:rPr>
          <w:highlight w:val="cyan"/>
        </w:rPr>
        <w:t xml:space="preserve">[Insert </w:t>
      </w:r>
      <w:r w:rsidRPr="00606A75">
        <w:rPr>
          <w:highlight w:val="cyan"/>
        </w:rPr>
        <w:t xml:space="preserve">the </w:t>
      </w:r>
      <w:r w:rsidR="00F57271">
        <w:rPr>
          <w:highlight w:val="cyan"/>
        </w:rPr>
        <w:t xml:space="preserve">organisation </w:t>
      </w:r>
      <w:r w:rsidRPr="00606A75">
        <w:rPr>
          <w:highlight w:val="cyan"/>
        </w:rPr>
        <w:t>logo</w:t>
      </w:r>
      <w:r w:rsidRPr="00606A75">
        <w:rPr>
          <w:rStyle w:val="Hyperlink"/>
          <w:highlight w:val="cyan"/>
        </w:rPr>
        <w:t>]</w:t>
      </w:r>
    </w:p>
    <w:p w14:paraId="5C63205B" w14:textId="5390A4CE" w:rsidR="00606A75" w:rsidRDefault="00606A75" w:rsidP="00606A75">
      <w:pPr>
        <w:pStyle w:val="PGDTitle1"/>
      </w:pPr>
      <w:r w:rsidRPr="00606A75">
        <w:t>Template protocol</w:t>
      </w:r>
    </w:p>
    <w:p w14:paraId="782ABE52" w14:textId="77777777" w:rsidR="000B3EA7" w:rsidRDefault="000B3EA7" w:rsidP="000B3EA7">
      <w:pPr>
        <w:pStyle w:val="PGDTitle"/>
        <w:spacing w:after="0"/>
        <w:rPr>
          <w:bCs/>
        </w:rPr>
      </w:pPr>
      <w:r w:rsidRPr="000B3EA7">
        <w:rPr>
          <w:bCs/>
        </w:rPr>
        <w:t>for the Insertion of Copper Intrauterine Devices</w:t>
      </w:r>
    </w:p>
    <w:p w14:paraId="32EDC182" w14:textId="414B1328" w:rsidR="00D00B34" w:rsidRPr="00606A75" w:rsidRDefault="000B3EA7" w:rsidP="000B3EA7">
      <w:pPr>
        <w:pStyle w:val="PGDTitle"/>
        <w:spacing w:after="0"/>
      </w:pPr>
      <w:r w:rsidRPr="000B3EA7">
        <w:rPr>
          <w:bCs/>
        </w:rPr>
        <w:t xml:space="preserve"> (Cu-IUDs) </w:t>
      </w:r>
      <w:r w:rsidR="00D00B34" w:rsidRPr="00606A75">
        <w:t xml:space="preserve">in </w:t>
      </w:r>
      <w:r w:rsidR="00D74D72" w:rsidRPr="0060609E">
        <w:rPr>
          <w:highlight w:val="cyan"/>
        </w:rPr>
        <w:t>[</w:t>
      </w:r>
      <w:r w:rsidR="00D00B34" w:rsidRPr="00F57271">
        <w:rPr>
          <w:highlight w:val="cyan"/>
        </w:rPr>
        <w:t>location/service/organisation</w:t>
      </w:r>
      <w:r w:rsidR="00D74D72" w:rsidRPr="0060609E">
        <w:rPr>
          <w:highlight w:val="cyan"/>
        </w:rPr>
        <w:t>]</w:t>
      </w:r>
    </w:p>
    <w:p w14:paraId="26C7767A" w14:textId="77777777" w:rsidR="0044344D" w:rsidRDefault="0044344D" w:rsidP="00D00B34">
      <w:pPr>
        <w:spacing w:after="0" w:line="240" w:lineRule="auto"/>
        <w:jc w:val="center"/>
        <w:rPr>
          <w:rStyle w:val="PGDVersionNumber"/>
        </w:rPr>
      </w:pPr>
    </w:p>
    <w:p w14:paraId="51B8071F" w14:textId="77777777" w:rsidR="0044344D" w:rsidRDefault="0044344D" w:rsidP="00D00B34">
      <w:pPr>
        <w:spacing w:after="0" w:line="240" w:lineRule="auto"/>
        <w:jc w:val="center"/>
        <w:rPr>
          <w:rStyle w:val="PGDVersionNumber"/>
        </w:rPr>
      </w:pPr>
    </w:p>
    <w:p w14:paraId="6625572A" w14:textId="4D18F691" w:rsidR="00D00B34" w:rsidRDefault="00D00B34" w:rsidP="00D00B34">
      <w:pPr>
        <w:spacing w:after="0" w:line="240" w:lineRule="auto"/>
        <w:jc w:val="center"/>
        <w:rPr>
          <w:rStyle w:val="PGDVersionNumber"/>
        </w:rPr>
      </w:pPr>
      <w:r w:rsidRPr="00FD6567">
        <w:rPr>
          <w:rStyle w:val="PGDVersionNumber"/>
        </w:rPr>
        <w:t xml:space="preserve">Version </w:t>
      </w:r>
      <w:r w:rsidRPr="00847EBD">
        <w:rPr>
          <w:rStyle w:val="PGDVersionNumber"/>
        </w:rPr>
        <w:t xml:space="preserve">Number </w:t>
      </w:r>
      <w:r w:rsidR="00091292" w:rsidRPr="00847EBD">
        <w:rPr>
          <w:rStyle w:val="PGDVersionNumber"/>
        </w:rPr>
        <w:t>2.0</w:t>
      </w:r>
    </w:p>
    <w:p w14:paraId="15933104" w14:textId="44065FD6" w:rsidR="00417E8F" w:rsidRPr="00FD6567" w:rsidRDefault="00417E8F" w:rsidP="00FD6567">
      <w:pPr>
        <w:pStyle w:val="Tabletitle"/>
        <w:rPr>
          <w:rStyle w:val="PGDVersionNumber"/>
        </w:rPr>
      </w:pPr>
      <w:r>
        <w:rPr>
          <w:rStyle w:val="PGDVersionNumber"/>
        </w:rPr>
        <w:t>Change history</w:t>
      </w:r>
    </w:p>
    <w:p w14:paraId="418DD647" w14:textId="77777777" w:rsidR="00D00B34" w:rsidRPr="00D00B34" w:rsidRDefault="00D00B34" w:rsidP="00D00B34">
      <w:pPr>
        <w:spacing w:after="0" w:line="240" w:lineRule="auto"/>
        <w:rPr>
          <w:rFonts w:ascii="Arial" w:eastAsia="Times New Roman" w:hAnsi="Arial" w:cs="Arial"/>
        </w:rPr>
      </w:pPr>
    </w:p>
    <w:tbl>
      <w:tblPr>
        <w:tblW w:w="8805"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Change history table"/>
        <w:tblDescription w:val="Table showing version and date and change details"/>
      </w:tblPr>
      <w:tblGrid>
        <w:gridCol w:w="1782"/>
        <w:gridCol w:w="7023"/>
      </w:tblGrid>
      <w:tr w:rsidR="00D00B34" w:rsidRPr="00D00B34" w14:paraId="352AEE59" w14:textId="77777777" w:rsidTr="000B3EA7">
        <w:trPr>
          <w:trHeight w:val="442"/>
        </w:trPr>
        <w:tc>
          <w:tcPr>
            <w:tcW w:w="1782" w:type="dxa"/>
            <w:tcBorders>
              <w:top w:val="single" w:sz="4" w:space="0" w:color="auto"/>
              <w:left w:val="single" w:sz="4" w:space="0" w:color="auto"/>
              <w:bottom w:val="single" w:sz="4" w:space="0" w:color="auto"/>
              <w:right w:val="single" w:sz="4" w:space="0" w:color="auto"/>
            </w:tcBorders>
          </w:tcPr>
          <w:p w14:paraId="2CDD402F" w14:textId="77777777" w:rsidR="00D00B34" w:rsidRPr="00FD6567" w:rsidRDefault="00D00B34" w:rsidP="00FD6567">
            <w:pPr>
              <w:pStyle w:val="TableHeaderRow"/>
              <w:rPr>
                <w:b w:val="0"/>
                <w:sz w:val="24"/>
                <w:szCs w:val="24"/>
              </w:rPr>
            </w:pPr>
            <w:r w:rsidRPr="00FD6567">
              <w:rPr>
                <w:sz w:val="24"/>
                <w:szCs w:val="24"/>
              </w:rPr>
              <w:t>Version and Date</w:t>
            </w:r>
          </w:p>
        </w:tc>
        <w:tc>
          <w:tcPr>
            <w:tcW w:w="7023" w:type="dxa"/>
            <w:tcBorders>
              <w:top w:val="single" w:sz="4" w:space="0" w:color="auto"/>
              <w:left w:val="single" w:sz="4" w:space="0" w:color="auto"/>
              <w:bottom w:val="single" w:sz="4" w:space="0" w:color="auto"/>
              <w:right w:val="single" w:sz="4" w:space="0" w:color="auto"/>
            </w:tcBorders>
          </w:tcPr>
          <w:p w14:paraId="3EF41734" w14:textId="77777777" w:rsidR="00D00B34" w:rsidRPr="00FD6567" w:rsidRDefault="00D00B34" w:rsidP="00FD6567">
            <w:pPr>
              <w:pStyle w:val="TableHeaderRow"/>
              <w:rPr>
                <w:b w:val="0"/>
                <w:sz w:val="24"/>
                <w:szCs w:val="24"/>
              </w:rPr>
            </w:pPr>
            <w:r w:rsidRPr="00FD6567">
              <w:rPr>
                <w:sz w:val="24"/>
                <w:szCs w:val="24"/>
              </w:rPr>
              <w:t>Change details</w:t>
            </w:r>
          </w:p>
        </w:tc>
      </w:tr>
      <w:tr w:rsidR="00D00B34" w:rsidRPr="00B758C6" w14:paraId="307025C3" w14:textId="77777777" w:rsidTr="000B3EA7">
        <w:trPr>
          <w:trHeight w:val="442"/>
        </w:trPr>
        <w:tc>
          <w:tcPr>
            <w:tcW w:w="1782" w:type="dxa"/>
            <w:tcBorders>
              <w:top w:val="single" w:sz="4" w:space="0" w:color="auto"/>
              <w:left w:val="single" w:sz="4" w:space="0" w:color="auto"/>
              <w:bottom w:val="single" w:sz="4" w:space="0" w:color="auto"/>
              <w:right w:val="single" w:sz="4" w:space="0" w:color="auto"/>
            </w:tcBorders>
          </w:tcPr>
          <w:p w14:paraId="4B06989C" w14:textId="77777777" w:rsidR="00D00B34" w:rsidRPr="00B758C6" w:rsidRDefault="00D00B34" w:rsidP="00FD6567">
            <w:pPr>
              <w:pStyle w:val="Tabletext"/>
              <w:rPr>
                <w:sz w:val="24"/>
                <w:szCs w:val="28"/>
              </w:rPr>
            </w:pPr>
            <w:r w:rsidRPr="00B758C6">
              <w:rPr>
                <w:sz w:val="24"/>
                <w:szCs w:val="28"/>
              </w:rPr>
              <w:t>Version 1</w:t>
            </w:r>
          </w:p>
          <w:p w14:paraId="57196F10" w14:textId="37DCA06F" w:rsidR="00D00B34" w:rsidRPr="00B758C6" w:rsidRDefault="000B3EA7" w:rsidP="00FD6567">
            <w:pPr>
              <w:pStyle w:val="Tabletext"/>
              <w:rPr>
                <w:sz w:val="24"/>
                <w:szCs w:val="28"/>
              </w:rPr>
            </w:pPr>
            <w:r>
              <w:rPr>
                <w:sz w:val="24"/>
                <w:szCs w:val="28"/>
              </w:rPr>
              <w:t xml:space="preserve">October </w:t>
            </w:r>
            <w:r w:rsidR="00D00B34" w:rsidRPr="00B758C6">
              <w:rPr>
                <w:sz w:val="24"/>
                <w:szCs w:val="28"/>
              </w:rPr>
              <w:t>2023</w:t>
            </w:r>
          </w:p>
        </w:tc>
        <w:tc>
          <w:tcPr>
            <w:tcW w:w="7023" w:type="dxa"/>
            <w:tcBorders>
              <w:top w:val="single" w:sz="4" w:space="0" w:color="auto"/>
              <w:left w:val="single" w:sz="4" w:space="0" w:color="auto"/>
              <w:bottom w:val="single" w:sz="4" w:space="0" w:color="auto"/>
              <w:right w:val="single" w:sz="4" w:space="0" w:color="auto"/>
            </w:tcBorders>
          </w:tcPr>
          <w:p w14:paraId="05C6A337" w14:textId="77777777" w:rsidR="00D00B34" w:rsidRPr="00B758C6" w:rsidRDefault="00D00B34" w:rsidP="00FD6567">
            <w:pPr>
              <w:pStyle w:val="Tabletext"/>
              <w:rPr>
                <w:sz w:val="24"/>
                <w:szCs w:val="28"/>
              </w:rPr>
            </w:pPr>
            <w:r w:rsidRPr="00B758C6">
              <w:rPr>
                <w:sz w:val="24"/>
                <w:szCs w:val="28"/>
              </w:rPr>
              <w:t>New template</w:t>
            </w:r>
          </w:p>
        </w:tc>
      </w:tr>
      <w:tr w:rsidR="000B3EA7" w14:paraId="6396480F" w14:textId="77777777" w:rsidTr="000B3EA7">
        <w:tblPrEx>
          <w:tblLook w:val="04A0" w:firstRow="1" w:lastRow="0" w:firstColumn="1" w:lastColumn="0" w:noHBand="0" w:noVBand="1"/>
        </w:tblPrEx>
        <w:trPr>
          <w:trHeight w:val="442"/>
        </w:trPr>
        <w:tc>
          <w:tcPr>
            <w:tcW w:w="1782" w:type="dxa"/>
            <w:tcBorders>
              <w:top w:val="single" w:sz="4" w:space="0" w:color="auto"/>
              <w:left w:val="single" w:sz="4" w:space="0" w:color="auto"/>
              <w:bottom w:val="single" w:sz="4" w:space="0" w:color="auto"/>
              <w:right w:val="single" w:sz="4" w:space="0" w:color="auto"/>
            </w:tcBorders>
            <w:hideMark/>
          </w:tcPr>
          <w:p w14:paraId="250125A5" w14:textId="77777777" w:rsidR="000B3EA7" w:rsidRDefault="000B3EA7" w:rsidP="000B3EA7">
            <w:pPr>
              <w:pStyle w:val="Tabletext"/>
            </w:pPr>
            <w:bookmarkStart w:id="1" w:name="_Hlk206153341"/>
            <w:r>
              <w:t>Version 1.1</w:t>
            </w:r>
          </w:p>
          <w:p w14:paraId="380DE2FD" w14:textId="77777777" w:rsidR="000B3EA7" w:rsidRDefault="000B3EA7" w:rsidP="000B3EA7">
            <w:pPr>
              <w:pStyle w:val="Tabletext"/>
            </w:pPr>
            <w:r>
              <w:t>November 2023</w:t>
            </w:r>
          </w:p>
        </w:tc>
        <w:tc>
          <w:tcPr>
            <w:tcW w:w="7023" w:type="dxa"/>
            <w:tcBorders>
              <w:top w:val="single" w:sz="4" w:space="0" w:color="auto"/>
              <w:left w:val="single" w:sz="4" w:space="0" w:color="auto"/>
              <w:bottom w:val="single" w:sz="4" w:space="0" w:color="auto"/>
              <w:right w:val="single" w:sz="4" w:space="0" w:color="auto"/>
            </w:tcBorders>
          </w:tcPr>
          <w:p w14:paraId="07C9D8A8" w14:textId="77777777" w:rsidR="000B3EA7" w:rsidRDefault="000B3EA7" w:rsidP="000B3EA7">
            <w:pPr>
              <w:pStyle w:val="Tabletext"/>
              <w:rPr>
                <w:rFonts w:eastAsiaTheme="minorHAnsi"/>
              </w:rPr>
            </w:pPr>
            <w:r>
              <w:t>Additional indication of postpartum intrauterine contraception (PPIUC).</w:t>
            </w:r>
          </w:p>
          <w:p w14:paraId="65896937" w14:textId="77777777" w:rsidR="000B3EA7" w:rsidRDefault="000B3EA7" w:rsidP="000B3EA7">
            <w:pPr>
              <w:pStyle w:val="Tabletext"/>
            </w:pPr>
          </w:p>
        </w:tc>
      </w:tr>
      <w:tr w:rsidR="00091292" w:rsidRPr="00091292" w14:paraId="0C70503B" w14:textId="77777777" w:rsidTr="000B3EA7">
        <w:tblPrEx>
          <w:tblLook w:val="04A0" w:firstRow="1" w:lastRow="0" w:firstColumn="1" w:lastColumn="0" w:noHBand="0" w:noVBand="1"/>
        </w:tblPrEx>
        <w:trPr>
          <w:trHeight w:val="442"/>
        </w:trPr>
        <w:tc>
          <w:tcPr>
            <w:tcW w:w="1782" w:type="dxa"/>
            <w:tcBorders>
              <w:top w:val="single" w:sz="4" w:space="0" w:color="auto"/>
              <w:left w:val="single" w:sz="4" w:space="0" w:color="auto"/>
              <w:bottom w:val="single" w:sz="4" w:space="0" w:color="auto"/>
              <w:right w:val="single" w:sz="4" w:space="0" w:color="auto"/>
            </w:tcBorders>
          </w:tcPr>
          <w:p w14:paraId="6E4C3F44" w14:textId="77777777" w:rsidR="00091292" w:rsidRPr="00847EBD" w:rsidRDefault="00091292" w:rsidP="000B3EA7">
            <w:pPr>
              <w:pStyle w:val="Tabletext"/>
            </w:pPr>
            <w:r w:rsidRPr="00847EBD">
              <w:t>Version 2.0</w:t>
            </w:r>
          </w:p>
          <w:p w14:paraId="5A848F46" w14:textId="37E44763" w:rsidR="00091292" w:rsidRPr="00847EBD" w:rsidRDefault="00CE3B3D" w:rsidP="000B3EA7">
            <w:pPr>
              <w:pStyle w:val="Tabletext"/>
            </w:pPr>
            <w:r w:rsidRPr="00847EBD">
              <w:t>April</w:t>
            </w:r>
            <w:r w:rsidR="00091292" w:rsidRPr="00847EBD">
              <w:t xml:space="preserve"> 2026</w:t>
            </w:r>
          </w:p>
        </w:tc>
        <w:tc>
          <w:tcPr>
            <w:tcW w:w="7023" w:type="dxa"/>
            <w:tcBorders>
              <w:top w:val="single" w:sz="4" w:space="0" w:color="auto"/>
              <w:left w:val="single" w:sz="4" w:space="0" w:color="auto"/>
              <w:bottom w:val="single" w:sz="4" w:space="0" w:color="auto"/>
              <w:right w:val="single" w:sz="4" w:space="0" w:color="auto"/>
            </w:tcBorders>
          </w:tcPr>
          <w:p w14:paraId="2A7959A1" w14:textId="7D2CCF67" w:rsidR="00091292" w:rsidRPr="00847EBD" w:rsidRDefault="00661148" w:rsidP="000B3EA7">
            <w:pPr>
              <w:pStyle w:val="Tabletext"/>
            </w:pPr>
            <w:r w:rsidRPr="00847EBD">
              <w:t xml:space="preserve">Planned end-of-life review (no clinical changes from expired version 1.1). </w:t>
            </w:r>
            <w:r w:rsidRPr="00847EBD">
              <w:rPr>
                <w:rFonts w:asciiTheme="minorHAnsi" w:eastAsiaTheme="minorHAnsi" w:hAnsiTheme="minorHAnsi" w:cstheme="minorBidi"/>
                <w:kern w:val="2"/>
                <w:sz w:val="24"/>
                <w:lang w:val="en-GB"/>
                <w14:ligatures w14:val="standardContextual"/>
              </w:rPr>
              <w:t xml:space="preserve"> </w:t>
            </w:r>
            <w:r w:rsidRPr="00847EBD">
              <w:rPr>
                <w:lang w:val="en-GB"/>
              </w:rPr>
              <w:t xml:space="preserve">Updated references to FSRH to CoSRH. </w:t>
            </w:r>
            <w:r w:rsidR="006D7041" w:rsidRPr="00847EBD">
              <w:rPr>
                <w:lang w:val="en-GB"/>
              </w:rPr>
              <w:t xml:space="preserve">Amended IUC/IUS to IUD in line with </w:t>
            </w:r>
            <w:r w:rsidR="00F26AEE" w:rsidRPr="00847EBD">
              <w:rPr>
                <w:lang w:val="en-GB"/>
              </w:rPr>
              <w:t xml:space="preserve">revised </w:t>
            </w:r>
            <w:r w:rsidR="006D7041" w:rsidRPr="00847EBD">
              <w:rPr>
                <w:lang w:val="en-GB"/>
              </w:rPr>
              <w:t xml:space="preserve">UKMEC 2025. </w:t>
            </w:r>
            <w:r w:rsidR="00AF3FDA" w:rsidRPr="00847EBD">
              <w:rPr>
                <w:lang w:val="en-GB"/>
              </w:rPr>
              <w:t xml:space="preserve">Removed product list. </w:t>
            </w:r>
            <w:r w:rsidRPr="00847EBD">
              <w:t>Updated references. Updated SLWG membership.</w:t>
            </w:r>
          </w:p>
        </w:tc>
      </w:tr>
      <w:bookmarkEnd w:id="1"/>
    </w:tbl>
    <w:p w14:paraId="7984061C" w14:textId="77777777" w:rsidR="00D00B34" w:rsidRPr="00D00B34" w:rsidRDefault="00D00B34" w:rsidP="00D00B34">
      <w:pPr>
        <w:spacing w:after="0" w:line="240" w:lineRule="auto"/>
        <w:rPr>
          <w:rFonts w:ascii="Arial" w:eastAsia="Times New Roman" w:hAnsi="Arial" w:cs="Arial"/>
          <w:b/>
          <w:color w:val="FF0000"/>
        </w:rPr>
      </w:pPr>
    </w:p>
    <w:p w14:paraId="7E517C9E" w14:textId="66F86C87" w:rsidR="004757C5" w:rsidRDefault="00D00B34" w:rsidP="00B0456D">
      <w:pPr>
        <w:pStyle w:val="PGDNormal"/>
        <w:jc w:val="both"/>
        <w:rPr>
          <w:sz w:val="24"/>
          <w:szCs w:val="28"/>
        </w:rPr>
      </w:pPr>
      <w:r w:rsidRPr="0060609E">
        <w:rPr>
          <w:sz w:val="24"/>
          <w:szCs w:val="28"/>
        </w:rPr>
        <w:t xml:space="preserve">This template protocol, for local adaptation, has been peer reviewed by the Reproductive Health PGD/protocols Short Life Working Group in accordance with their Terms of Reference. </w:t>
      </w:r>
      <w:r w:rsidR="000B3EA7" w:rsidRPr="0060609E">
        <w:rPr>
          <w:sz w:val="24"/>
          <w:szCs w:val="28"/>
          <w:lang w:val="en-GB"/>
        </w:rPr>
        <w:t xml:space="preserve">It has been approved by the </w:t>
      </w:r>
      <w:r w:rsidR="0060609E">
        <w:rPr>
          <w:sz w:val="24"/>
          <w:szCs w:val="28"/>
          <w:lang w:val="en-GB"/>
        </w:rPr>
        <w:t>College of</w:t>
      </w:r>
      <w:r w:rsidR="000B3EA7" w:rsidRPr="0060609E">
        <w:rPr>
          <w:sz w:val="24"/>
          <w:szCs w:val="28"/>
          <w:lang w:val="en-GB"/>
        </w:rPr>
        <w:t xml:space="preserve"> Sexual and Reproductive Health</w:t>
      </w:r>
      <w:r w:rsidR="00B21C72" w:rsidRPr="0060609E">
        <w:rPr>
          <w:sz w:val="24"/>
          <w:szCs w:val="28"/>
          <w:lang w:val="en-GB"/>
        </w:rPr>
        <w:t>care</w:t>
      </w:r>
      <w:r w:rsidR="000B3EA7" w:rsidRPr="0060609E">
        <w:rPr>
          <w:sz w:val="24"/>
          <w:szCs w:val="28"/>
          <w:lang w:val="en-GB"/>
        </w:rPr>
        <w:t xml:space="preserve"> (</w:t>
      </w:r>
      <w:r w:rsidR="0060609E" w:rsidRPr="0060609E">
        <w:rPr>
          <w:sz w:val="24"/>
          <w:szCs w:val="28"/>
          <w:lang w:val="en-GB"/>
        </w:rPr>
        <w:t>Co</w:t>
      </w:r>
      <w:r w:rsidR="000B3EA7" w:rsidRPr="0060609E">
        <w:rPr>
          <w:sz w:val="24"/>
          <w:szCs w:val="28"/>
          <w:lang w:val="en-GB"/>
        </w:rPr>
        <w:t xml:space="preserve">SRH) in </w:t>
      </w:r>
      <w:r w:rsidR="004E5AC8">
        <w:rPr>
          <w:sz w:val="24"/>
          <w:szCs w:val="28"/>
          <w:lang w:val="en-GB"/>
        </w:rPr>
        <w:t>April</w:t>
      </w:r>
      <w:r w:rsidR="000B3EA7" w:rsidRPr="004E5AC8">
        <w:rPr>
          <w:sz w:val="24"/>
          <w:szCs w:val="28"/>
          <w:lang w:val="en-GB"/>
        </w:rPr>
        <w:t xml:space="preserve"> 202</w:t>
      </w:r>
      <w:r w:rsidR="0060609E" w:rsidRPr="004E5AC8">
        <w:rPr>
          <w:sz w:val="24"/>
          <w:szCs w:val="28"/>
          <w:lang w:val="en-GB"/>
        </w:rPr>
        <w:t>6</w:t>
      </w:r>
      <w:r w:rsidR="000B3EA7" w:rsidRPr="0060609E">
        <w:rPr>
          <w:sz w:val="24"/>
          <w:szCs w:val="28"/>
          <w:lang w:val="en-GB"/>
        </w:rPr>
        <w:t>.</w:t>
      </w:r>
    </w:p>
    <w:p w14:paraId="5C5F02DB" w14:textId="2B1D3DE7" w:rsidR="004F7DAB" w:rsidRDefault="00D43BAE" w:rsidP="00B0456D">
      <w:pPr>
        <w:pStyle w:val="PGDNormal"/>
        <w:jc w:val="both"/>
        <w:rPr>
          <w:sz w:val="24"/>
          <w:szCs w:val="28"/>
          <w:shd w:val="clear" w:color="auto" w:fill="FFFFFF"/>
        </w:rPr>
      </w:pPr>
      <w:bookmarkStart w:id="2" w:name="_Hlk217049510"/>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00672C03" w:rsidRPr="00B758C6">
        <w:rPr>
          <w:sz w:val="24"/>
          <w:szCs w:val="28"/>
          <w:shd w:val="clear" w:color="auto" w:fill="FFFFFF"/>
        </w:rPr>
        <w:t>protocol</w:t>
      </w:r>
      <w:r w:rsidRPr="00B758C6">
        <w:rPr>
          <w:sz w:val="24"/>
          <w:szCs w:val="28"/>
          <w:shd w:val="clear" w:color="auto" w:fill="FFFFFF"/>
        </w:rPr>
        <w:t>.</w:t>
      </w:r>
    </w:p>
    <w:bookmarkEnd w:id="2"/>
    <w:p w14:paraId="6F9F032E" w14:textId="66862986" w:rsidR="004F7DAB" w:rsidRPr="00D42032" w:rsidRDefault="004F7DAB" w:rsidP="004F7DAB">
      <w:pPr>
        <w:pStyle w:val="PGDNormal"/>
        <w:jc w:val="both"/>
        <w:rPr>
          <w:rStyle w:val="Hyperlink"/>
          <w:b/>
          <w:bCs/>
          <w:szCs w:val="28"/>
          <w:shd w:val="clear" w:color="auto" w:fill="FFFFFF"/>
          <w:lang w:val="en-GB"/>
        </w:rPr>
      </w:pPr>
      <w:r w:rsidRPr="004F7DAB">
        <w:rPr>
          <w:sz w:val="24"/>
          <w:szCs w:val="28"/>
          <w:shd w:val="clear" w:color="auto" w:fill="FFFFFF"/>
        </w:rPr>
        <w:t xml:space="preserve">The most up to date version of the template is available on the SPS webpage -  </w:t>
      </w:r>
      <w:r w:rsidR="00D42032">
        <w:rPr>
          <w:sz w:val="24"/>
        </w:rPr>
        <w:fldChar w:fldCharType="begin"/>
      </w:r>
      <w:r w:rsidR="00BE7375">
        <w:rPr>
          <w:sz w:val="24"/>
        </w:rPr>
        <w:instrText>HYPERLINK "https://www.sps.nhs.uk/home/guidance/patient-group-directions-and-legal-mechanisms/national-pgd-protocol-and-written-instructions-templates/"</w:instrText>
      </w:r>
      <w:r w:rsidR="00D42032">
        <w:rPr>
          <w:sz w:val="24"/>
        </w:rPr>
      </w:r>
      <w:r w:rsidR="00D42032">
        <w:rPr>
          <w:sz w:val="24"/>
        </w:rPr>
        <w:fldChar w:fldCharType="separate"/>
      </w:r>
      <w:r w:rsidRPr="00D42032">
        <w:rPr>
          <w:rStyle w:val="Hyperlink"/>
        </w:rPr>
        <w:t>National PGD, protocol and written instructions templates</w:t>
      </w:r>
    </w:p>
    <w:p w14:paraId="564A6D9A" w14:textId="6E999532" w:rsidR="00D00B34" w:rsidRPr="00D42032" w:rsidRDefault="00D42032" w:rsidP="00B0456D">
      <w:pPr>
        <w:pStyle w:val="PGDNormal"/>
        <w:jc w:val="both"/>
        <w:rPr>
          <w:rStyle w:val="Hyperlink"/>
          <w:rFonts w:cs="Arial"/>
          <w:bCs/>
        </w:rPr>
      </w:pPr>
      <w:r>
        <w:rPr>
          <w:sz w:val="24"/>
        </w:rPr>
        <w:fldChar w:fldCharType="end"/>
      </w:r>
      <w:r w:rsidR="00D00B34" w:rsidRPr="00B758C6">
        <w:rPr>
          <w:sz w:val="24"/>
          <w:szCs w:val="28"/>
        </w:rPr>
        <w:t>For advice on protocol use in practice/advised supporting governance please refer to</w:t>
      </w:r>
      <w:r w:rsidR="00467E00" w:rsidRPr="00B758C6">
        <w:rPr>
          <w:sz w:val="24"/>
          <w:szCs w:val="28"/>
        </w:rPr>
        <w:t xml:space="preserve"> </w:t>
      </w:r>
      <w:r w:rsidR="00417E8F" w:rsidRPr="00B758C6">
        <w:rPr>
          <w:sz w:val="24"/>
          <w:szCs w:val="28"/>
        </w:rPr>
        <w:t xml:space="preserve"> </w:t>
      </w:r>
      <w:hyperlink r:id="rId10" w:history="1">
        <w:r w:rsidR="00785611" w:rsidRPr="0044344D">
          <w:rPr>
            <w:rStyle w:val="Hyperlink"/>
            <w:lang w:val="en-GB"/>
          </w:rPr>
          <w:t>When not to use a PGD (SPS page)</w:t>
        </w:r>
      </w:hyperlink>
      <w:r w:rsidR="00785611">
        <w:t xml:space="preserve"> </w:t>
      </w:r>
      <w:r w:rsidR="00D00B34" w:rsidRPr="00B758C6">
        <w:rPr>
          <w:rStyle w:val="Hyperlink"/>
          <w:rFonts w:cs="Arial"/>
          <w:bCs/>
          <w:color w:val="auto"/>
          <w:szCs w:val="28"/>
          <w:u w:val="none"/>
        </w:rPr>
        <w:t>and</w:t>
      </w:r>
      <w:r w:rsidR="00467E00" w:rsidRPr="00B758C6">
        <w:rPr>
          <w:rStyle w:val="Hyperlink"/>
          <w:rFonts w:cs="Arial"/>
          <w:bCs/>
          <w:color w:val="auto"/>
          <w:szCs w:val="28"/>
          <w:u w:val="none"/>
        </w:rPr>
        <w:t xml:space="preserve"> </w:t>
      </w:r>
      <w:r>
        <w:rPr>
          <w:rFonts w:cs="Arial"/>
          <w:bCs/>
          <w:sz w:val="24"/>
          <w:szCs w:val="28"/>
        </w:rPr>
        <w:fldChar w:fldCharType="begin"/>
      </w:r>
      <w:r>
        <w:rPr>
          <w:rFonts w:cs="Arial"/>
          <w:bCs/>
          <w:sz w:val="24"/>
          <w:szCs w:val="28"/>
        </w:rPr>
        <w:instrText>HYPERLINK "https://www.sps.nhs.uk/articles/about-the-sps-medicines-governance-do-once-programme/"</w:instrText>
      </w:r>
      <w:r>
        <w:rPr>
          <w:rFonts w:cs="Arial"/>
          <w:bCs/>
          <w:sz w:val="24"/>
          <w:szCs w:val="28"/>
        </w:rPr>
      </w:r>
      <w:r>
        <w:rPr>
          <w:rFonts w:cs="Arial"/>
          <w:bCs/>
          <w:sz w:val="24"/>
          <w:szCs w:val="28"/>
        </w:rPr>
        <w:fldChar w:fldCharType="separate"/>
      </w:r>
      <w:r w:rsidR="00D00B34" w:rsidRPr="00D42032">
        <w:rPr>
          <w:rStyle w:val="Hyperlink"/>
          <w:rFonts w:cs="Arial"/>
          <w:bCs/>
          <w:szCs w:val="28"/>
        </w:rPr>
        <w:t xml:space="preserve">About the SPS Medicines Governance Do Once </w:t>
      </w:r>
      <w:proofErr w:type="spellStart"/>
      <w:r w:rsidR="00D00B34" w:rsidRPr="00D42032">
        <w:rPr>
          <w:rStyle w:val="Hyperlink"/>
          <w:rFonts w:cs="Arial"/>
          <w:bCs/>
          <w:szCs w:val="28"/>
        </w:rPr>
        <w:t>Programme</w:t>
      </w:r>
      <w:proofErr w:type="spellEnd"/>
      <w:r w:rsidR="00417E8F" w:rsidRPr="00D42032">
        <w:rPr>
          <w:rStyle w:val="Hyperlink"/>
          <w:rFonts w:cs="Arial"/>
          <w:szCs w:val="28"/>
        </w:rPr>
        <w:t xml:space="preserve"> (SPS page)</w:t>
      </w:r>
      <w:r w:rsidR="00417E8F" w:rsidRPr="00D42032">
        <w:rPr>
          <w:rStyle w:val="Hyperlink"/>
          <w:sz w:val="22"/>
        </w:rPr>
        <w:t>.</w:t>
      </w:r>
    </w:p>
    <w:p w14:paraId="005B9BD8" w14:textId="0F2F804F" w:rsidR="00D00B34" w:rsidRPr="00B758C6" w:rsidRDefault="00D42032" w:rsidP="00B0456D">
      <w:pPr>
        <w:pStyle w:val="PGDNormal"/>
        <w:rPr>
          <w:sz w:val="24"/>
          <w:szCs w:val="28"/>
        </w:rPr>
      </w:pPr>
      <w:r>
        <w:rPr>
          <w:rFonts w:cs="Arial"/>
          <w:bCs/>
          <w:sz w:val="24"/>
          <w:szCs w:val="28"/>
        </w:rPr>
        <w:fldChar w:fldCharType="end"/>
      </w:r>
      <w:r w:rsidR="002768B9" w:rsidRPr="00B758C6">
        <w:rPr>
          <w:sz w:val="24"/>
          <w:szCs w:val="28"/>
          <w:highlight w:val="yellow"/>
        </w:rPr>
        <w:t>[</w:t>
      </w:r>
      <w:r w:rsidR="00D74D72" w:rsidRPr="00B758C6">
        <w:rPr>
          <w:sz w:val="24"/>
          <w:szCs w:val="28"/>
          <w:highlight w:val="yellow"/>
        </w:rPr>
        <w:t>[</w:t>
      </w:r>
      <w:r w:rsidR="00D00B34" w:rsidRPr="00B758C6">
        <w:rPr>
          <w:sz w:val="24"/>
          <w:szCs w:val="28"/>
          <w:highlight w:val="yellow"/>
        </w:rPr>
        <w:t>Organisations should link to local infection control/PPE guidance relevant to the use of this produ</w:t>
      </w:r>
      <w:r w:rsidR="00D00B34" w:rsidRPr="00A25F65">
        <w:rPr>
          <w:sz w:val="24"/>
          <w:szCs w:val="28"/>
          <w:highlight w:val="yellow"/>
        </w:rPr>
        <w:t>ct.</w:t>
      </w:r>
      <w:r w:rsidR="00D74D72" w:rsidRPr="00A25F65">
        <w:rPr>
          <w:sz w:val="24"/>
          <w:szCs w:val="28"/>
          <w:highlight w:val="yellow"/>
        </w:rPr>
        <w:t>]</w:t>
      </w:r>
      <w:r w:rsidR="002768B9" w:rsidRPr="00A25F65">
        <w:rPr>
          <w:sz w:val="24"/>
          <w:szCs w:val="28"/>
          <w:highlight w:val="yellow"/>
        </w:rPr>
        <w:t>]</w:t>
      </w:r>
    </w:p>
    <w:p w14:paraId="7BB2FCE3" w14:textId="42023FF0" w:rsidR="00FE097C" w:rsidRPr="00F57271" w:rsidRDefault="002768B9" w:rsidP="0044344D">
      <w:pPr>
        <w:pStyle w:val="PGDNormal"/>
        <w:rPr>
          <w:rFonts w:cs="Arial"/>
          <w:bCs/>
        </w:rPr>
      </w:pPr>
      <w:r w:rsidRPr="00B758C6">
        <w:rPr>
          <w:sz w:val="24"/>
          <w:szCs w:val="28"/>
          <w:highlight w:val="yellow"/>
        </w:rPr>
        <w:t>[[</w:t>
      </w:r>
      <w:r w:rsidR="00D00B34" w:rsidRPr="00B758C6">
        <w:rPr>
          <w:sz w:val="24"/>
          <w:szCs w:val="28"/>
          <w:highlight w:val="yellow"/>
        </w:rPr>
        <w:t xml:space="preserve">Each organisation using this protocol must ensure that it is appropriately reviewed and approved for use in line with the </w:t>
      </w:r>
      <w:r w:rsidR="00606A75" w:rsidRPr="00B758C6">
        <w:rPr>
          <w:sz w:val="24"/>
          <w:szCs w:val="28"/>
          <w:highlight w:val="yellow"/>
        </w:rPr>
        <w:t>organization’s</w:t>
      </w:r>
      <w:r w:rsidR="00467E00" w:rsidRPr="00B758C6">
        <w:rPr>
          <w:sz w:val="24"/>
          <w:szCs w:val="28"/>
          <w:highlight w:val="yellow"/>
        </w:rPr>
        <w:t xml:space="preserve"> </w:t>
      </w:r>
      <w:r w:rsidR="00D00B34" w:rsidRPr="00B758C6">
        <w:rPr>
          <w:sz w:val="24"/>
          <w:szCs w:val="28"/>
          <w:highlight w:val="yellow"/>
        </w:rPr>
        <w:t>governance system.</w:t>
      </w:r>
      <w:r w:rsidR="00D74D72" w:rsidRPr="00A25F65">
        <w:rPr>
          <w:sz w:val="24"/>
          <w:szCs w:val="28"/>
          <w:highlight w:val="yellow"/>
        </w:rPr>
        <w:t>]</w:t>
      </w:r>
      <w:r w:rsidRPr="00A25F65">
        <w:rPr>
          <w:sz w:val="24"/>
          <w:szCs w:val="28"/>
          <w:highlight w:val="yellow"/>
        </w:rPr>
        <w:t>]</w:t>
      </w:r>
      <w:r w:rsidR="00D00B34" w:rsidRPr="00A25F65">
        <w:rPr>
          <w:sz w:val="24"/>
          <w:szCs w:val="28"/>
        </w:rPr>
        <w:t xml:space="preserve"> </w:t>
      </w:r>
      <w:r w:rsidR="00D00B34" w:rsidRPr="00B758C6">
        <w:rPr>
          <w:sz w:val="24"/>
          <w:szCs w:val="28"/>
          <w:highlight w:val="yellow"/>
        </w:rPr>
        <w:t xml:space="preserve"> </w:t>
      </w:r>
      <w:r w:rsidR="00FE097C">
        <w:rPr>
          <w:rFonts w:cs="Arial"/>
          <w:bCs/>
          <w:color w:val="FF0000"/>
        </w:rPr>
        <w:br w:type="page"/>
      </w:r>
    </w:p>
    <w:p w14:paraId="4F52F69E" w14:textId="77777777" w:rsidR="00D00B34" w:rsidRDefault="00D00B34" w:rsidP="00D00B34">
      <w:pPr>
        <w:spacing w:after="0" w:line="240" w:lineRule="auto"/>
        <w:jc w:val="both"/>
        <w:rPr>
          <w:rFonts w:ascii="Arial" w:eastAsia="Times New Roman" w:hAnsi="Arial" w:cs="Arial"/>
          <w:bCs/>
          <w:color w:val="FF0000"/>
        </w:rPr>
      </w:pPr>
    </w:p>
    <w:p w14:paraId="1C9C85A8" w14:textId="77777777" w:rsidR="00D00B34" w:rsidRPr="00D00B34" w:rsidRDefault="00D00B34" w:rsidP="00FD6567">
      <w:pPr>
        <w:pStyle w:val="Tabletitle"/>
      </w:pPr>
      <w:r w:rsidRPr="00D00B34">
        <w:t xml:space="preserve">Protocol development group </w:t>
      </w:r>
    </w:p>
    <w:p w14:paraId="5307EA51" w14:textId="5773CF3D" w:rsidR="00C05482" w:rsidRDefault="00C05482" w:rsidP="00095899">
      <w:pPr>
        <w:rPr>
          <w:b/>
          <w:u w:val="single"/>
        </w:rPr>
      </w:pPr>
      <w:bookmarkStart w:id="3" w:name="_Hlk125017417"/>
    </w:p>
    <w:tbl>
      <w:tblPr>
        <w:tblpPr w:leftFromText="180" w:rightFromText="180" w:vertAnchor="text" w:horzAnchor="margin" w:tblpY="2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PGD development group members"/>
        <w:tblDescription w:val="Table listing the members of the development group.  It includes columns for the names of the members and their positions. "/>
      </w:tblPr>
      <w:tblGrid>
        <w:gridCol w:w="2297"/>
        <w:gridCol w:w="6912"/>
      </w:tblGrid>
      <w:tr w:rsidR="00B840B6" w:rsidRPr="00DF77C7" w14:paraId="0DD6FBD9" w14:textId="77777777" w:rsidTr="009E04FA">
        <w:trPr>
          <w:trHeight w:val="565"/>
          <w:tblHeader/>
        </w:trPr>
        <w:tc>
          <w:tcPr>
            <w:tcW w:w="2297" w:type="dxa"/>
            <w:tcBorders>
              <w:top w:val="single" w:sz="4" w:space="0" w:color="auto"/>
              <w:left w:val="single" w:sz="4" w:space="0" w:color="auto"/>
              <w:bottom w:val="single" w:sz="4" w:space="0" w:color="auto"/>
              <w:right w:val="single" w:sz="4" w:space="0" w:color="auto"/>
            </w:tcBorders>
            <w:vAlign w:val="center"/>
            <w:hideMark/>
          </w:tcPr>
          <w:p w14:paraId="145BC865" w14:textId="77777777" w:rsidR="00B840B6" w:rsidRPr="00D42032" w:rsidRDefault="00B840B6" w:rsidP="009E04FA">
            <w:pPr>
              <w:pStyle w:val="TableHeaderRow"/>
              <w:rPr>
                <w:rStyle w:val="TableHeaderColumn"/>
                <w:b/>
                <w:bCs/>
                <w:sz w:val="22"/>
              </w:rPr>
            </w:pPr>
            <w:r w:rsidRPr="00D42032">
              <w:rPr>
                <w:rStyle w:val="TableHeaderColumn"/>
                <w:b/>
                <w:bCs/>
                <w:sz w:val="22"/>
              </w:rPr>
              <w:t>Name or Role</w:t>
            </w:r>
          </w:p>
        </w:tc>
        <w:tc>
          <w:tcPr>
            <w:tcW w:w="6912" w:type="dxa"/>
            <w:tcBorders>
              <w:top w:val="single" w:sz="4" w:space="0" w:color="auto"/>
              <w:left w:val="single" w:sz="4" w:space="0" w:color="auto"/>
              <w:bottom w:val="single" w:sz="4" w:space="0" w:color="auto"/>
              <w:right w:val="single" w:sz="4" w:space="0" w:color="auto"/>
            </w:tcBorders>
            <w:vAlign w:val="center"/>
            <w:hideMark/>
          </w:tcPr>
          <w:p w14:paraId="202385F6" w14:textId="77777777" w:rsidR="00B840B6" w:rsidRPr="00D42032" w:rsidRDefault="00B840B6" w:rsidP="009E04FA">
            <w:pPr>
              <w:pStyle w:val="TableHeaderRow"/>
              <w:rPr>
                <w:rStyle w:val="TableHeaderColumn"/>
                <w:b/>
                <w:bCs/>
                <w:sz w:val="22"/>
              </w:rPr>
            </w:pPr>
            <w:r w:rsidRPr="00D42032">
              <w:rPr>
                <w:rStyle w:val="TableHeaderColumn"/>
                <w:b/>
                <w:bCs/>
                <w:sz w:val="22"/>
              </w:rPr>
              <w:t>Position</w:t>
            </w:r>
          </w:p>
        </w:tc>
      </w:tr>
      <w:tr w:rsidR="00B840B6" w:rsidRPr="00DF77C7" w14:paraId="39491B2E" w14:textId="77777777" w:rsidTr="009E04FA">
        <w:trPr>
          <w:trHeight w:val="413"/>
        </w:trPr>
        <w:tc>
          <w:tcPr>
            <w:tcW w:w="2297" w:type="dxa"/>
            <w:vAlign w:val="center"/>
          </w:tcPr>
          <w:p w14:paraId="0B886045" w14:textId="77777777" w:rsidR="00B840B6" w:rsidRPr="00DF59C5" w:rsidRDefault="00B840B6" w:rsidP="009E04FA">
            <w:pPr>
              <w:pStyle w:val="Tabletext"/>
              <w:rPr>
                <w:rFonts w:eastAsia="Calibri"/>
                <w:lang w:val="en-GB"/>
              </w:rPr>
            </w:pPr>
            <w:r w:rsidRPr="0050579C">
              <w:t>Alison Crompton</w:t>
            </w:r>
          </w:p>
        </w:tc>
        <w:tc>
          <w:tcPr>
            <w:tcW w:w="6912" w:type="dxa"/>
            <w:vAlign w:val="center"/>
          </w:tcPr>
          <w:p w14:paraId="09E1DF88" w14:textId="77777777" w:rsidR="00B840B6" w:rsidRPr="002416AD" w:rsidRDefault="00B840B6" w:rsidP="009E04FA">
            <w:pPr>
              <w:pStyle w:val="Tabletext"/>
              <w:rPr>
                <w:rFonts w:eastAsia="Calibri"/>
                <w:lang w:val="en-GB"/>
              </w:rPr>
            </w:pPr>
            <w:r w:rsidRPr="0050579C">
              <w:rPr>
                <w:rFonts w:cs="Arial"/>
              </w:rPr>
              <w:t>Community pharmacist</w:t>
            </w:r>
          </w:p>
        </w:tc>
      </w:tr>
      <w:tr w:rsidR="00B840B6" w:rsidRPr="00DF77C7" w14:paraId="67A70BEF" w14:textId="77777777" w:rsidTr="009E04FA">
        <w:trPr>
          <w:trHeight w:val="413"/>
        </w:trPr>
        <w:tc>
          <w:tcPr>
            <w:tcW w:w="2297" w:type="dxa"/>
            <w:vAlign w:val="center"/>
          </w:tcPr>
          <w:p w14:paraId="44A48515" w14:textId="77777777" w:rsidR="00B840B6" w:rsidRPr="00DF59C5" w:rsidRDefault="00B840B6" w:rsidP="009E04FA">
            <w:pPr>
              <w:pStyle w:val="Tabletext"/>
              <w:rPr>
                <w:rFonts w:eastAsia="Calibri"/>
                <w:lang w:val="en-GB"/>
              </w:rPr>
            </w:pPr>
            <w:r w:rsidRPr="00C749BF">
              <w:t>Bola Sotubo</w:t>
            </w:r>
          </w:p>
        </w:tc>
        <w:tc>
          <w:tcPr>
            <w:tcW w:w="6912" w:type="dxa"/>
            <w:vAlign w:val="center"/>
          </w:tcPr>
          <w:p w14:paraId="76925A81" w14:textId="77777777" w:rsidR="00B840B6" w:rsidRPr="002416AD" w:rsidRDefault="00B840B6" w:rsidP="009E04FA">
            <w:pPr>
              <w:pStyle w:val="Tabletext"/>
              <w:rPr>
                <w:rFonts w:eastAsia="Calibri"/>
                <w:lang w:val="en-GB"/>
              </w:rPr>
            </w:pPr>
            <w:r w:rsidRPr="00C749BF">
              <w:rPr>
                <w:rFonts w:cs="Arial"/>
              </w:rPr>
              <w:t xml:space="preserve">NHS </w:t>
            </w:r>
            <w:proofErr w:type="gramStart"/>
            <w:r w:rsidRPr="00C749BF">
              <w:rPr>
                <w:rFonts w:cs="Arial"/>
              </w:rPr>
              <w:t>North East</w:t>
            </w:r>
            <w:proofErr w:type="gramEnd"/>
            <w:r w:rsidRPr="00C749BF">
              <w:rPr>
                <w:rFonts w:cs="Arial"/>
              </w:rPr>
              <w:t xml:space="preserve"> London ICB pharmacist</w:t>
            </w:r>
          </w:p>
        </w:tc>
      </w:tr>
      <w:tr w:rsidR="00B840B6" w:rsidRPr="00DF77C7" w14:paraId="78FA52F1" w14:textId="77777777" w:rsidTr="009E04FA">
        <w:trPr>
          <w:trHeight w:val="382"/>
        </w:trPr>
        <w:tc>
          <w:tcPr>
            <w:tcW w:w="2297" w:type="dxa"/>
            <w:vAlign w:val="center"/>
          </w:tcPr>
          <w:p w14:paraId="24FF9990" w14:textId="77777777" w:rsidR="00B840B6" w:rsidRPr="00DF59C5" w:rsidRDefault="00B840B6" w:rsidP="009E04FA">
            <w:pPr>
              <w:pStyle w:val="Tabletext"/>
              <w:rPr>
                <w:lang w:val="en-GB"/>
              </w:rPr>
            </w:pPr>
            <w:r w:rsidRPr="00C749BF">
              <w:t>Dr Cindy Farmer</w:t>
            </w:r>
          </w:p>
        </w:tc>
        <w:tc>
          <w:tcPr>
            <w:tcW w:w="6912" w:type="dxa"/>
            <w:vAlign w:val="center"/>
          </w:tcPr>
          <w:p w14:paraId="7CB2F8A8" w14:textId="77777777" w:rsidR="00B840B6" w:rsidRPr="002416AD" w:rsidRDefault="00B840B6" w:rsidP="009E04FA">
            <w:pPr>
              <w:pStyle w:val="Tabletext"/>
              <w:rPr>
                <w:lang w:val="en-GB"/>
              </w:rPr>
            </w:pPr>
            <w:r w:rsidRPr="006F1BA1">
              <w:t>Senior Vice President, Professional Learning and Development</w:t>
            </w:r>
            <w:r>
              <w:t>, College</w:t>
            </w:r>
            <w:r w:rsidRPr="00D10926">
              <w:t xml:space="preserve"> of Sexual and Reproductive Healthcare (</w:t>
            </w:r>
            <w:r>
              <w:t>Co</w:t>
            </w:r>
            <w:r w:rsidRPr="00D10926">
              <w:t xml:space="preserve">SRH) </w:t>
            </w:r>
          </w:p>
        </w:tc>
      </w:tr>
      <w:tr w:rsidR="00B840B6" w:rsidRPr="00DF77C7" w14:paraId="51B87E88" w14:textId="77777777" w:rsidTr="009E04FA">
        <w:trPr>
          <w:trHeight w:val="383"/>
        </w:trPr>
        <w:tc>
          <w:tcPr>
            <w:tcW w:w="2297" w:type="dxa"/>
            <w:vAlign w:val="center"/>
          </w:tcPr>
          <w:p w14:paraId="364CE8F4" w14:textId="77777777" w:rsidR="00B840B6" w:rsidRPr="00DF59C5" w:rsidRDefault="00B840B6" w:rsidP="009E04FA">
            <w:pPr>
              <w:pStyle w:val="Tabletext"/>
              <w:rPr>
                <w:lang w:val="en-GB"/>
              </w:rPr>
            </w:pPr>
            <w:r w:rsidRPr="00C749BF">
              <w:t>Clare Livingstone</w:t>
            </w:r>
          </w:p>
        </w:tc>
        <w:tc>
          <w:tcPr>
            <w:tcW w:w="6912" w:type="dxa"/>
            <w:vAlign w:val="center"/>
          </w:tcPr>
          <w:p w14:paraId="3F91A6CB" w14:textId="77777777" w:rsidR="00B840B6" w:rsidRPr="002416AD" w:rsidRDefault="00B840B6" w:rsidP="009E04FA">
            <w:pPr>
              <w:pStyle w:val="Tabletext"/>
              <w:rPr>
                <w:lang w:val="en-GB"/>
              </w:rPr>
            </w:pPr>
            <w:r w:rsidRPr="00D10926">
              <w:rPr>
                <w:rFonts w:cs="Arial"/>
              </w:rPr>
              <w:t>Royal College of Midwives (RCM)</w:t>
            </w:r>
          </w:p>
        </w:tc>
      </w:tr>
      <w:tr w:rsidR="00B840B6" w:rsidRPr="00DF77C7" w14:paraId="2FF3448E" w14:textId="77777777" w:rsidTr="009E04FA">
        <w:trPr>
          <w:trHeight w:val="383"/>
        </w:trPr>
        <w:tc>
          <w:tcPr>
            <w:tcW w:w="2297" w:type="dxa"/>
            <w:vAlign w:val="center"/>
          </w:tcPr>
          <w:p w14:paraId="2DDAF782" w14:textId="77777777" w:rsidR="00B840B6" w:rsidRPr="00DF59C5" w:rsidRDefault="00B840B6" w:rsidP="009E04FA">
            <w:pPr>
              <w:pStyle w:val="Tabletext"/>
              <w:rPr>
                <w:lang w:val="en-GB"/>
              </w:rPr>
            </w:pPr>
            <w:r w:rsidRPr="00C749BF">
              <w:t>Dipti Patel</w:t>
            </w:r>
          </w:p>
        </w:tc>
        <w:tc>
          <w:tcPr>
            <w:tcW w:w="6912" w:type="dxa"/>
            <w:vAlign w:val="center"/>
          </w:tcPr>
          <w:p w14:paraId="4455F05F" w14:textId="77777777" w:rsidR="00B840B6" w:rsidRPr="002416AD" w:rsidRDefault="00B840B6" w:rsidP="009E04FA">
            <w:pPr>
              <w:pStyle w:val="Tabletext"/>
              <w:rPr>
                <w:lang w:val="en-GB"/>
              </w:rPr>
            </w:pPr>
            <w:r w:rsidRPr="00D10926">
              <w:t xml:space="preserve">Local authority pharmacist </w:t>
            </w:r>
          </w:p>
        </w:tc>
      </w:tr>
      <w:tr w:rsidR="00B840B6" w:rsidRPr="00DF77C7" w14:paraId="39EA667E" w14:textId="77777777" w:rsidTr="009E04FA">
        <w:trPr>
          <w:trHeight w:val="383"/>
        </w:trPr>
        <w:tc>
          <w:tcPr>
            <w:tcW w:w="2297" w:type="dxa"/>
            <w:vAlign w:val="center"/>
          </w:tcPr>
          <w:p w14:paraId="2299BF79" w14:textId="77777777" w:rsidR="00B840B6" w:rsidRPr="00DF59C5" w:rsidRDefault="00B840B6" w:rsidP="009E04FA">
            <w:pPr>
              <w:pStyle w:val="Tabletext"/>
              <w:rPr>
                <w:lang w:val="en-GB"/>
              </w:rPr>
            </w:pPr>
            <w:r w:rsidRPr="00C749BF">
              <w:t>Emma Anderson</w:t>
            </w:r>
          </w:p>
        </w:tc>
        <w:tc>
          <w:tcPr>
            <w:tcW w:w="6912" w:type="dxa"/>
            <w:vAlign w:val="center"/>
          </w:tcPr>
          <w:p w14:paraId="7F534E29" w14:textId="77777777" w:rsidR="00B840B6" w:rsidRPr="002416AD" w:rsidRDefault="00B840B6" w:rsidP="009E04FA">
            <w:pPr>
              <w:pStyle w:val="Tabletext"/>
              <w:rPr>
                <w:lang w:val="en-GB"/>
              </w:rPr>
            </w:pPr>
            <w:r w:rsidRPr="00D10926">
              <w:t>Centre for Postgraduate Pharmacy Education (CPPE)</w:t>
            </w:r>
          </w:p>
        </w:tc>
      </w:tr>
      <w:tr w:rsidR="00B840B6" w:rsidRPr="00DF77C7" w14:paraId="3E8E037A" w14:textId="77777777" w:rsidTr="009E04FA">
        <w:trPr>
          <w:trHeight w:val="383"/>
        </w:trPr>
        <w:tc>
          <w:tcPr>
            <w:tcW w:w="2297" w:type="dxa"/>
            <w:vAlign w:val="center"/>
          </w:tcPr>
          <w:p w14:paraId="706AC351" w14:textId="77777777" w:rsidR="00B840B6" w:rsidRPr="00DF59C5" w:rsidRDefault="00B840B6" w:rsidP="009E04FA">
            <w:pPr>
              <w:pStyle w:val="Tabletext"/>
              <w:rPr>
                <w:rFonts w:eastAsia="Calibri"/>
                <w:szCs w:val="22"/>
                <w:lang w:val="en-GB"/>
              </w:rPr>
            </w:pPr>
            <w:r w:rsidRPr="00C749BF">
              <w:t>Heather Randle</w:t>
            </w:r>
          </w:p>
        </w:tc>
        <w:tc>
          <w:tcPr>
            <w:tcW w:w="6912" w:type="dxa"/>
            <w:vAlign w:val="center"/>
          </w:tcPr>
          <w:p w14:paraId="4AD3E892" w14:textId="77777777" w:rsidR="00B840B6" w:rsidRPr="002416AD" w:rsidRDefault="00B840B6" w:rsidP="009E04FA">
            <w:pPr>
              <w:pStyle w:val="Tabletext"/>
              <w:rPr>
                <w:rFonts w:eastAsia="Calibri"/>
                <w:lang w:val="en-GB"/>
              </w:rPr>
            </w:pPr>
            <w:r w:rsidRPr="00121A81">
              <w:t>Royal College of Nursing</w:t>
            </w:r>
          </w:p>
        </w:tc>
      </w:tr>
      <w:tr w:rsidR="00B840B6" w:rsidRPr="00DF77C7" w14:paraId="0708939F" w14:textId="77777777" w:rsidTr="009E04FA">
        <w:trPr>
          <w:trHeight w:val="383"/>
        </w:trPr>
        <w:tc>
          <w:tcPr>
            <w:tcW w:w="2297" w:type="dxa"/>
            <w:vAlign w:val="center"/>
          </w:tcPr>
          <w:p w14:paraId="69284260" w14:textId="77777777" w:rsidR="00B840B6" w:rsidRPr="00DF59C5" w:rsidRDefault="00B840B6" w:rsidP="009E04FA">
            <w:pPr>
              <w:pStyle w:val="Tabletext"/>
              <w:rPr>
                <w:rFonts w:eastAsia="Calibri"/>
                <w:lang w:val="en-GB"/>
              </w:rPr>
            </w:pPr>
            <w:r w:rsidRPr="00C749BF">
              <w:t>Julia Hogan</w:t>
            </w:r>
          </w:p>
        </w:tc>
        <w:tc>
          <w:tcPr>
            <w:tcW w:w="6912" w:type="dxa"/>
            <w:vAlign w:val="center"/>
          </w:tcPr>
          <w:p w14:paraId="48873BA9" w14:textId="77777777" w:rsidR="00B840B6" w:rsidRPr="00DF77C7" w:rsidRDefault="00B840B6" w:rsidP="009E04FA">
            <w:pPr>
              <w:pStyle w:val="Tabletext"/>
              <w:rPr>
                <w:rFonts w:eastAsia="Calibri"/>
                <w:lang w:val="en-GB"/>
              </w:rPr>
            </w:pPr>
            <w:r w:rsidRPr="0050579C">
              <w:t>Clinical Nurse Specialist</w:t>
            </w:r>
          </w:p>
        </w:tc>
      </w:tr>
      <w:tr w:rsidR="00B840B6" w:rsidRPr="00094B2C" w14:paraId="4D93219A" w14:textId="77777777" w:rsidTr="009E04FA">
        <w:trPr>
          <w:trHeight w:val="383"/>
        </w:trPr>
        <w:tc>
          <w:tcPr>
            <w:tcW w:w="2297" w:type="dxa"/>
            <w:vAlign w:val="center"/>
          </w:tcPr>
          <w:p w14:paraId="6F13EA57" w14:textId="77777777" w:rsidR="00B840B6" w:rsidRPr="00094B2C" w:rsidRDefault="00B840B6" w:rsidP="009E04FA">
            <w:pPr>
              <w:pStyle w:val="Tabletext"/>
              <w:rPr>
                <w:kern w:val="2"/>
              </w:rPr>
            </w:pPr>
            <w:r w:rsidRPr="00C749BF">
              <w:t>Kate Devonport</w:t>
            </w:r>
          </w:p>
        </w:tc>
        <w:tc>
          <w:tcPr>
            <w:tcW w:w="6912" w:type="dxa"/>
            <w:vAlign w:val="center"/>
          </w:tcPr>
          <w:p w14:paraId="6A11F28E" w14:textId="77777777" w:rsidR="00B840B6" w:rsidRPr="00094B2C" w:rsidRDefault="00B840B6" w:rsidP="009E04FA">
            <w:pPr>
              <w:pStyle w:val="Tabletext"/>
              <w:rPr>
                <w:kern w:val="2"/>
              </w:rPr>
            </w:pPr>
            <w:r w:rsidRPr="00D04FDD">
              <w:t>National Unplanned Pregnancy Association (NUPAS)</w:t>
            </w:r>
          </w:p>
        </w:tc>
      </w:tr>
      <w:tr w:rsidR="00B840B6" w:rsidRPr="00DF77C7" w14:paraId="120D58C0" w14:textId="77777777" w:rsidTr="009E04FA">
        <w:trPr>
          <w:trHeight w:val="383"/>
        </w:trPr>
        <w:tc>
          <w:tcPr>
            <w:tcW w:w="2297" w:type="dxa"/>
            <w:vAlign w:val="center"/>
          </w:tcPr>
          <w:p w14:paraId="207CFFFE" w14:textId="77777777" w:rsidR="00B840B6" w:rsidRPr="00DF59C5" w:rsidRDefault="00B840B6" w:rsidP="009E04FA">
            <w:pPr>
              <w:pStyle w:val="Tabletext"/>
              <w:rPr>
                <w:rFonts w:eastAsia="Calibri"/>
                <w:lang w:val="en-GB"/>
              </w:rPr>
            </w:pPr>
            <w:r w:rsidRPr="00C749BF">
              <w:rPr>
                <w:rFonts w:cs="Arial"/>
              </w:rPr>
              <w:t xml:space="preserve">Kirsty Armstrong  </w:t>
            </w:r>
          </w:p>
        </w:tc>
        <w:tc>
          <w:tcPr>
            <w:tcW w:w="6912" w:type="dxa"/>
            <w:vAlign w:val="center"/>
          </w:tcPr>
          <w:p w14:paraId="76756E17" w14:textId="5BC8A4DB" w:rsidR="00B840B6" w:rsidRPr="002416AD" w:rsidRDefault="0053021D" w:rsidP="0053021D">
            <w:pPr>
              <w:pStyle w:val="Tabletext"/>
              <w:rPr>
                <w:rFonts w:eastAsia="Calibri"/>
                <w:color w:val="000000"/>
                <w:lang w:val="en-GB"/>
              </w:rPr>
            </w:pPr>
            <w:r w:rsidRPr="0053021D">
              <w:rPr>
                <w:rFonts w:cs="Arial"/>
                <w:lang w:val="en-GB"/>
              </w:rPr>
              <w:t>Senior Policy Lead – Clinical Strategy, Pharmacy</w:t>
            </w:r>
            <w:r w:rsidR="00B840B6" w:rsidRPr="00027D57">
              <w:rPr>
                <w:rFonts w:cs="Arial"/>
              </w:rPr>
              <w:t>, NHS England</w:t>
            </w:r>
          </w:p>
        </w:tc>
      </w:tr>
      <w:tr w:rsidR="00B840B6" w:rsidRPr="00DF77C7" w14:paraId="5416E39C" w14:textId="77777777" w:rsidTr="009E04FA">
        <w:trPr>
          <w:trHeight w:val="383"/>
        </w:trPr>
        <w:tc>
          <w:tcPr>
            <w:tcW w:w="2297" w:type="dxa"/>
            <w:vAlign w:val="center"/>
          </w:tcPr>
          <w:p w14:paraId="251282E9" w14:textId="77777777" w:rsidR="00B840B6" w:rsidRPr="00DF59C5" w:rsidRDefault="00B840B6" w:rsidP="009E04FA">
            <w:pPr>
              <w:pStyle w:val="Tabletext"/>
              <w:rPr>
                <w:rFonts w:eastAsia="Calibri"/>
                <w:lang w:val="en-GB"/>
              </w:rPr>
            </w:pPr>
            <w:r w:rsidRPr="00C749BF">
              <w:t>Lisa Knight</w:t>
            </w:r>
          </w:p>
        </w:tc>
        <w:tc>
          <w:tcPr>
            <w:tcW w:w="6912" w:type="dxa"/>
            <w:vAlign w:val="center"/>
          </w:tcPr>
          <w:p w14:paraId="5234F138" w14:textId="77777777" w:rsidR="00B840B6" w:rsidRPr="002416AD" w:rsidRDefault="00B840B6" w:rsidP="009E04FA">
            <w:pPr>
              <w:pStyle w:val="Tabletext"/>
              <w:rPr>
                <w:rFonts w:eastAsia="Calibri"/>
                <w:color w:val="000000"/>
                <w:lang w:val="en-GB"/>
              </w:rPr>
            </w:pPr>
            <w:r w:rsidRPr="00D10926">
              <w:t xml:space="preserve">Community Health Services pharmacist </w:t>
            </w:r>
          </w:p>
        </w:tc>
      </w:tr>
      <w:tr w:rsidR="00B840B6" w:rsidRPr="00DF77C7" w14:paraId="2ED7C704" w14:textId="77777777" w:rsidTr="009E04FA">
        <w:trPr>
          <w:trHeight w:val="428"/>
        </w:trPr>
        <w:tc>
          <w:tcPr>
            <w:tcW w:w="2297" w:type="dxa"/>
            <w:vAlign w:val="center"/>
          </w:tcPr>
          <w:p w14:paraId="0D26B197" w14:textId="77777777" w:rsidR="00B840B6" w:rsidRPr="00C749BF" w:rsidRDefault="00B840B6" w:rsidP="009E04FA">
            <w:pPr>
              <w:pStyle w:val="Tabletext"/>
            </w:pPr>
            <w:r w:rsidRPr="00C749BF">
              <w:t>Michelle Jenkins</w:t>
            </w:r>
          </w:p>
          <w:p w14:paraId="2077A022" w14:textId="77777777" w:rsidR="00B840B6" w:rsidRPr="00DF59C5" w:rsidRDefault="00B840B6" w:rsidP="009E04FA">
            <w:pPr>
              <w:pStyle w:val="Tabletext"/>
              <w:rPr>
                <w:rFonts w:eastAsia="Calibri"/>
                <w:lang w:val="en-GB"/>
              </w:rPr>
            </w:pPr>
          </w:p>
        </w:tc>
        <w:tc>
          <w:tcPr>
            <w:tcW w:w="6912" w:type="dxa"/>
            <w:vAlign w:val="center"/>
          </w:tcPr>
          <w:p w14:paraId="28470D9F" w14:textId="77777777" w:rsidR="00B840B6" w:rsidRDefault="00B840B6" w:rsidP="009E04FA">
            <w:pPr>
              <w:pStyle w:val="Tabletext"/>
            </w:pPr>
            <w:r>
              <w:t>C</w:t>
            </w:r>
            <w:r w:rsidRPr="005E2D3D">
              <w:t xml:space="preserve">linical Nurse </w:t>
            </w:r>
            <w:r>
              <w:t>S</w:t>
            </w:r>
            <w:r w:rsidRPr="005E2D3D">
              <w:t>pecialist Sexual Health Blackpool Teaching Hospitals</w:t>
            </w:r>
            <w:r>
              <w:t xml:space="preserve">, and member of </w:t>
            </w:r>
          </w:p>
          <w:p w14:paraId="48E25B5C" w14:textId="77777777" w:rsidR="00B840B6" w:rsidRPr="002416AD" w:rsidRDefault="00B840B6" w:rsidP="009E04FA">
            <w:pPr>
              <w:pStyle w:val="Tabletext"/>
              <w:rPr>
                <w:rFonts w:eastAsia="Calibri"/>
                <w:color w:val="000000"/>
                <w:lang w:val="en-GB"/>
              </w:rPr>
            </w:pPr>
            <w:r w:rsidRPr="005E2D3D">
              <w:t xml:space="preserve">Courses and CPD </w:t>
            </w:r>
            <w:r>
              <w:t>C</w:t>
            </w:r>
            <w:r w:rsidRPr="005E2D3D">
              <w:t>ommittee</w:t>
            </w:r>
            <w:r>
              <w:t>, College</w:t>
            </w:r>
            <w:r w:rsidRPr="00D10926">
              <w:t xml:space="preserve"> of Sexual and Reproductive Healthcare (</w:t>
            </w:r>
            <w:r>
              <w:t>Co</w:t>
            </w:r>
            <w:r w:rsidRPr="00D10926">
              <w:t>SRH)</w:t>
            </w:r>
          </w:p>
        </w:tc>
      </w:tr>
      <w:tr w:rsidR="00B840B6" w:rsidRPr="00DF77C7" w14:paraId="6673D713" w14:textId="77777777" w:rsidTr="009E04FA">
        <w:trPr>
          <w:trHeight w:val="331"/>
        </w:trPr>
        <w:tc>
          <w:tcPr>
            <w:tcW w:w="2297" w:type="dxa"/>
            <w:vAlign w:val="center"/>
          </w:tcPr>
          <w:p w14:paraId="26FAC231" w14:textId="77777777" w:rsidR="00B840B6" w:rsidRPr="00900916" w:rsidRDefault="00B840B6" w:rsidP="009E04FA">
            <w:pPr>
              <w:pStyle w:val="Tabletext"/>
            </w:pPr>
            <w:r w:rsidRPr="00C749BF">
              <w:t>Portia Jackson</w:t>
            </w:r>
          </w:p>
        </w:tc>
        <w:tc>
          <w:tcPr>
            <w:tcW w:w="6912" w:type="dxa"/>
            <w:vAlign w:val="center"/>
          </w:tcPr>
          <w:p w14:paraId="7CF88E31" w14:textId="77777777" w:rsidR="00B840B6" w:rsidRPr="00900916" w:rsidRDefault="00B840B6" w:rsidP="009E04FA">
            <w:pPr>
              <w:pStyle w:val="Tabletext"/>
            </w:pPr>
            <w:r w:rsidRPr="00121A81">
              <w:t>Lead Pharmacist iCaSH, Cambridgeshire Community Services</w:t>
            </w:r>
          </w:p>
        </w:tc>
      </w:tr>
      <w:tr w:rsidR="00B840B6" w:rsidRPr="00DF77C7" w14:paraId="1C433577" w14:textId="77777777" w:rsidTr="009E04FA">
        <w:trPr>
          <w:trHeight w:val="331"/>
        </w:trPr>
        <w:tc>
          <w:tcPr>
            <w:tcW w:w="2297" w:type="dxa"/>
            <w:vAlign w:val="center"/>
          </w:tcPr>
          <w:p w14:paraId="050ED5B0" w14:textId="77777777" w:rsidR="00B840B6" w:rsidRPr="00900916" w:rsidRDefault="00B840B6" w:rsidP="009E04FA">
            <w:pPr>
              <w:pStyle w:val="Tabletext"/>
            </w:pPr>
            <w:r w:rsidRPr="00121A81">
              <w:t>Rachel Logan</w:t>
            </w:r>
          </w:p>
        </w:tc>
        <w:tc>
          <w:tcPr>
            <w:tcW w:w="6912" w:type="dxa"/>
            <w:vAlign w:val="center"/>
          </w:tcPr>
          <w:p w14:paraId="252875FD" w14:textId="77777777" w:rsidR="00B840B6" w:rsidRPr="00900916" w:rsidRDefault="00B840B6" w:rsidP="009E04FA">
            <w:pPr>
              <w:pStyle w:val="Tabletext"/>
            </w:pPr>
            <w:r w:rsidRPr="00121A81">
              <w:t>Senior Pharmacist, BPAS</w:t>
            </w:r>
          </w:p>
        </w:tc>
      </w:tr>
      <w:tr w:rsidR="00B840B6" w:rsidRPr="00DF77C7" w14:paraId="7AA3A9FC" w14:textId="77777777" w:rsidTr="009E04FA">
        <w:trPr>
          <w:trHeight w:val="331"/>
        </w:trPr>
        <w:tc>
          <w:tcPr>
            <w:tcW w:w="2297" w:type="dxa"/>
            <w:vAlign w:val="center"/>
          </w:tcPr>
          <w:p w14:paraId="5966E5CE" w14:textId="77777777" w:rsidR="00B840B6" w:rsidRPr="00900916" w:rsidRDefault="00B840B6" w:rsidP="009E04FA">
            <w:pPr>
              <w:pStyle w:val="Tabletext"/>
            </w:pPr>
            <w:r>
              <w:t>Tanya Lane</w:t>
            </w:r>
          </w:p>
        </w:tc>
        <w:tc>
          <w:tcPr>
            <w:tcW w:w="6912" w:type="dxa"/>
            <w:vAlign w:val="center"/>
          </w:tcPr>
          <w:p w14:paraId="5B8AE5ED" w14:textId="77777777" w:rsidR="00B840B6" w:rsidRPr="00900916" w:rsidRDefault="00B840B6" w:rsidP="009E04FA">
            <w:pPr>
              <w:pStyle w:val="Tabletext"/>
            </w:pPr>
            <w:r>
              <w:t>Co</w:t>
            </w:r>
            <w:r w:rsidRPr="00121A81">
              <w:t xml:space="preserve">SRH Registered Trainer MSI </w:t>
            </w:r>
            <w:r>
              <w:t>R</w:t>
            </w:r>
            <w:r w:rsidRPr="00121A81">
              <w:t>eproductive Choices</w:t>
            </w:r>
          </w:p>
        </w:tc>
      </w:tr>
      <w:tr w:rsidR="00B840B6" w:rsidRPr="00DF77C7" w14:paraId="397A7F6F" w14:textId="77777777" w:rsidTr="009E04FA">
        <w:trPr>
          <w:trHeight w:val="394"/>
        </w:trPr>
        <w:tc>
          <w:tcPr>
            <w:tcW w:w="2297" w:type="dxa"/>
            <w:vAlign w:val="center"/>
          </w:tcPr>
          <w:p w14:paraId="73BD102B" w14:textId="77777777" w:rsidR="00B840B6" w:rsidRPr="00900916" w:rsidRDefault="00B840B6" w:rsidP="009E04FA">
            <w:pPr>
              <w:pStyle w:val="Tabletext"/>
            </w:pPr>
            <w:r w:rsidRPr="00D10926">
              <w:t xml:space="preserve">Jo Jenkins </w:t>
            </w:r>
          </w:p>
        </w:tc>
        <w:tc>
          <w:tcPr>
            <w:tcW w:w="6912" w:type="dxa"/>
            <w:vAlign w:val="center"/>
          </w:tcPr>
          <w:p w14:paraId="372249EB" w14:textId="77777777" w:rsidR="00B840B6" w:rsidRPr="00900916" w:rsidRDefault="00B840B6" w:rsidP="009E04FA">
            <w:pPr>
              <w:pStyle w:val="Tabletext"/>
            </w:pPr>
            <w:r w:rsidRPr="00121A81">
              <w:t>Associate Director Medicines Governance</w:t>
            </w:r>
            <w:r>
              <w:t>,</w:t>
            </w:r>
            <w:r w:rsidRPr="00121A81">
              <w:t> Medicines Use and Safety</w:t>
            </w:r>
            <w:r>
              <w:t xml:space="preserve">, </w:t>
            </w:r>
            <w:r w:rsidRPr="00D10926">
              <w:t>Specialist Pharmacy Service</w:t>
            </w:r>
          </w:p>
        </w:tc>
      </w:tr>
      <w:tr w:rsidR="00B840B6" w:rsidRPr="00DF77C7" w14:paraId="26CF1D04" w14:textId="77777777" w:rsidTr="009E04FA">
        <w:trPr>
          <w:trHeight w:val="436"/>
        </w:trPr>
        <w:tc>
          <w:tcPr>
            <w:tcW w:w="2297" w:type="dxa"/>
            <w:vAlign w:val="center"/>
          </w:tcPr>
          <w:p w14:paraId="2B778E9B" w14:textId="77777777" w:rsidR="00B840B6" w:rsidRPr="00900916" w:rsidRDefault="00B840B6" w:rsidP="009E04FA">
            <w:pPr>
              <w:pStyle w:val="Tabletext"/>
            </w:pPr>
            <w:r w:rsidRPr="00C749BF">
              <w:t>Kieran Reynolds</w:t>
            </w:r>
          </w:p>
        </w:tc>
        <w:tc>
          <w:tcPr>
            <w:tcW w:w="6912" w:type="dxa"/>
            <w:vAlign w:val="center"/>
          </w:tcPr>
          <w:p w14:paraId="24A69C83" w14:textId="77777777" w:rsidR="00B840B6" w:rsidRPr="00900916" w:rsidRDefault="00B840B6" w:rsidP="009E04FA">
            <w:pPr>
              <w:pStyle w:val="Tabletext"/>
            </w:pPr>
            <w:r w:rsidRPr="00121A81">
              <w:t>Advanced Specialist Pharmacist - Medicines Governance</w:t>
            </w:r>
            <w:r>
              <w:t>,</w:t>
            </w:r>
            <w:r w:rsidRPr="00121A81">
              <w:t> </w:t>
            </w:r>
            <w:r w:rsidRPr="00D10926">
              <w:t>Specialist Pharmacy Service</w:t>
            </w:r>
          </w:p>
        </w:tc>
      </w:tr>
      <w:tr w:rsidR="00B840B6" w:rsidRPr="00DF77C7" w14:paraId="4C4164B7" w14:textId="77777777" w:rsidTr="009E04FA">
        <w:trPr>
          <w:trHeight w:val="458"/>
        </w:trPr>
        <w:tc>
          <w:tcPr>
            <w:tcW w:w="2297" w:type="dxa"/>
            <w:vAlign w:val="center"/>
          </w:tcPr>
          <w:p w14:paraId="7298EA9B" w14:textId="77777777" w:rsidR="00B840B6" w:rsidRPr="008B4094" w:rsidRDefault="00B840B6" w:rsidP="009E04FA">
            <w:pPr>
              <w:pStyle w:val="Tabletext"/>
              <w:rPr>
                <w:i/>
                <w:iCs/>
              </w:rPr>
            </w:pPr>
            <w:r w:rsidRPr="00C749BF">
              <w:t>Rosie Furner (Working Group Co-Ordinator)</w:t>
            </w:r>
          </w:p>
        </w:tc>
        <w:tc>
          <w:tcPr>
            <w:tcW w:w="6912" w:type="dxa"/>
            <w:vAlign w:val="center"/>
          </w:tcPr>
          <w:p w14:paraId="6F6D3970" w14:textId="1048F5C1" w:rsidR="00B840B6" w:rsidRPr="00900916" w:rsidRDefault="0066394A" w:rsidP="009E04FA">
            <w:pPr>
              <w:pStyle w:val="Tabletext"/>
            </w:pPr>
            <w:r w:rsidRPr="00121A81">
              <w:t>Advanced Specialist Pharmacist - Medicines Governance</w:t>
            </w:r>
            <w:r>
              <w:t>,</w:t>
            </w:r>
            <w:r w:rsidRPr="00121A81">
              <w:t> </w:t>
            </w:r>
            <w:r w:rsidRPr="00D10926">
              <w:t>Specialist Pharmacy Service</w:t>
            </w:r>
          </w:p>
        </w:tc>
      </w:tr>
      <w:tr w:rsidR="00B840B6" w:rsidRPr="00DF77C7" w14:paraId="0AD7F6D1" w14:textId="77777777" w:rsidTr="009E04FA">
        <w:trPr>
          <w:trHeight w:val="362"/>
        </w:trPr>
        <w:tc>
          <w:tcPr>
            <w:tcW w:w="2297" w:type="dxa"/>
            <w:vAlign w:val="center"/>
          </w:tcPr>
          <w:p w14:paraId="03C19108" w14:textId="77777777" w:rsidR="00B840B6" w:rsidRPr="00900916" w:rsidRDefault="00B840B6" w:rsidP="009E04FA">
            <w:pPr>
              <w:pStyle w:val="Tabletext"/>
            </w:pPr>
            <w:r w:rsidRPr="00D10926">
              <w:t xml:space="preserve">Sandra Wolper </w:t>
            </w:r>
          </w:p>
        </w:tc>
        <w:tc>
          <w:tcPr>
            <w:tcW w:w="6912" w:type="dxa"/>
            <w:vAlign w:val="center"/>
          </w:tcPr>
          <w:p w14:paraId="33E59D80" w14:textId="77777777" w:rsidR="00B840B6" w:rsidRPr="00900916" w:rsidRDefault="00B840B6" w:rsidP="009E04FA">
            <w:pPr>
              <w:pStyle w:val="Tabletext"/>
            </w:pPr>
            <w:r w:rsidRPr="00121A81">
              <w:t>Out of Hospital Care Lead</w:t>
            </w:r>
            <w:r>
              <w:t xml:space="preserve">, </w:t>
            </w:r>
            <w:r w:rsidRPr="00121A81">
              <w:t>Medicines Use and Safety</w:t>
            </w:r>
            <w:r>
              <w:t xml:space="preserve">, </w:t>
            </w:r>
            <w:r>
              <w:br/>
            </w:r>
            <w:r w:rsidRPr="00D10926">
              <w:t>Specialist Pharmacy Service</w:t>
            </w:r>
          </w:p>
        </w:tc>
      </w:tr>
    </w:tbl>
    <w:p w14:paraId="54F6989F" w14:textId="77777777" w:rsidR="00B840B6" w:rsidRDefault="00B840B6" w:rsidP="00095899">
      <w:pPr>
        <w:rPr>
          <w:b/>
          <w:u w:val="single"/>
        </w:rPr>
      </w:pPr>
    </w:p>
    <w:p w14:paraId="10E2314D" w14:textId="77777777" w:rsidR="00C05482" w:rsidRDefault="00C05482">
      <w:pPr>
        <w:rPr>
          <w:b/>
          <w:u w:val="single"/>
        </w:rPr>
      </w:pPr>
      <w:r>
        <w:rPr>
          <w:b/>
          <w:u w:val="single"/>
        </w:rPr>
        <w:br w:type="page"/>
      </w:r>
    </w:p>
    <w:bookmarkEnd w:id="3"/>
    <w:p w14:paraId="39D19685" w14:textId="69002BB9" w:rsidR="00D00B34" w:rsidRPr="00FD6567" w:rsidRDefault="00182EE2" w:rsidP="00ED20C6">
      <w:pPr>
        <w:pStyle w:val="Tabletitle"/>
        <w:numPr>
          <w:ilvl w:val="0"/>
          <w:numId w:val="41"/>
        </w:numPr>
        <w:rPr>
          <w:rFonts w:eastAsia="Arial"/>
          <w:lang w:eastAsia="en-GB" w:bidi="en-GB"/>
        </w:rPr>
      </w:pPr>
      <w:r w:rsidRPr="00FD6567">
        <w:rPr>
          <w:rFonts w:eastAsia="Arial"/>
          <w:lang w:eastAsia="en-GB" w:bidi="en-GB"/>
        </w:rPr>
        <w:lastRenderedPageBreak/>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0026613D" w:rsidRPr="00D00B34" w14:paraId="6D864001" w14:textId="77777777" w:rsidTr="00F900CD">
        <w:tc>
          <w:tcPr>
            <w:tcW w:w="2949" w:type="dxa"/>
          </w:tcPr>
          <w:p w14:paraId="658733DE" w14:textId="77777777" w:rsidR="0026613D" w:rsidRPr="00FD6567" w:rsidRDefault="0026613D" w:rsidP="00F900CD">
            <w:pPr>
              <w:rPr>
                <w:rStyle w:val="TableHeaderColumn"/>
                <w:sz w:val="24"/>
              </w:rPr>
            </w:pPr>
            <w:r w:rsidRPr="00FD6567">
              <w:rPr>
                <w:rStyle w:val="TableHeaderColumn"/>
                <w:sz w:val="24"/>
                <w:szCs w:val="22"/>
              </w:rPr>
              <w:t>Authorised staff</w:t>
            </w:r>
          </w:p>
        </w:tc>
        <w:tc>
          <w:tcPr>
            <w:tcW w:w="6067" w:type="dxa"/>
          </w:tcPr>
          <w:p w14:paraId="0EDDC975" w14:textId="22A90D57" w:rsidR="0026613D" w:rsidRPr="00D00B34" w:rsidRDefault="002A492B" w:rsidP="00FD6567">
            <w:pPr>
              <w:pStyle w:val="Tabletext"/>
              <w:rPr>
                <w:b/>
              </w:rPr>
            </w:pPr>
            <w:r w:rsidRPr="00B840B6">
              <w:rPr>
                <w:highlight w:val="cyan"/>
              </w:rPr>
              <w:t>[</w:t>
            </w:r>
            <w:r w:rsidR="001F0D8B" w:rsidRPr="00B840B6">
              <w:rPr>
                <w:highlight w:val="cyan"/>
              </w:rPr>
              <w:t xml:space="preserve">To </w:t>
            </w:r>
            <w:r w:rsidR="001F0D8B" w:rsidRPr="001F0D8B">
              <w:rPr>
                <w:highlight w:val="cyan"/>
              </w:rPr>
              <w:t>complete locally to include those healthcare professionals who will be authorised to work under this protocol to insert a Copper Intrauterine device (Cu-IUD</w:t>
            </w:r>
            <w:r w:rsidR="001F0D8B" w:rsidRPr="00B840B6">
              <w:rPr>
                <w:highlight w:val="cyan"/>
              </w:rPr>
              <w:t>)</w:t>
            </w:r>
            <w:r w:rsidRPr="00B840B6">
              <w:rPr>
                <w:highlight w:val="cyan"/>
              </w:rPr>
              <w:t>]</w:t>
            </w:r>
          </w:p>
        </w:tc>
      </w:tr>
      <w:tr w:rsidR="0026613D" w:rsidRPr="00F900CD" w14:paraId="7FB5661D" w14:textId="77777777" w:rsidTr="00F900CD">
        <w:tc>
          <w:tcPr>
            <w:tcW w:w="2949" w:type="dxa"/>
          </w:tcPr>
          <w:p w14:paraId="52525089" w14:textId="77777777" w:rsidR="0026613D" w:rsidRPr="00FD6567" w:rsidRDefault="0026613D" w:rsidP="00F900CD">
            <w:pPr>
              <w:rPr>
                <w:rStyle w:val="TableHeaderColumn"/>
                <w:sz w:val="24"/>
              </w:rPr>
            </w:pPr>
            <w:r w:rsidRPr="00FD6567">
              <w:rPr>
                <w:rStyle w:val="TableHeaderColumn"/>
                <w:sz w:val="24"/>
                <w:szCs w:val="22"/>
              </w:rPr>
              <w:t>Additional requirements</w:t>
            </w:r>
          </w:p>
        </w:tc>
        <w:tc>
          <w:tcPr>
            <w:tcW w:w="6067" w:type="dxa"/>
          </w:tcPr>
          <w:p w14:paraId="124AB5DB" w14:textId="77777777" w:rsidR="002A492B" w:rsidRPr="00253B37" w:rsidRDefault="002A492B" w:rsidP="002A492B">
            <w:pPr>
              <w:pStyle w:val="Tabletext"/>
            </w:pPr>
            <w:r w:rsidRPr="00253B37">
              <w:t xml:space="preserve">The registered healthcare professional operating under this standardised protocol must have undertaken appropriate education and training and successfully completed the competencies to undertake clinical assessment of patients ensuring safe provision of the devices listed in accordance with local policy. </w:t>
            </w:r>
          </w:p>
          <w:p w14:paraId="572F5325" w14:textId="77777777" w:rsidR="002A492B" w:rsidRPr="00253B37" w:rsidRDefault="002A492B" w:rsidP="00430D13">
            <w:pPr>
              <w:pStyle w:val="Tabletext"/>
            </w:pPr>
          </w:p>
          <w:p w14:paraId="2AAF5CEA" w14:textId="77777777" w:rsidR="00144B49" w:rsidRDefault="002A492B" w:rsidP="00430D13">
            <w:pPr>
              <w:pStyle w:val="Tabletext"/>
            </w:pPr>
            <w:r w:rsidRPr="00253B37">
              <w:t xml:space="preserve">Recommended requirement for training would be successful completion of a relevant contraception module/course accredited or endorsed by the </w:t>
            </w:r>
            <w:r w:rsidR="00AE4804">
              <w:t>Co</w:t>
            </w:r>
            <w:r w:rsidRPr="00253B37">
              <w:t xml:space="preserve">SRH, CPPE or university or as advised in the RCN training directory.  Individuals working under this standardised protocol should hold an </w:t>
            </w:r>
            <w:r w:rsidR="00430D13" w:rsidRPr="00253B37">
              <w:t>in-date</w:t>
            </w:r>
            <w:r w:rsidRPr="00253B37">
              <w:t xml:space="preserve"> </w:t>
            </w:r>
            <w:r w:rsidR="00AE4804">
              <w:t>Co</w:t>
            </w:r>
            <w:r w:rsidRPr="00253B37">
              <w:t>SRH Letter of Competence Intrauterine Techniques (LoC IUT) which has been achieved or recertified within the last 5 years.</w:t>
            </w:r>
          </w:p>
          <w:p w14:paraId="016D3986" w14:textId="025C5180" w:rsidR="00430D13" w:rsidRPr="00144B49" w:rsidRDefault="00144B49" w:rsidP="00430D13">
            <w:pPr>
              <w:pStyle w:val="Tabletext"/>
              <w:rPr>
                <w:rStyle w:val="Hyperlink"/>
                <w:color w:val="auto"/>
                <w:u w:val="none"/>
              </w:rPr>
            </w:pPr>
            <w:r>
              <w:t>P</w:t>
            </w:r>
            <w:r w:rsidR="002A492B" w:rsidRPr="00253B37">
              <w:t xml:space="preserve">rotocol users should have read thoroughly and be familiar with the </w:t>
            </w:r>
            <w:hyperlink r:id="rId11" w:history="1">
              <w:r w:rsidR="00AE4804">
                <w:rPr>
                  <w:rStyle w:val="Hyperlink"/>
                  <w:lang w:val="en-GB"/>
                </w:rPr>
                <w:t>C</w:t>
              </w:r>
              <w:r w:rsidR="00AE4804">
                <w:rPr>
                  <w:rStyle w:val="Hyperlink"/>
                </w:rPr>
                <w:t>o</w:t>
              </w:r>
              <w:r w:rsidR="00430D13" w:rsidRPr="00430D13">
                <w:rPr>
                  <w:rStyle w:val="Hyperlink"/>
                  <w:lang w:val="en-GB"/>
                </w:rPr>
                <w:t>SRH Clinical Guideline: Intrauterine contraception (March 2023, amended Jan 2025)</w:t>
              </w:r>
            </w:hyperlink>
          </w:p>
          <w:p w14:paraId="5F667542" w14:textId="77777777" w:rsidR="002A492B" w:rsidRPr="00B40193" w:rsidRDefault="002A492B" w:rsidP="002A492B">
            <w:pPr>
              <w:pStyle w:val="Default"/>
              <w:rPr>
                <w:rFonts w:ascii="Arial" w:hAnsi="Arial" w:cs="Arial"/>
                <w:color w:val="auto"/>
                <w:sz w:val="20"/>
                <w:szCs w:val="20"/>
              </w:rPr>
            </w:pPr>
          </w:p>
          <w:p w14:paraId="78AD549E" w14:textId="6DC6AC19" w:rsidR="002A492B" w:rsidRPr="00B40193" w:rsidRDefault="002A492B" w:rsidP="00430D13">
            <w:pPr>
              <w:pStyle w:val="Tabletext"/>
            </w:pPr>
            <w:r w:rsidRPr="00B40193">
              <w:t xml:space="preserve">Immediate postpartum intrauterine </w:t>
            </w:r>
            <w:r w:rsidR="007E3B37">
              <w:t>device</w:t>
            </w:r>
            <w:r w:rsidRPr="00B40193">
              <w:t xml:space="preserve"> (PPIU</w:t>
            </w:r>
            <w:r w:rsidR="007E3B37">
              <w:t>D</w:t>
            </w:r>
            <w:r w:rsidRPr="00B40193">
              <w:t xml:space="preserve">) insertion training is not part of the </w:t>
            </w:r>
            <w:r w:rsidR="00AE4804">
              <w:t>Co</w:t>
            </w:r>
            <w:r w:rsidRPr="00B40193">
              <w:t>SRH LoC IUT. The insertion procedure for immediate PPIU</w:t>
            </w:r>
            <w:r w:rsidR="007E3B37">
              <w:t>D</w:t>
            </w:r>
            <w:r w:rsidRPr="00B40193">
              <w:t xml:space="preserve"> is different to that of standard IU</w:t>
            </w:r>
            <w:r w:rsidR="009B2692">
              <w:t>D</w:t>
            </w:r>
            <w:r w:rsidRPr="00B40193">
              <w:t xml:space="preserve"> insertion and should only be performed by those who have been trained in this technique. Theoretical training information for PP</w:t>
            </w:r>
            <w:r w:rsidR="00144B49">
              <w:t>IU</w:t>
            </w:r>
            <w:r w:rsidR="007E3B37">
              <w:t>D</w:t>
            </w:r>
            <w:r w:rsidRPr="00B40193">
              <w:t xml:space="preserve"> can be found in the </w:t>
            </w:r>
            <w:r w:rsidR="00AE4804">
              <w:t>Co</w:t>
            </w:r>
            <w:r w:rsidRPr="00B40193">
              <w:t>SRH Member’s Training hub and clinicians should follow/develop local pathways for practical training.</w:t>
            </w:r>
          </w:p>
          <w:p w14:paraId="2C942F6E" w14:textId="77777777" w:rsidR="002A492B" w:rsidRPr="00253B37" w:rsidRDefault="002A492B" w:rsidP="002A492B">
            <w:pPr>
              <w:pStyle w:val="Default"/>
              <w:rPr>
                <w:rFonts w:ascii="Arial" w:hAnsi="Arial" w:cs="Arial"/>
                <w:sz w:val="20"/>
                <w:szCs w:val="20"/>
              </w:rPr>
            </w:pPr>
          </w:p>
          <w:p w14:paraId="4BEC5684" w14:textId="547CFB92" w:rsidR="002A492B" w:rsidRPr="00253B37" w:rsidRDefault="00430D13" w:rsidP="00430D13">
            <w:pPr>
              <w:pStyle w:val="Tabletext"/>
            </w:pPr>
            <w:r>
              <w:t xml:space="preserve">Health care professionals </w:t>
            </w:r>
            <w:r w:rsidR="002A492B" w:rsidRPr="00253B37">
              <w:t>working under this standardised protocol may be required to administer local anaesthesia in line with local protocols/PGDs.</w:t>
            </w:r>
          </w:p>
          <w:p w14:paraId="44BFF1B3" w14:textId="77777777" w:rsidR="002A492B" w:rsidRPr="00253B37" w:rsidRDefault="002A492B" w:rsidP="002A492B">
            <w:pPr>
              <w:pStyle w:val="Default"/>
              <w:rPr>
                <w:rFonts w:ascii="Arial" w:hAnsi="Arial" w:cs="Arial"/>
                <w:sz w:val="20"/>
                <w:szCs w:val="20"/>
              </w:rPr>
            </w:pPr>
          </w:p>
          <w:p w14:paraId="6BAA54BA" w14:textId="77777777" w:rsidR="00B030D5" w:rsidRDefault="00B030D5" w:rsidP="00430D13">
            <w:pPr>
              <w:pStyle w:val="Tabletext"/>
            </w:pPr>
            <w:r w:rsidRPr="00446FC4">
              <w:t xml:space="preserve">The healthcare professional has completed training and is up to date with </w:t>
            </w:r>
            <w:r w:rsidRPr="00260CE7">
              <w:rPr>
                <w:highlight w:val="cyan"/>
              </w:rPr>
              <w:t>[</w:t>
            </w:r>
            <w:r w:rsidRPr="00446FC4">
              <w:rPr>
                <w:highlight w:val="cyan"/>
              </w:rPr>
              <w:t>service requirements/specification</w:t>
            </w:r>
            <w:r w:rsidRPr="00260CE7">
              <w:rPr>
                <w:highlight w:val="cyan"/>
              </w:rPr>
              <w:t>]</w:t>
            </w:r>
            <w:r w:rsidRPr="00446FC4">
              <w:t xml:space="preserve"> for safeguarding children and vulnerable adults. </w:t>
            </w:r>
            <w:r w:rsidRPr="00260CE7">
              <w:rPr>
                <w:highlight w:val="cyan"/>
              </w:rPr>
              <w:t>[</w:t>
            </w:r>
            <w:r w:rsidRPr="00446FC4">
              <w:rPr>
                <w:highlight w:val="cyan"/>
              </w:rPr>
              <w:t>amend as per local policy</w:t>
            </w:r>
            <w:r w:rsidRPr="00260CE7">
              <w:rPr>
                <w:highlight w:val="cyan"/>
              </w:rPr>
              <w:t>]</w:t>
            </w:r>
          </w:p>
          <w:p w14:paraId="555E594E" w14:textId="77777777" w:rsidR="00F16E9B" w:rsidRDefault="00F16E9B" w:rsidP="00430D13">
            <w:pPr>
              <w:pStyle w:val="Tabletext"/>
            </w:pPr>
          </w:p>
          <w:p w14:paraId="16135BCC" w14:textId="000F728E" w:rsidR="0026613D" w:rsidRPr="00F900CD" w:rsidRDefault="002A492B" w:rsidP="00430D13">
            <w:pPr>
              <w:pStyle w:val="Tabletext"/>
              <w:rPr>
                <w:b/>
              </w:rPr>
            </w:pPr>
            <w:r w:rsidRPr="00E647ED">
              <w:t xml:space="preserve">The healthcare professional must ensure that they have an up-to-date certificate for Basic Life Support </w:t>
            </w:r>
            <w:r w:rsidRPr="00E647ED">
              <w:lastRenderedPageBreak/>
              <w:t xml:space="preserve">(BLS) and </w:t>
            </w:r>
            <w:proofErr w:type="gramStart"/>
            <w:r w:rsidRPr="00E647ED">
              <w:t>anaphylaxis</w:t>
            </w:r>
            <w:r w:rsidR="002228EC">
              <w:t xml:space="preserve"> </w:t>
            </w:r>
            <w:r w:rsidR="00430D13" w:rsidRPr="00CE4533">
              <w:rPr>
                <w:highlight w:val="yellow"/>
              </w:rPr>
              <w:t>[[</w:t>
            </w:r>
            <w:proofErr w:type="gramEnd"/>
            <w:r w:rsidRPr="00E647ED">
              <w:rPr>
                <w:highlight w:val="yellow"/>
              </w:rPr>
              <w:t>as required by the employing Trust/organisation</w:t>
            </w:r>
            <w:r w:rsidR="00430D13" w:rsidRPr="00CE4533">
              <w:rPr>
                <w:highlight w:val="yellow"/>
              </w:rPr>
              <w:t>.]]</w:t>
            </w:r>
          </w:p>
        </w:tc>
      </w:tr>
    </w:tbl>
    <w:p w14:paraId="1CAACE9F" w14:textId="77777777" w:rsidR="005A45CB" w:rsidRDefault="005A45CB" w:rsidP="005A45CB">
      <w:pPr>
        <w:rPr>
          <w:lang w:val="en-US"/>
        </w:rPr>
      </w:pPr>
    </w:p>
    <w:p w14:paraId="4FDCF626" w14:textId="68C3AFA8" w:rsidR="0026613D" w:rsidRDefault="0026613D" w:rsidP="00ED20C6">
      <w:pPr>
        <w:pStyle w:val="Tabletitle"/>
        <w:numPr>
          <w:ilvl w:val="0"/>
          <w:numId w:val="41"/>
        </w:numPr>
      </w:pPr>
      <w:r w:rsidRPr="00D00B34">
        <w:rPr>
          <w:rFonts w:eastAsia="Arial"/>
          <w:lang w:eastAsia="en-GB" w:bidi="en-GB"/>
        </w:rPr>
        <w:t>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0026613D" w:rsidRPr="00D00B34" w14:paraId="5269B104" w14:textId="77777777" w:rsidTr="00F900CD">
        <w:tc>
          <w:tcPr>
            <w:tcW w:w="2949" w:type="dxa"/>
          </w:tcPr>
          <w:p w14:paraId="2DCBF18D" w14:textId="77777777" w:rsidR="0026613D" w:rsidRPr="00FD6567" w:rsidRDefault="0026613D" w:rsidP="00F900CD">
            <w:pPr>
              <w:rPr>
                <w:rStyle w:val="TableHeaderColumn"/>
                <w:sz w:val="24"/>
              </w:rPr>
            </w:pPr>
            <w:r w:rsidRPr="00FD6567">
              <w:rPr>
                <w:rStyle w:val="TableHeaderColumn"/>
                <w:rFonts w:eastAsiaTheme="minorHAnsi"/>
                <w:sz w:val="24"/>
                <w:szCs w:val="22"/>
              </w:rPr>
              <w:t>Clinical situation</w:t>
            </w:r>
          </w:p>
        </w:tc>
        <w:tc>
          <w:tcPr>
            <w:tcW w:w="6067" w:type="dxa"/>
          </w:tcPr>
          <w:p w14:paraId="03FE6B5E" w14:textId="3B25BE77" w:rsidR="0026613D" w:rsidRPr="00D00B34" w:rsidRDefault="00430D13" w:rsidP="00FD6567">
            <w:pPr>
              <w:pStyle w:val="Tabletext"/>
            </w:pPr>
            <w:r w:rsidRPr="00430D13">
              <w:rPr>
                <w:bCs/>
                <w:iCs/>
                <w:lang w:val="en-GB"/>
              </w:rPr>
              <w:t>Insertion of a copper Intrauterine device (Cu-IUD)</w:t>
            </w:r>
          </w:p>
        </w:tc>
      </w:tr>
      <w:tr w:rsidR="0026613D" w:rsidRPr="00D00B34" w14:paraId="2A7FD6BA" w14:textId="77777777" w:rsidTr="00F900CD">
        <w:tc>
          <w:tcPr>
            <w:tcW w:w="2949" w:type="dxa"/>
          </w:tcPr>
          <w:p w14:paraId="3BB8C550"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included</w:t>
            </w:r>
          </w:p>
        </w:tc>
        <w:tc>
          <w:tcPr>
            <w:tcW w:w="6067" w:type="dxa"/>
          </w:tcPr>
          <w:p w14:paraId="7EB4D208" w14:textId="724BA286" w:rsidR="00430D13" w:rsidRPr="00430D13" w:rsidRDefault="00430D13" w:rsidP="00627EEA">
            <w:pPr>
              <w:pStyle w:val="PGDtablebullet0"/>
              <w:numPr>
                <w:ilvl w:val="0"/>
                <w:numId w:val="22"/>
              </w:numPr>
              <w:rPr>
                <w:lang w:val="en-GB"/>
              </w:rPr>
            </w:pPr>
            <w:r w:rsidRPr="00430D13">
              <w:rPr>
                <w:lang w:val="en-GB"/>
              </w:rPr>
              <w:t>Individuals from menarche to age 55 assessed as suitable for a C</w:t>
            </w:r>
            <w:r w:rsidR="00C40CE9">
              <w:rPr>
                <w:lang w:val="en-GB"/>
              </w:rPr>
              <w:t>u-</w:t>
            </w:r>
            <w:r w:rsidRPr="00430D13">
              <w:rPr>
                <w:lang w:val="en-GB"/>
              </w:rPr>
              <w:t xml:space="preserve">IUD as a long-acting reversible method of contraception. </w:t>
            </w:r>
          </w:p>
          <w:p w14:paraId="79EA7337" w14:textId="77777777" w:rsidR="00430D13" w:rsidRPr="00430D13" w:rsidRDefault="00430D13" w:rsidP="00627EEA">
            <w:pPr>
              <w:pStyle w:val="PGDtablebullet0"/>
              <w:numPr>
                <w:ilvl w:val="0"/>
                <w:numId w:val="22"/>
              </w:numPr>
              <w:rPr>
                <w:lang w:val="en-GB"/>
              </w:rPr>
            </w:pPr>
            <w:r w:rsidRPr="00430D13">
              <w:rPr>
                <w:lang w:val="en-GB"/>
              </w:rPr>
              <w:t>If an individual meets the eligibility criteria for emergency contraception</w:t>
            </w:r>
          </w:p>
          <w:p w14:paraId="35CD92A7" w14:textId="3252FDFE" w:rsidR="0026613D" w:rsidRPr="00D00B34" w:rsidRDefault="00430D13" w:rsidP="00627EEA">
            <w:pPr>
              <w:pStyle w:val="PGDtablebullet0"/>
              <w:numPr>
                <w:ilvl w:val="0"/>
                <w:numId w:val="22"/>
              </w:numPr>
            </w:pPr>
            <w:r w:rsidRPr="00430D13">
              <w:rPr>
                <w:lang w:val="en-GB"/>
              </w:rPr>
              <w:t xml:space="preserve">Individual consents to treatment.  </w:t>
            </w:r>
          </w:p>
        </w:tc>
      </w:tr>
      <w:tr w:rsidR="0026613D" w:rsidRPr="00D00B34" w14:paraId="7AA2345E" w14:textId="77777777" w:rsidTr="00F900CD">
        <w:tc>
          <w:tcPr>
            <w:tcW w:w="2949" w:type="dxa"/>
          </w:tcPr>
          <w:p w14:paraId="055D710B" w14:textId="77777777" w:rsidR="0026613D" w:rsidRPr="00FD6567" w:rsidRDefault="0026613D" w:rsidP="00F900CD">
            <w:pPr>
              <w:rPr>
                <w:rStyle w:val="TableHeaderColumn"/>
                <w:sz w:val="24"/>
              </w:rPr>
            </w:pPr>
            <w:r w:rsidRPr="00FD6567">
              <w:rPr>
                <w:rStyle w:val="TableHeaderColumn"/>
                <w:rFonts w:eastAsiaTheme="minorHAnsi"/>
                <w:sz w:val="24"/>
                <w:szCs w:val="22"/>
              </w:rPr>
              <w:t>Individuals excluded</w:t>
            </w:r>
          </w:p>
        </w:tc>
        <w:tc>
          <w:tcPr>
            <w:tcW w:w="6067" w:type="dxa"/>
          </w:tcPr>
          <w:p w14:paraId="192E40E2" w14:textId="77777777" w:rsidR="00430D13" w:rsidRPr="00430D13" w:rsidRDefault="00430D13" w:rsidP="00627EEA">
            <w:pPr>
              <w:pStyle w:val="PGDtablebullet0"/>
              <w:numPr>
                <w:ilvl w:val="0"/>
                <w:numId w:val="27"/>
              </w:numPr>
            </w:pPr>
            <w:r w:rsidRPr="00430D13">
              <w:t xml:space="preserve">Informed consent not given.  </w:t>
            </w:r>
          </w:p>
          <w:p w14:paraId="1E7BDAB9" w14:textId="77777777" w:rsidR="00430D13" w:rsidRPr="00430D13" w:rsidRDefault="00430D13" w:rsidP="00627EEA">
            <w:pPr>
              <w:pStyle w:val="PGDtablebullet0"/>
              <w:numPr>
                <w:ilvl w:val="0"/>
                <w:numId w:val="27"/>
              </w:numPr>
            </w:pPr>
            <w:r w:rsidRPr="00430D13">
              <w:t>Individuals under 16 years of age and assessed as not competent using Fraser Guidelines.</w:t>
            </w:r>
          </w:p>
          <w:p w14:paraId="10829CAA" w14:textId="77777777" w:rsidR="00430D13" w:rsidRPr="00430D13" w:rsidRDefault="00430D13" w:rsidP="00627EEA">
            <w:pPr>
              <w:pStyle w:val="PGDtablebullet0"/>
              <w:numPr>
                <w:ilvl w:val="0"/>
                <w:numId w:val="27"/>
              </w:numPr>
            </w:pPr>
            <w:r w:rsidRPr="00430D13">
              <w:t>Individuals 16 years of age and over and assessed as lacking capacity to consent.</w:t>
            </w:r>
          </w:p>
          <w:p w14:paraId="7DC0D4BC" w14:textId="77777777" w:rsidR="00430D13" w:rsidRPr="00430D13" w:rsidRDefault="00430D13" w:rsidP="00627EEA">
            <w:pPr>
              <w:pStyle w:val="PGDtablebullet0"/>
              <w:numPr>
                <w:ilvl w:val="0"/>
                <w:numId w:val="27"/>
              </w:numPr>
            </w:pPr>
            <w:r w:rsidRPr="00430D13">
              <w:t>Risk of pregnancy (unless meeting the criteria for insertion as emergency contraception)</w:t>
            </w:r>
          </w:p>
          <w:p w14:paraId="69AE2C3A" w14:textId="77777777" w:rsidR="00430D13" w:rsidRPr="00430D13" w:rsidRDefault="00430D13" w:rsidP="00627EEA">
            <w:pPr>
              <w:pStyle w:val="PGDtablebullet0"/>
              <w:numPr>
                <w:ilvl w:val="0"/>
                <w:numId w:val="27"/>
              </w:numPr>
            </w:pPr>
            <w:r w:rsidRPr="00430D13">
              <w:t xml:space="preserve">Any reported unprotected sexual intercourse (UPSI) within the last 3 weeks (unless meeting the criteria for insertion as emergency contraception). </w:t>
            </w:r>
          </w:p>
          <w:p w14:paraId="59E397B1" w14:textId="77777777" w:rsidR="00430D13" w:rsidRPr="00430D13" w:rsidRDefault="00430D13" w:rsidP="00627EEA">
            <w:pPr>
              <w:pStyle w:val="PGDtablebullet0"/>
              <w:numPr>
                <w:ilvl w:val="0"/>
                <w:numId w:val="27"/>
              </w:numPr>
            </w:pPr>
            <w:r w:rsidRPr="00430D13">
              <w:t>Over 48 hours and less than 4 weeks postpartum (note the Cu-IUD can be fitted immediately post-partum, post termination of pregnancy, ectopic pregnancy or miscarriage)</w:t>
            </w:r>
          </w:p>
          <w:p w14:paraId="222569F3" w14:textId="77777777" w:rsidR="00430D13" w:rsidRPr="00430D13" w:rsidRDefault="00430D13" w:rsidP="00627EEA">
            <w:pPr>
              <w:pStyle w:val="PGDtablebullet0"/>
              <w:numPr>
                <w:ilvl w:val="0"/>
                <w:numId w:val="27"/>
              </w:numPr>
            </w:pPr>
            <w:r w:rsidRPr="00430D13">
              <w:t>Postpartum sepsis</w:t>
            </w:r>
          </w:p>
          <w:p w14:paraId="105E424F" w14:textId="77777777" w:rsidR="00430D13" w:rsidRPr="00430D13" w:rsidRDefault="00430D13" w:rsidP="00627EEA">
            <w:pPr>
              <w:pStyle w:val="PGDtablebullet0"/>
              <w:numPr>
                <w:ilvl w:val="0"/>
                <w:numId w:val="27"/>
              </w:numPr>
            </w:pPr>
            <w:r w:rsidRPr="00430D13">
              <w:t>Post-abortion sepsis</w:t>
            </w:r>
          </w:p>
          <w:p w14:paraId="0B227891" w14:textId="77777777" w:rsidR="00430D13" w:rsidRPr="00430D13" w:rsidRDefault="00430D13" w:rsidP="00627EEA">
            <w:pPr>
              <w:pStyle w:val="PGDtablebullet0"/>
              <w:numPr>
                <w:ilvl w:val="0"/>
                <w:numId w:val="27"/>
              </w:numPr>
            </w:pPr>
            <w:r w:rsidRPr="00430D13">
              <w:t>Gestational trophoblastic disease with decreasing or, persistently elevated β-</w:t>
            </w:r>
            <w:proofErr w:type="spellStart"/>
            <w:r w:rsidRPr="00430D13">
              <w:t>hCG</w:t>
            </w:r>
            <w:proofErr w:type="spellEnd"/>
            <w:r w:rsidRPr="00430D13">
              <w:t xml:space="preserve"> levels or malignancy</w:t>
            </w:r>
          </w:p>
          <w:p w14:paraId="4210DACE" w14:textId="77777777" w:rsidR="0026613D" w:rsidRDefault="0026613D" w:rsidP="00430D13">
            <w:pPr>
              <w:pStyle w:val="Tabletext"/>
              <w:rPr>
                <w:rFonts w:eastAsia="Arial"/>
                <w:lang w:eastAsia="en-GB" w:bidi="en-GB"/>
              </w:rPr>
            </w:pPr>
          </w:p>
          <w:p w14:paraId="3FAF1B23"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Cardiovascular Disease</w:t>
            </w:r>
          </w:p>
          <w:p w14:paraId="3BB0DD84" w14:textId="78D728FB" w:rsidR="00430D13" w:rsidRPr="00430D13" w:rsidRDefault="00430D13" w:rsidP="00627EEA">
            <w:pPr>
              <w:pStyle w:val="PGDtablebullet0"/>
              <w:numPr>
                <w:ilvl w:val="0"/>
                <w:numId w:val="28"/>
              </w:numPr>
              <w:rPr>
                <w:b/>
                <w:lang w:val="en-GB"/>
              </w:rPr>
            </w:pPr>
            <w:r w:rsidRPr="00430D13">
              <w:rPr>
                <w:lang w:val="en-GB"/>
              </w:rPr>
              <w:t>For individuals with pre-existing arrhythmia, Eisenmenger physiology, single ventricle (or Fontan) circulation, long QT syndrome or impaired ventricular function, a vasovagal reaction could pose a serious risk of a significant cardiac event and therefore IU</w:t>
            </w:r>
            <w:r w:rsidR="009B2692">
              <w:rPr>
                <w:lang w:val="en-GB"/>
              </w:rPr>
              <w:t>D</w:t>
            </w:r>
            <w:r w:rsidRPr="00430D13">
              <w:rPr>
                <w:lang w:val="en-GB"/>
              </w:rPr>
              <w:t xml:space="preserve"> procedures should be undertaken in a hospital setting. </w:t>
            </w:r>
          </w:p>
          <w:p w14:paraId="1EC4C405"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 xml:space="preserve">Cancers </w:t>
            </w:r>
          </w:p>
          <w:p w14:paraId="7DA0B633" w14:textId="77777777" w:rsidR="00430D13" w:rsidRPr="00430D13" w:rsidRDefault="00430D13" w:rsidP="00627EEA">
            <w:pPr>
              <w:pStyle w:val="PGDtablebullet0"/>
              <w:numPr>
                <w:ilvl w:val="0"/>
                <w:numId w:val="28"/>
              </w:numPr>
              <w:rPr>
                <w:lang w:val="en-GB"/>
              </w:rPr>
            </w:pPr>
            <w:r w:rsidRPr="00430D13">
              <w:rPr>
                <w:lang w:val="en-GB"/>
              </w:rPr>
              <w:t>Cervical cancer (initiation of Cu-IUD in patients awaiting treatment)</w:t>
            </w:r>
          </w:p>
          <w:p w14:paraId="197AC02F" w14:textId="77777777" w:rsidR="00430D13" w:rsidRPr="00430D13" w:rsidRDefault="00430D13" w:rsidP="00627EEA">
            <w:pPr>
              <w:pStyle w:val="PGDtablebullet0"/>
              <w:numPr>
                <w:ilvl w:val="0"/>
                <w:numId w:val="28"/>
              </w:numPr>
              <w:rPr>
                <w:lang w:val="en-GB"/>
              </w:rPr>
            </w:pPr>
            <w:r w:rsidRPr="00430D13">
              <w:rPr>
                <w:lang w:val="en-GB"/>
              </w:rPr>
              <w:t>Endometrial cancer (initiation of Cu-IUD)</w:t>
            </w:r>
          </w:p>
          <w:p w14:paraId="152B9615" w14:textId="77777777" w:rsidR="00430D13" w:rsidRPr="00430D13" w:rsidRDefault="00430D13" w:rsidP="00627EEA">
            <w:pPr>
              <w:pStyle w:val="PGDtablebullet0"/>
              <w:numPr>
                <w:ilvl w:val="0"/>
                <w:numId w:val="28"/>
              </w:numPr>
              <w:rPr>
                <w:lang w:val="en-GB"/>
              </w:rPr>
            </w:pPr>
            <w:r w:rsidRPr="00430D13">
              <w:rPr>
                <w:lang w:val="en-GB"/>
              </w:rPr>
              <w:lastRenderedPageBreak/>
              <w:t>Cervical cancer (resulting in radical trachelectomy)</w:t>
            </w:r>
          </w:p>
          <w:p w14:paraId="7FF9E43F"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Infections</w:t>
            </w:r>
          </w:p>
          <w:p w14:paraId="30B63C06" w14:textId="77777777" w:rsidR="00430D13" w:rsidRPr="00430D13" w:rsidRDefault="00430D13" w:rsidP="00627EEA">
            <w:pPr>
              <w:pStyle w:val="PGDtablebullet0"/>
              <w:numPr>
                <w:ilvl w:val="0"/>
                <w:numId w:val="29"/>
              </w:numPr>
              <w:rPr>
                <w:lang w:val="en-GB"/>
              </w:rPr>
            </w:pPr>
            <w:r w:rsidRPr="00430D13">
              <w:rPr>
                <w:lang w:val="en-GB"/>
              </w:rPr>
              <w:t>Current or recurrent pelvic inflammatory disease (PID)</w:t>
            </w:r>
          </w:p>
          <w:p w14:paraId="5A2984D3" w14:textId="77777777" w:rsidR="00430D13" w:rsidRPr="00430D13" w:rsidRDefault="00430D13" w:rsidP="00627EEA">
            <w:pPr>
              <w:pStyle w:val="PGDtablebullet0"/>
              <w:numPr>
                <w:ilvl w:val="0"/>
                <w:numId w:val="29"/>
              </w:numPr>
              <w:rPr>
                <w:lang w:val="en-GB"/>
              </w:rPr>
            </w:pPr>
            <w:r w:rsidRPr="00430D13">
              <w:rPr>
                <w:lang w:val="en-GB"/>
              </w:rPr>
              <w:t xml:space="preserve">Known current chlamydial infection </w:t>
            </w:r>
          </w:p>
          <w:p w14:paraId="05D979E8" w14:textId="77777777" w:rsidR="00430D13" w:rsidRPr="00430D13" w:rsidRDefault="00430D13" w:rsidP="00627EEA">
            <w:pPr>
              <w:pStyle w:val="PGDtablebullet0"/>
              <w:numPr>
                <w:ilvl w:val="0"/>
                <w:numId w:val="29"/>
              </w:numPr>
              <w:rPr>
                <w:lang w:val="en-GB"/>
              </w:rPr>
            </w:pPr>
            <w:r w:rsidRPr="00430D13">
              <w:rPr>
                <w:lang w:val="en-GB"/>
              </w:rPr>
              <w:t xml:space="preserve">Known gonorrhoea infections </w:t>
            </w:r>
          </w:p>
          <w:p w14:paraId="0326784D" w14:textId="77777777" w:rsidR="00430D13" w:rsidRPr="00430D13" w:rsidRDefault="00430D13" w:rsidP="00627EEA">
            <w:pPr>
              <w:pStyle w:val="PGDtablebullet0"/>
              <w:numPr>
                <w:ilvl w:val="0"/>
                <w:numId w:val="29"/>
              </w:numPr>
              <w:rPr>
                <w:lang w:val="en-GB"/>
              </w:rPr>
            </w:pPr>
            <w:r w:rsidRPr="00430D13">
              <w:rPr>
                <w:lang w:val="en-GB"/>
              </w:rPr>
              <w:t>Current purulent cervicitis or vaginitis</w:t>
            </w:r>
          </w:p>
          <w:p w14:paraId="75E1CC3B" w14:textId="77777777" w:rsidR="00430D13" w:rsidRPr="00430D13" w:rsidRDefault="00430D13" w:rsidP="00627EEA">
            <w:pPr>
              <w:pStyle w:val="PGDtablebullet0"/>
              <w:numPr>
                <w:ilvl w:val="0"/>
                <w:numId w:val="29"/>
              </w:numPr>
              <w:rPr>
                <w:lang w:val="en-GB"/>
              </w:rPr>
            </w:pPr>
            <w:r w:rsidRPr="00430D13">
              <w:rPr>
                <w:lang w:val="en-GB"/>
              </w:rPr>
              <w:t>Known pelvic tuberculosis</w:t>
            </w:r>
          </w:p>
          <w:p w14:paraId="22B3419F" w14:textId="458C0E93" w:rsidR="00430D13" w:rsidRDefault="00935178" w:rsidP="00430D13">
            <w:pPr>
              <w:pStyle w:val="PGDtablebullet0"/>
              <w:numPr>
                <w:ilvl w:val="0"/>
                <w:numId w:val="29"/>
              </w:numPr>
              <w:rPr>
                <w:lang w:val="en-GB"/>
              </w:rPr>
            </w:pPr>
            <w:r>
              <w:rPr>
                <w:lang w:val="en-GB"/>
              </w:rPr>
              <w:t>L</w:t>
            </w:r>
            <w:r w:rsidRPr="00935178">
              <w:rPr>
                <w:lang w:val="en-GB"/>
              </w:rPr>
              <w:t>iving with HIV infection if clinically unwell and not on treatment</w:t>
            </w:r>
          </w:p>
          <w:p w14:paraId="199CBE5E" w14:textId="77777777" w:rsidR="00935178" w:rsidRPr="00935178" w:rsidRDefault="00935178" w:rsidP="00935178">
            <w:pPr>
              <w:pStyle w:val="PGDtablebullet0"/>
              <w:numPr>
                <w:ilvl w:val="0"/>
                <w:numId w:val="0"/>
              </w:numPr>
              <w:ind w:left="720"/>
              <w:rPr>
                <w:lang w:val="en-GB"/>
              </w:rPr>
            </w:pPr>
          </w:p>
          <w:p w14:paraId="51E92E47"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Anatomical abnormalities</w:t>
            </w:r>
          </w:p>
          <w:p w14:paraId="79A13880" w14:textId="77777777" w:rsidR="00430D13" w:rsidRPr="00430D13" w:rsidRDefault="00430D13" w:rsidP="00627EEA">
            <w:pPr>
              <w:pStyle w:val="PGDtablebullet0"/>
              <w:numPr>
                <w:ilvl w:val="0"/>
                <w:numId w:val="30"/>
              </w:numPr>
              <w:rPr>
                <w:lang w:val="en-GB"/>
              </w:rPr>
            </w:pPr>
            <w:r w:rsidRPr="00430D13">
              <w:rPr>
                <w:lang w:val="en-GB"/>
              </w:rPr>
              <w:t>Distorted uterine cavity; congenital or acquired abnormality distorting the uterine cavity, including fibroids, incompatible with Cu-IUD insertion.</w:t>
            </w:r>
          </w:p>
          <w:p w14:paraId="3901771E" w14:textId="77777777" w:rsidR="00430D13" w:rsidRPr="00430D13" w:rsidRDefault="00430D13" w:rsidP="00430D13">
            <w:pPr>
              <w:pStyle w:val="Tabletext"/>
              <w:rPr>
                <w:rFonts w:eastAsia="Arial"/>
                <w:lang w:val="en-GB" w:eastAsia="en-GB" w:bidi="en-GB"/>
              </w:rPr>
            </w:pPr>
          </w:p>
          <w:p w14:paraId="0843940A" w14:textId="77777777" w:rsidR="00430D13" w:rsidRPr="00430D13" w:rsidRDefault="00430D13" w:rsidP="00430D13">
            <w:pPr>
              <w:pStyle w:val="Tabletext"/>
              <w:rPr>
                <w:rFonts w:eastAsia="Arial"/>
                <w:b/>
                <w:lang w:val="en-GB" w:eastAsia="en-GB" w:bidi="en-GB"/>
              </w:rPr>
            </w:pPr>
            <w:r w:rsidRPr="00430D13">
              <w:rPr>
                <w:rFonts w:eastAsia="Arial"/>
                <w:b/>
                <w:lang w:val="en-GB" w:eastAsia="en-GB" w:bidi="en-GB"/>
              </w:rPr>
              <w:t>Other Conditions</w:t>
            </w:r>
          </w:p>
          <w:p w14:paraId="23930AD1" w14:textId="77777777" w:rsidR="00430D13" w:rsidRPr="00430D13" w:rsidRDefault="00430D13" w:rsidP="00627EEA">
            <w:pPr>
              <w:pStyle w:val="PGDtablebullet0"/>
              <w:numPr>
                <w:ilvl w:val="0"/>
                <w:numId w:val="30"/>
              </w:numPr>
              <w:rPr>
                <w:lang w:val="en-GB"/>
              </w:rPr>
            </w:pPr>
            <w:r w:rsidRPr="00430D13">
              <w:rPr>
                <w:lang w:val="en-GB"/>
              </w:rPr>
              <w:t>Unexplained vaginal bleeding suspicious of a serious medical condition, present before commencing the method</w:t>
            </w:r>
          </w:p>
          <w:p w14:paraId="5B12BCD4" w14:textId="77777777" w:rsidR="00430D13" w:rsidRPr="00430D13" w:rsidRDefault="00430D13" w:rsidP="00627EEA">
            <w:pPr>
              <w:pStyle w:val="PGDtablebullet0"/>
              <w:numPr>
                <w:ilvl w:val="0"/>
                <w:numId w:val="30"/>
              </w:numPr>
              <w:rPr>
                <w:lang w:val="en-GB"/>
              </w:rPr>
            </w:pPr>
            <w:r w:rsidRPr="00430D13">
              <w:rPr>
                <w:lang w:val="en-GB"/>
              </w:rPr>
              <w:t>Organ transplant with complications</w:t>
            </w:r>
          </w:p>
          <w:p w14:paraId="78E30719" w14:textId="77777777" w:rsidR="00430D13" w:rsidRPr="00430D13" w:rsidRDefault="00430D13" w:rsidP="00627EEA">
            <w:pPr>
              <w:pStyle w:val="PGDtablebullet0"/>
              <w:numPr>
                <w:ilvl w:val="0"/>
                <w:numId w:val="30"/>
              </w:numPr>
              <w:rPr>
                <w:lang w:val="en-GB"/>
              </w:rPr>
            </w:pPr>
            <w:r w:rsidRPr="00430D13">
              <w:rPr>
                <w:lang w:val="en-GB"/>
              </w:rPr>
              <w:t>Previous endometrial ablation</w:t>
            </w:r>
          </w:p>
          <w:p w14:paraId="3894547A" w14:textId="77777777" w:rsidR="00430D13" w:rsidRPr="00430D13" w:rsidRDefault="00430D13" w:rsidP="00627EEA">
            <w:pPr>
              <w:pStyle w:val="PGDtablebullet0"/>
              <w:numPr>
                <w:ilvl w:val="0"/>
                <w:numId w:val="30"/>
              </w:numPr>
              <w:rPr>
                <w:lang w:val="en-GB"/>
              </w:rPr>
            </w:pPr>
            <w:r w:rsidRPr="00430D13">
              <w:rPr>
                <w:lang w:val="en-GB"/>
              </w:rPr>
              <w:t>Individuals with Wilson’s disease</w:t>
            </w:r>
          </w:p>
          <w:p w14:paraId="2D7992AE" w14:textId="77777777" w:rsidR="00430D13" w:rsidRPr="00430D13" w:rsidRDefault="00430D13" w:rsidP="00430D13">
            <w:pPr>
              <w:pStyle w:val="Tabletext"/>
              <w:rPr>
                <w:rFonts w:eastAsia="Arial"/>
                <w:lang w:val="en-GB" w:eastAsia="en-GB" w:bidi="en-GB"/>
              </w:rPr>
            </w:pPr>
          </w:p>
          <w:p w14:paraId="40FE662A" w14:textId="3182984E" w:rsidR="00430D13" w:rsidRPr="00D00B34" w:rsidRDefault="00430D13" w:rsidP="005734C4">
            <w:pPr>
              <w:pStyle w:val="Tabletext"/>
              <w:rPr>
                <w:rFonts w:eastAsia="Arial"/>
                <w:lang w:eastAsia="en-GB" w:bidi="en-GB"/>
              </w:rPr>
            </w:pPr>
            <w:r w:rsidRPr="00430D13">
              <w:rPr>
                <w:rFonts w:eastAsia="Arial"/>
                <w:lang w:val="en-GB" w:eastAsia="en-GB" w:bidi="en-GB"/>
              </w:rPr>
              <w:t xml:space="preserve">Refer to the </w:t>
            </w:r>
            <w:hyperlink r:id="rId12" w:history="1">
              <w:r w:rsidRPr="005734C4">
                <w:rPr>
                  <w:rStyle w:val="Hyperlink"/>
                  <w:rFonts w:eastAsia="Arial"/>
                  <w:lang w:val="en-GB" w:eastAsia="en-GB" w:bidi="en-GB"/>
                </w:rPr>
                <w:t xml:space="preserve">current </w:t>
              </w:r>
              <w:r w:rsidR="00AE4804">
                <w:rPr>
                  <w:rStyle w:val="Hyperlink"/>
                  <w:rFonts w:eastAsia="Arial"/>
                  <w:lang w:val="en-GB" w:eastAsia="en-GB" w:bidi="en-GB"/>
                </w:rPr>
                <w:t>C</w:t>
              </w:r>
              <w:r w:rsidR="00AE4804">
                <w:rPr>
                  <w:rStyle w:val="Hyperlink"/>
                  <w:rFonts w:eastAsia="Arial"/>
                  <w:lang w:eastAsia="en-GB" w:bidi="en-GB"/>
                </w:rPr>
                <w:t>o</w:t>
              </w:r>
              <w:r w:rsidRPr="005734C4">
                <w:rPr>
                  <w:rStyle w:val="Hyperlink"/>
                  <w:rFonts w:eastAsia="Arial"/>
                  <w:lang w:val="en-GB" w:eastAsia="en-GB" w:bidi="en-GB"/>
                </w:rPr>
                <w:t>SRH CEU clinical guideline</w:t>
              </w:r>
              <w:r w:rsidR="005734C4" w:rsidRPr="005734C4">
                <w:rPr>
                  <w:rStyle w:val="Hyperlink"/>
                  <w:rFonts w:eastAsia="Arial"/>
                  <w:lang w:val="en-GB" w:eastAsia="en-GB" w:bidi="en-GB"/>
                </w:rPr>
                <w:t>- intrauterine contraception</w:t>
              </w:r>
            </w:hyperlink>
            <w:r w:rsidRPr="00430D13">
              <w:rPr>
                <w:rFonts w:eastAsia="Arial"/>
                <w:lang w:val="en-GB" w:eastAsia="en-GB" w:bidi="en-GB"/>
              </w:rPr>
              <w:t xml:space="preserve"> and</w:t>
            </w:r>
            <w:r w:rsidR="005734C4">
              <w:rPr>
                <w:rFonts w:eastAsia="Arial"/>
                <w:lang w:val="en-GB" w:eastAsia="en-GB" w:bidi="en-GB"/>
              </w:rPr>
              <w:t xml:space="preserve"> </w:t>
            </w:r>
            <w:hyperlink r:id="rId13" w:history="1">
              <w:r w:rsidR="005734C4" w:rsidRPr="005734C4">
                <w:rPr>
                  <w:rStyle w:val="Hyperlink"/>
                  <w:lang w:eastAsia="en-GB" w:bidi="en-GB"/>
                </w:rPr>
                <w:t>Switching or Starting Methods of Contraceptio</w:t>
              </w:r>
              <w:r w:rsidR="00730C57">
                <w:rPr>
                  <w:rStyle w:val="Hyperlink"/>
                  <w:lang w:eastAsia="en-GB" w:bidi="en-GB"/>
                </w:rPr>
                <w:t>n (log in required)</w:t>
              </w:r>
            </w:hyperlink>
            <w:r w:rsidR="005734C4">
              <w:rPr>
                <w:rStyle w:val="Hyperlink"/>
                <w:lang w:eastAsia="en-GB" w:bidi="en-GB"/>
              </w:rPr>
              <w:t xml:space="preserve"> </w:t>
            </w:r>
            <w:r w:rsidRPr="00430D13">
              <w:rPr>
                <w:rFonts w:eastAsia="Arial"/>
                <w:lang w:val="en-GB" w:eastAsia="en-GB" w:bidi="en-GB"/>
              </w:rPr>
              <w:t>for specific guidance about starting and switching I</w:t>
            </w:r>
            <w:r w:rsidR="005734C4">
              <w:rPr>
                <w:rFonts w:eastAsia="Arial"/>
                <w:lang w:val="en-GB" w:eastAsia="en-GB" w:bidi="en-GB"/>
              </w:rPr>
              <w:t>UD.</w:t>
            </w:r>
          </w:p>
        </w:tc>
      </w:tr>
      <w:tr w:rsidR="005734C4" w:rsidRPr="00D00B34" w14:paraId="26C43842" w14:textId="77777777" w:rsidTr="00F900CD">
        <w:tc>
          <w:tcPr>
            <w:tcW w:w="2949" w:type="dxa"/>
          </w:tcPr>
          <w:p w14:paraId="3BBFF58E" w14:textId="77777777" w:rsidR="005734C4" w:rsidRPr="00FD6567" w:rsidRDefault="005734C4" w:rsidP="005734C4">
            <w:pPr>
              <w:rPr>
                <w:rStyle w:val="TableHeaderColumn"/>
                <w:sz w:val="24"/>
              </w:rPr>
            </w:pPr>
            <w:r w:rsidRPr="00FD6567">
              <w:rPr>
                <w:rStyle w:val="TableHeaderColumn"/>
                <w:rFonts w:eastAsiaTheme="minorHAnsi"/>
                <w:sz w:val="24"/>
                <w:szCs w:val="22"/>
              </w:rPr>
              <w:lastRenderedPageBreak/>
              <w:t xml:space="preserve">Cautions – monitor individual closely for adverse effects </w:t>
            </w:r>
          </w:p>
        </w:tc>
        <w:tc>
          <w:tcPr>
            <w:tcW w:w="6067" w:type="dxa"/>
          </w:tcPr>
          <w:p w14:paraId="74284704" w14:textId="77777777" w:rsidR="005734C4" w:rsidRPr="00253B37" w:rsidRDefault="005734C4" w:rsidP="00627EEA">
            <w:pPr>
              <w:pStyle w:val="PGDtablebullet0"/>
              <w:numPr>
                <w:ilvl w:val="0"/>
                <w:numId w:val="32"/>
              </w:numPr>
            </w:pPr>
            <w:r w:rsidRPr="00253B37">
              <w:t xml:space="preserve">If the individual is less than 16 years of age an assessment based on Fraser guidelines must be made and documented. </w:t>
            </w:r>
          </w:p>
          <w:p w14:paraId="48395200" w14:textId="77777777" w:rsidR="005734C4" w:rsidRPr="00253B37" w:rsidRDefault="005734C4" w:rsidP="00627EEA">
            <w:pPr>
              <w:pStyle w:val="PGDtablebullet0"/>
              <w:numPr>
                <w:ilvl w:val="0"/>
                <w:numId w:val="32"/>
              </w:numPr>
            </w:pPr>
            <w:r w:rsidRPr="00253B37">
              <w:t xml:space="preserve">If the individual is less than 13 years of age the healthcare professional should speak to local safeguarding </w:t>
            </w:r>
            <w:proofErr w:type="gramStart"/>
            <w:r w:rsidRPr="00253B37">
              <w:t>lead</w:t>
            </w:r>
            <w:proofErr w:type="gramEnd"/>
            <w:r w:rsidRPr="00253B37">
              <w:t xml:space="preserve"> and follow the local safeguarding policy.</w:t>
            </w:r>
          </w:p>
          <w:p w14:paraId="5A0B930E" w14:textId="0EAE8D5D" w:rsidR="005734C4" w:rsidRDefault="005734C4" w:rsidP="00627EEA">
            <w:pPr>
              <w:pStyle w:val="PGDtablebullet0"/>
              <w:numPr>
                <w:ilvl w:val="0"/>
                <w:numId w:val="32"/>
              </w:numPr>
              <w:rPr>
                <w:rStyle w:val="Hyperlink"/>
                <w:rFonts w:eastAsia="Arial"/>
              </w:rPr>
            </w:pPr>
            <w:r w:rsidRPr="00253B37">
              <w:t xml:space="preserve">Individuals taking anticoagulants or antiplatelets - refer to </w:t>
            </w:r>
            <w:hyperlink r:id="rId14" w:history="1">
              <w:r w:rsidR="00AE4804" w:rsidRPr="0014349F">
                <w:rPr>
                  <w:rStyle w:val="Hyperlink"/>
                  <w:rFonts w:eastAsia="Arial"/>
                </w:rPr>
                <w:t>Co</w:t>
              </w:r>
              <w:r w:rsidRPr="0014349F">
                <w:rPr>
                  <w:rStyle w:val="Hyperlink"/>
                  <w:rFonts w:eastAsia="Arial"/>
                </w:rPr>
                <w:t>SRH CEU Statement - Management of women taking anticoagulants or antiplatelet medications who request intrauterine contraception or subdermal implants</w:t>
              </w:r>
            </w:hyperlink>
            <w:r w:rsidRPr="005734C4">
              <w:rPr>
                <w:rStyle w:val="Hyperlink"/>
                <w:rFonts w:eastAsia="Arial"/>
              </w:rPr>
              <w:t xml:space="preserve"> </w:t>
            </w:r>
          </w:p>
          <w:p w14:paraId="71E7F283" w14:textId="4EBA270C" w:rsidR="009E12FA" w:rsidRDefault="009E12FA" w:rsidP="009E12FA">
            <w:pPr>
              <w:pStyle w:val="PGDtablebullet0"/>
              <w:numPr>
                <w:ilvl w:val="0"/>
                <w:numId w:val="0"/>
              </w:numPr>
              <w:ind w:left="720"/>
            </w:pPr>
            <w:r>
              <w:t>Refer to prescriber</w:t>
            </w:r>
            <w:r w:rsidR="00482BFD">
              <w:t>.</w:t>
            </w:r>
          </w:p>
          <w:p w14:paraId="45C5E07A" w14:textId="78F53465" w:rsidR="00552F5B" w:rsidRDefault="00552F5B" w:rsidP="00552F5B">
            <w:pPr>
              <w:pStyle w:val="PGDtablebullet0"/>
              <w:numPr>
                <w:ilvl w:val="0"/>
                <w:numId w:val="32"/>
              </w:numPr>
            </w:pPr>
            <w:r w:rsidRPr="00253B37">
              <w:t xml:space="preserve">Individuals at risk of an adrenal crisis will usually need to increase their steroid dose prior to, and for 24 hours after, </w:t>
            </w:r>
            <w:r>
              <w:t>IUD</w:t>
            </w:r>
            <w:r w:rsidRPr="00253B37">
              <w:t xml:space="preserve"> insertion and </w:t>
            </w:r>
            <w:r w:rsidRPr="00253B37">
              <w:lastRenderedPageBreak/>
              <w:t xml:space="preserve">should ideally have their </w:t>
            </w:r>
            <w:r>
              <w:t>IUD</w:t>
            </w:r>
            <w:r w:rsidRPr="00253B37">
              <w:t xml:space="preserve"> procedure scheduled for early morning.</w:t>
            </w:r>
          </w:p>
          <w:p w14:paraId="727D3487" w14:textId="21170A9A" w:rsidR="00482BFD" w:rsidRPr="00253B37" w:rsidRDefault="00482BFD" w:rsidP="00482BFD">
            <w:pPr>
              <w:pStyle w:val="PGDtablebullet0"/>
              <w:numPr>
                <w:ilvl w:val="0"/>
                <w:numId w:val="0"/>
              </w:numPr>
              <w:ind w:left="720"/>
            </w:pPr>
            <w:r>
              <w:t>Refer to prescriber.</w:t>
            </w:r>
          </w:p>
          <w:p w14:paraId="09155DC0" w14:textId="15C8F270" w:rsidR="005734C4" w:rsidRPr="00253B37" w:rsidRDefault="005734C4" w:rsidP="00627EEA">
            <w:pPr>
              <w:pStyle w:val="PGDtablebullet0"/>
              <w:numPr>
                <w:ilvl w:val="0"/>
                <w:numId w:val="32"/>
              </w:numPr>
            </w:pPr>
            <w:r w:rsidRPr="00253B37">
              <w:t xml:space="preserve">Liaison with an individual’s </w:t>
            </w:r>
            <w:r w:rsidR="00C40CE9">
              <w:t>multi-disciplinary</w:t>
            </w:r>
            <w:r>
              <w:t xml:space="preserve"> team (</w:t>
            </w:r>
            <w:r w:rsidRPr="00253B37">
              <w:t>MDT</w:t>
            </w:r>
            <w:r>
              <w:t>)</w:t>
            </w:r>
            <w:r w:rsidRPr="00253B37">
              <w:t xml:space="preserve"> or clinical specialist may be required with certain conditions (e.g. inherited bleeding disorders, cardiac disease, taking anticoagulants, Ehlers-Danlos syndromes (EDS), Postural tachycardia syndrome (</w:t>
            </w:r>
            <w:proofErr w:type="spellStart"/>
            <w:proofErr w:type="gramStart"/>
            <w:r w:rsidRPr="00253B37">
              <w:t>PoTS</w:t>
            </w:r>
            <w:proofErr w:type="spellEnd"/>
            <w:r w:rsidRPr="00253B37">
              <w:t>)</w:t>
            </w:r>
            <w:r w:rsidR="00552F5B">
              <w:t>)</w:t>
            </w:r>
            <w:proofErr w:type="gramEnd"/>
            <w:r w:rsidRPr="00253B37">
              <w:t>.</w:t>
            </w:r>
          </w:p>
          <w:p w14:paraId="6BD63961" w14:textId="77777777" w:rsidR="005734C4" w:rsidRPr="00F7141B" w:rsidRDefault="005734C4" w:rsidP="00627EEA">
            <w:pPr>
              <w:pStyle w:val="PGDtablebullet0"/>
              <w:numPr>
                <w:ilvl w:val="0"/>
                <w:numId w:val="32"/>
              </w:numPr>
            </w:pPr>
            <w:r w:rsidRPr="00253B37">
              <w:t xml:space="preserve">If an individual with </w:t>
            </w:r>
            <w:proofErr w:type="spellStart"/>
            <w:r w:rsidRPr="00253B37">
              <w:t>PoTS</w:t>
            </w:r>
            <w:proofErr w:type="spellEnd"/>
            <w:r w:rsidRPr="00253B37">
              <w:t xml:space="preserve"> has a history of postural syncope, advice should be sought from their cardiologist, as it may be </w:t>
            </w:r>
            <w:r w:rsidRPr="004D6604">
              <w:t xml:space="preserve">recommended that insertion </w:t>
            </w:r>
            <w:r w:rsidRPr="00F7141B">
              <w:t>should be undertaken in a hospital setting.</w:t>
            </w:r>
          </w:p>
          <w:p w14:paraId="14641F93" w14:textId="77777777" w:rsidR="005734C4" w:rsidRPr="00AD316F" w:rsidRDefault="005734C4" w:rsidP="00627EEA">
            <w:pPr>
              <w:pStyle w:val="PGDtablebullet0"/>
              <w:numPr>
                <w:ilvl w:val="0"/>
                <w:numId w:val="32"/>
              </w:numPr>
            </w:pPr>
            <w:r w:rsidRPr="00F7141B">
              <w:t xml:space="preserve">Individuals with cardiac arrhythmias (other than long QT) discuss with relevant </w:t>
            </w:r>
            <w:proofErr w:type="gramStart"/>
            <w:r w:rsidRPr="00F7141B">
              <w:t>clinician</w:t>
            </w:r>
            <w:proofErr w:type="gramEnd"/>
            <w:r w:rsidRPr="00F7141B">
              <w:t xml:space="preserve">.  </w:t>
            </w:r>
          </w:p>
          <w:p w14:paraId="50675211" w14:textId="601BFC14" w:rsidR="005734C4" w:rsidRPr="00D00B34" w:rsidRDefault="005734C4" w:rsidP="00627EEA">
            <w:pPr>
              <w:pStyle w:val="PGDtablebullet0"/>
              <w:numPr>
                <w:ilvl w:val="0"/>
                <w:numId w:val="32"/>
              </w:numPr>
            </w:pPr>
            <w:r w:rsidRPr="00253B37">
              <w:t>Discuss with appropriate medical/independent non-medical prescriber any medical condition or medication of which the healthcare professional is unsure or uncertain</w:t>
            </w:r>
          </w:p>
        </w:tc>
      </w:tr>
      <w:tr w:rsidR="005734C4" w:rsidRPr="00D00B34" w14:paraId="0B9BC1FC" w14:textId="77777777" w:rsidTr="00F900CD">
        <w:tc>
          <w:tcPr>
            <w:tcW w:w="2949" w:type="dxa"/>
          </w:tcPr>
          <w:p w14:paraId="50AF0CE6" w14:textId="77777777" w:rsidR="005734C4" w:rsidRPr="00FD6567" w:rsidRDefault="005734C4" w:rsidP="005734C4">
            <w:pPr>
              <w:rPr>
                <w:rStyle w:val="TableHeaderColumn"/>
                <w:sz w:val="24"/>
              </w:rPr>
            </w:pPr>
            <w:r w:rsidRPr="00FD6567">
              <w:rPr>
                <w:rStyle w:val="TableHeaderColumn"/>
                <w:rFonts w:eastAsiaTheme="minorHAnsi"/>
                <w:sz w:val="24"/>
                <w:szCs w:val="22"/>
              </w:rPr>
              <w:lastRenderedPageBreak/>
              <w:t>Action for individuals excluded</w:t>
            </w:r>
          </w:p>
        </w:tc>
        <w:tc>
          <w:tcPr>
            <w:tcW w:w="6067" w:type="dxa"/>
          </w:tcPr>
          <w:p w14:paraId="3FE08AC5" w14:textId="70FF4576" w:rsidR="005734C4" w:rsidRPr="00627EEA" w:rsidRDefault="005734C4" w:rsidP="00627EEA">
            <w:pPr>
              <w:pStyle w:val="PGDtablebullet0"/>
            </w:pPr>
            <w:r w:rsidRPr="00627EEA">
              <w:t>Explain the reasons for exclusion to the individual and document in the consultation record.</w:t>
            </w:r>
          </w:p>
          <w:p w14:paraId="668EB3FC" w14:textId="24387F4F" w:rsidR="005734C4" w:rsidRPr="005734C4" w:rsidRDefault="005734C4" w:rsidP="00627EEA">
            <w:pPr>
              <w:pStyle w:val="PGDtablebullet0"/>
            </w:pPr>
            <w:r w:rsidRPr="00627EEA">
              <w:t>Record reason for decline in the consultation record.</w:t>
            </w:r>
          </w:p>
        </w:tc>
      </w:tr>
      <w:tr w:rsidR="005734C4" w:rsidRPr="00D00B34" w14:paraId="60FD89A0" w14:textId="77777777" w:rsidTr="5B73C7B9">
        <w:trPr>
          <w:trHeight w:val="480"/>
        </w:trPr>
        <w:tc>
          <w:tcPr>
            <w:tcW w:w="2949" w:type="dxa"/>
          </w:tcPr>
          <w:p w14:paraId="716DA88D" w14:textId="77777777" w:rsidR="005734C4" w:rsidRPr="00FD6567" w:rsidRDefault="005734C4" w:rsidP="005734C4">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14:paraId="16E8186B" w14:textId="673AC0E5" w:rsidR="005734C4" w:rsidRPr="00627EEA" w:rsidRDefault="00627EEA" w:rsidP="00627EEA">
            <w:pPr>
              <w:pStyle w:val="Tabletext"/>
              <w:rPr>
                <w:highlight w:val="cyan"/>
              </w:rPr>
            </w:pPr>
            <w:r w:rsidRPr="00627EEA">
              <w:t>Where required refer the individual to a suitable health service provider if appropriate and/or provide them with information about further options</w:t>
            </w:r>
          </w:p>
        </w:tc>
      </w:tr>
    </w:tbl>
    <w:p w14:paraId="2116E691" w14:textId="77777777" w:rsidR="0026613D" w:rsidRDefault="0026613D" w:rsidP="005A45CB">
      <w:pPr>
        <w:rPr>
          <w:lang w:val="en-US"/>
        </w:rPr>
      </w:pPr>
    </w:p>
    <w:p w14:paraId="684FC063" w14:textId="77777777" w:rsidR="000F1AD9" w:rsidRDefault="000F1AD9" w:rsidP="005A45CB">
      <w:pPr>
        <w:rPr>
          <w:lang w:val="en-US"/>
        </w:rPr>
      </w:pPr>
    </w:p>
    <w:p w14:paraId="21F489BE" w14:textId="2452F863" w:rsidR="0026613D" w:rsidRDefault="00FE097C" w:rsidP="00ED20C6">
      <w:pPr>
        <w:pStyle w:val="Tabletitle"/>
        <w:numPr>
          <w:ilvl w:val="0"/>
          <w:numId w:val="41"/>
        </w:numPr>
      </w:pPr>
      <w:r w:rsidRPr="00D00B34">
        <w:rPr>
          <w:rFonts w:eastAsia="Arial"/>
          <w:lang w:eastAsia="en-GB" w:bidi="en-GB"/>
        </w:rPr>
        <w:t>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14:paraId="401897BF" w14:textId="77777777" w:rsidTr="005926F8">
        <w:tc>
          <w:tcPr>
            <w:tcW w:w="2977" w:type="dxa"/>
          </w:tcPr>
          <w:bookmarkEnd w:id="0"/>
          <w:p w14:paraId="23F199CD" w14:textId="77777777" w:rsidR="001F0D8B" w:rsidRPr="001F0D8B" w:rsidRDefault="001F0D8B" w:rsidP="001F0D8B">
            <w:pPr>
              <w:rPr>
                <w:rFonts w:ascii="Arial" w:eastAsiaTheme="minorHAnsi" w:hAnsi="Arial"/>
                <w:b/>
                <w:bCs/>
                <w:szCs w:val="22"/>
                <w:lang w:bidi="en-GB"/>
              </w:rPr>
            </w:pPr>
            <w:r w:rsidRPr="001F0D8B">
              <w:rPr>
                <w:rFonts w:ascii="Arial" w:eastAsiaTheme="minorHAnsi" w:hAnsi="Arial"/>
                <w:b/>
                <w:bCs/>
                <w:szCs w:val="22"/>
                <w:lang w:bidi="en-GB"/>
              </w:rPr>
              <w:t>Name of device</w:t>
            </w:r>
          </w:p>
          <w:p w14:paraId="0DB479AC" w14:textId="7A19A480" w:rsidR="008351E1" w:rsidRPr="00FD6567" w:rsidRDefault="001F0D8B" w:rsidP="001F0D8B">
            <w:pPr>
              <w:rPr>
                <w:rStyle w:val="TableHeaderColumn"/>
                <w:sz w:val="24"/>
              </w:rPr>
            </w:pPr>
            <w:r w:rsidRPr="00CE4533">
              <w:rPr>
                <w:rFonts w:ascii="Arial" w:eastAsiaTheme="minorHAnsi" w:hAnsi="Arial"/>
                <w:b/>
                <w:bCs/>
                <w:iCs/>
                <w:szCs w:val="22"/>
                <w:highlight w:val="yellow"/>
                <w:lang w:bidi="en-GB"/>
              </w:rPr>
              <w:t>[[</w:t>
            </w:r>
            <w:r w:rsidRPr="001F0D8B">
              <w:rPr>
                <w:rFonts w:ascii="Arial" w:eastAsiaTheme="minorHAnsi" w:hAnsi="Arial"/>
                <w:b/>
                <w:bCs/>
                <w:iCs/>
                <w:szCs w:val="22"/>
                <w:highlight w:val="yellow"/>
                <w:lang w:bidi="en-GB"/>
              </w:rPr>
              <w:t>amend to reflect local product(s) held</w:t>
            </w:r>
            <w:r w:rsidRPr="00CE4533">
              <w:rPr>
                <w:rFonts w:ascii="Arial" w:eastAsiaTheme="minorHAnsi" w:hAnsi="Arial"/>
                <w:b/>
                <w:bCs/>
                <w:iCs/>
                <w:szCs w:val="22"/>
                <w:highlight w:val="yellow"/>
                <w:lang w:bidi="en-GB"/>
              </w:rPr>
              <w:t>]]</w:t>
            </w:r>
            <w:r>
              <w:rPr>
                <w:rFonts w:ascii="Arial" w:eastAsiaTheme="minorHAnsi" w:hAnsi="Arial"/>
                <w:b/>
                <w:bCs/>
                <w:iCs/>
                <w:szCs w:val="22"/>
                <w:lang w:bidi="en-GB"/>
              </w:rPr>
              <w:t xml:space="preserve"> </w:t>
            </w:r>
          </w:p>
        </w:tc>
        <w:tc>
          <w:tcPr>
            <w:tcW w:w="6039" w:type="dxa"/>
          </w:tcPr>
          <w:p w14:paraId="30B12799" w14:textId="07671D44" w:rsidR="007E666C" w:rsidRDefault="00B2095F" w:rsidP="00627EEA">
            <w:pPr>
              <w:pStyle w:val="Tabletext"/>
              <w:rPr>
                <w:rFonts w:eastAsia="Arial"/>
                <w:b/>
                <w:bCs/>
                <w:highlight w:val="yellow"/>
                <w:lang w:val="en-GB" w:eastAsia="en-GB" w:bidi="en-GB"/>
              </w:rPr>
            </w:pPr>
            <w:r>
              <w:rPr>
                <w:rFonts w:eastAsia="Arial"/>
                <w:b/>
                <w:bCs/>
                <w:highlight w:val="yellow"/>
                <w:lang w:val="en-GB" w:eastAsia="en-GB" w:bidi="en-GB"/>
              </w:rPr>
              <w:t>Copper-</w:t>
            </w:r>
            <w:r w:rsidR="007E666C" w:rsidRPr="007E666C">
              <w:rPr>
                <w:rFonts w:eastAsia="Arial"/>
                <w:b/>
                <w:bCs/>
                <w:highlight w:val="yellow"/>
                <w:lang w:val="en-GB" w:eastAsia="en-GB" w:bidi="en-GB"/>
              </w:rPr>
              <w:t xml:space="preserve">bearing IUD containing a </w:t>
            </w:r>
            <w:r w:rsidR="00847EBD" w:rsidRPr="007E666C">
              <w:rPr>
                <w:rFonts w:eastAsia="Arial"/>
                <w:b/>
                <w:bCs/>
                <w:highlight w:val="yellow"/>
                <w:lang w:val="en-GB" w:eastAsia="en-GB" w:bidi="en-GB"/>
              </w:rPr>
              <w:t>minimum</w:t>
            </w:r>
            <w:r w:rsidR="007E666C" w:rsidRPr="007E666C">
              <w:rPr>
                <w:rFonts w:eastAsia="Arial"/>
                <w:b/>
                <w:bCs/>
                <w:highlight w:val="yellow"/>
                <w:lang w:val="en-GB" w:eastAsia="en-GB" w:bidi="en-GB"/>
              </w:rPr>
              <w:t xml:space="preserve"> of 300mm</w:t>
            </w:r>
            <w:r w:rsidR="007E666C" w:rsidRPr="00B2095F">
              <w:rPr>
                <w:rFonts w:eastAsia="Arial"/>
                <w:b/>
                <w:bCs/>
                <w:highlight w:val="yellow"/>
                <w:vertAlign w:val="superscript"/>
                <w:lang w:val="en-GB" w:eastAsia="en-GB" w:bidi="en-GB"/>
              </w:rPr>
              <w:t>2</w:t>
            </w:r>
            <w:r w:rsidR="007E666C" w:rsidRPr="007E666C">
              <w:rPr>
                <w:rFonts w:eastAsia="Arial"/>
                <w:b/>
                <w:bCs/>
                <w:highlight w:val="yellow"/>
                <w:lang w:val="en-GB" w:eastAsia="en-GB" w:bidi="en-GB"/>
              </w:rPr>
              <w:t xml:space="preserve"> of copper</w:t>
            </w:r>
          </w:p>
          <w:p w14:paraId="383CBE60" w14:textId="77777777" w:rsidR="00627EEA" w:rsidRPr="00627EEA" w:rsidRDefault="00627EEA" w:rsidP="00627EEA">
            <w:pPr>
              <w:pStyle w:val="Tabletext"/>
              <w:rPr>
                <w:rFonts w:eastAsia="Arial"/>
                <w:highlight w:val="yellow"/>
                <w:lang w:val="en-GB" w:eastAsia="en-GB" w:bidi="en-GB"/>
              </w:rPr>
            </w:pPr>
          </w:p>
          <w:p w14:paraId="14A604F3" w14:textId="34D4E2C0" w:rsidR="00EF2684" w:rsidRPr="00627EEA" w:rsidRDefault="00627EEA" w:rsidP="00627EEA">
            <w:pPr>
              <w:pStyle w:val="Tabletext"/>
              <w:rPr>
                <w:rFonts w:eastAsia="Arial"/>
                <w:highlight w:val="yellow"/>
                <w:lang w:eastAsia="en-GB" w:bidi="en-GB"/>
              </w:rPr>
            </w:pPr>
            <w:r w:rsidRPr="00627EEA">
              <w:rPr>
                <w:rFonts w:eastAsia="Arial"/>
                <w:b/>
                <w:highlight w:val="yellow"/>
                <w:lang w:val="en-GB" w:eastAsia="en-GB" w:bidi="en-GB"/>
              </w:rPr>
              <w:t xml:space="preserve">Note: </w:t>
            </w:r>
            <w:r w:rsidRPr="00627EEA">
              <w:rPr>
                <w:rFonts w:eastAsia="Arial"/>
                <w:bCs/>
                <w:highlight w:val="yellow"/>
                <w:lang w:val="en-GB" w:eastAsia="en-GB" w:bidi="en-GB"/>
              </w:rPr>
              <w:t xml:space="preserve"> this</w:t>
            </w:r>
            <w:r w:rsidRPr="00627EEA">
              <w:rPr>
                <w:rFonts w:eastAsia="Arial"/>
                <w:highlight w:val="yellow"/>
                <w:lang w:val="en-GB" w:eastAsia="en-GB" w:bidi="en-GB"/>
              </w:rPr>
              <w:t xml:space="preserve"> standardised protocol does not restrict which brands can be supplied – local formularies/restrictions should be referred to and the </w:t>
            </w:r>
            <w:r w:rsidR="00DE7E5B">
              <w:rPr>
                <w:rFonts w:eastAsia="Arial"/>
                <w:highlight w:val="yellow"/>
                <w:lang w:val="en-GB" w:eastAsia="en-GB" w:bidi="en-GB"/>
              </w:rPr>
              <w:t>protocol</w:t>
            </w:r>
            <w:r w:rsidRPr="00627EEA">
              <w:rPr>
                <w:rFonts w:eastAsia="Arial"/>
                <w:highlight w:val="yellow"/>
                <w:lang w:val="en-GB" w:eastAsia="en-GB" w:bidi="en-GB"/>
              </w:rPr>
              <w:t xml:space="preserve"> edited to reflect local formularies. See </w:t>
            </w:r>
            <w:r w:rsidR="005926F8">
              <w:rPr>
                <w:rFonts w:eastAsia="Arial"/>
                <w:highlight w:val="yellow"/>
                <w:lang w:val="en-GB" w:eastAsia="en-GB" w:bidi="en-GB"/>
              </w:rPr>
              <w:t xml:space="preserve">individual product information which can be accessed on the </w:t>
            </w:r>
            <w:hyperlink r:id="rId15" w:history="1">
              <w:r w:rsidR="005926F8" w:rsidRPr="005926F8">
                <w:rPr>
                  <w:rStyle w:val="Hyperlink"/>
                  <w:rFonts w:eastAsia="Arial"/>
                  <w:highlight w:val="yellow"/>
                  <w:lang w:val="en-GB" w:eastAsia="en-GB" w:bidi="en-GB"/>
                </w:rPr>
                <w:t>MHRA website</w:t>
              </w:r>
            </w:hyperlink>
            <w:r w:rsidR="005926F8">
              <w:rPr>
                <w:rFonts w:eastAsia="Arial"/>
                <w:highlight w:val="yellow"/>
                <w:lang w:val="en-GB" w:eastAsia="en-GB" w:bidi="en-GB"/>
              </w:rPr>
              <w:t xml:space="preserve"> or the </w:t>
            </w:r>
            <w:hyperlink r:id="rId16" w:history="1">
              <w:r w:rsidR="005926F8" w:rsidRPr="005926F8">
                <w:rPr>
                  <w:rStyle w:val="Hyperlink"/>
                  <w:rFonts w:eastAsia="Arial"/>
                  <w:highlight w:val="yellow"/>
                  <w:lang w:val="en-GB" w:eastAsia="en-GB" w:bidi="en-GB"/>
                </w:rPr>
                <w:t>EMC website</w:t>
              </w:r>
            </w:hyperlink>
            <w:r w:rsidR="005926F8">
              <w:rPr>
                <w:rFonts w:eastAsia="Arial"/>
                <w:highlight w:val="yellow"/>
                <w:lang w:val="en-GB" w:eastAsia="en-GB" w:bidi="en-GB"/>
              </w:rPr>
              <w:t xml:space="preserve"> </w:t>
            </w:r>
            <w:hyperlink r:id="rId17" w:history="1">
              <w:r w:rsidRPr="00627EEA">
                <w:rPr>
                  <w:rStyle w:val="Hyperlink"/>
                  <w:rFonts w:eastAsia="Arial"/>
                  <w:highlight w:val="yellow"/>
                  <w:lang w:val="en-GB" w:eastAsia="en-GB" w:bidi="en-GB"/>
                </w:rPr>
                <w:t>http://www.medicines.org.uk</w:t>
              </w:r>
            </w:hyperlink>
            <w:r w:rsidRPr="00627EEA">
              <w:rPr>
                <w:rFonts w:eastAsia="Arial"/>
                <w:highlight w:val="yellow"/>
                <w:lang w:val="en-GB" w:eastAsia="en-GB" w:bidi="en-GB"/>
              </w:rPr>
              <w:t xml:space="preserve"> for further information and further brand information including full details of adverse effects and interactions.</w:t>
            </w:r>
            <w:r w:rsidRPr="00CE4533">
              <w:rPr>
                <w:rFonts w:eastAsia="Arial"/>
                <w:highlight w:val="yellow"/>
                <w:lang w:val="en-GB" w:eastAsia="en-GB" w:bidi="en-GB"/>
              </w:rPr>
              <w:t>]]</w:t>
            </w:r>
          </w:p>
        </w:tc>
      </w:tr>
      <w:tr w:rsidR="005926F8" w14:paraId="7E72EC96" w14:textId="77777777" w:rsidTr="005926F8">
        <w:tc>
          <w:tcPr>
            <w:tcW w:w="2977" w:type="dxa"/>
          </w:tcPr>
          <w:p w14:paraId="0A826071" w14:textId="77777777" w:rsidR="005926F8" w:rsidRPr="00FD6567" w:rsidRDefault="005926F8" w:rsidP="005926F8">
            <w:pPr>
              <w:rPr>
                <w:rStyle w:val="TableHeaderColumn"/>
                <w:sz w:val="24"/>
              </w:rPr>
            </w:pPr>
            <w:r w:rsidRPr="00FD6567">
              <w:rPr>
                <w:rStyle w:val="TableHeaderColumn"/>
                <w:rFonts w:eastAsiaTheme="minorHAnsi"/>
                <w:sz w:val="24"/>
                <w:szCs w:val="22"/>
              </w:rPr>
              <w:t>Legal status</w:t>
            </w:r>
          </w:p>
        </w:tc>
        <w:tc>
          <w:tcPr>
            <w:tcW w:w="6039" w:type="dxa"/>
          </w:tcPr>
          <w:p w14:paraId="46BA91A9" w14:textId="049A290B" w:rsidR="005926F8" w:rsidRPr="005926F8" w:rsidRDefault="005926F8" w:rsidP="005926F8">
            <w:pPr>
              <w:pStyle w:val="Tabletext"/>
              <w:rPr>
                <w:rFonts w:eastAsia="Arial"/>
              </w:rPr>
            </w:pPr>
            <w:r w:rsidRPr="005926F8">
              <w:rPr>
                <w:rFonts w:eastAsia="Arial"/>
              </w:rPr>
              <w:t xml:space="preserve">Medical Device </w:t>
            </w:r>
          </w:p>
        </w:tc>
      </w:tr>
      <w:tr w:rsidR="005926F8" w14:paraId="66DD4BCC" w14:textId="77777777" w:rsidTr="005926F8">
        <w:tc>
          <w:tcPr>
            <w:tcW w:w="2977" w:type="dxa"/>
          </w:tcPr>
          <w:p w14:paraId="19EB41C9" w14:textId="48AB6A09" w:rsidR="005926F8" w:rsidRPr="00A40C01" w:rsidRDefault="005926F8" w:rsidP="00A40C01">
            <w:pPr>
              <w:rPr>
                <w:rStyle w:val="TableHeaderColumn"/>
                <w:sz w:val="24"/>
              </w:rPr>
            </w:pPr>
            <w:r w:rsidRPr="00A40C01">
              <w:rPr>
                <w:rStyle w:val="TableHeaderColumn"/>
                <w:sz w:val="24"/>
                <w:szCs w:val="22"/>
              </w:rPr>
              <w:lastRenderedPageBreak/>
              <w:t>Route of administration</w:t>
            </w:r>
          </w:p>
        </w:tc>
        <w:tc>
          <w:tcPr>
            <w:tcW w:w="6039" w:type="dxa"/>
          </w:tcPr>
          <w:p w14:paraId="53659426" w14:textId="77777777" w:rsidR="005926F8" w:rsidRPr="005926F8" w:rsidRDefault="005926F8" w:rsidP="005926F8">
            <w:pPr>
              <w:pStyle w:val="Tabletext"/>
              <w:rPr>
                <w:rFonts w:eastAsia="Arial"/>
                <w:lang w:val="en-GB" w:eastAsia="en-GB" w:bidi="en-GB"/>
              </w:rPr>
            </w:pPr>
            <w:r w:rsidRPr="005926F8">
              <w:rPr>
                <w:rFonts w:eastAsia="Arial"/>
                <w:lang w:val="en-GB" w:eastAsia="en-GB" w:bidi="en-GB"/>
              </w:rPr>
              <w:t>Intra-uterine</w:t>
            </w:r>
          </w:p>
          <w:p w14:paraId="7AF169CA" w14:textId="77777777" w:rsidR="005926F8" w:rsidRPr="005926F8" w:rsidRDefault="005926F8" w:rsidP="005926F8">
            <w:pPr>
              <w:pStyle w:val="Tabletext"/>
              <w:rPr>
                <w:rFonts w:eastAsia="Arial"/>
                <w:lang w:val="en-GB" w:eastAsia="en-GB" w:bidi="en-GB"/>
              </w:rPr>
            </w:pPr>
          </w:p>
          <w:p w14:paraId="7BE6F8A2" w14:textId="110F6E41" w:rsidR="005926F8" w:rsidRPr="00D00B34" w:rsidRDefault="005926F8" w:rsidP="005926F8">
            <w:pPr>
              <w:pStyle w:val="Tabletext"/>
              <w:rPr>
                <w:rFonts w:eastAsia="Arial"/>
                <w:lang w:eastAsia="en-GB" w:bidi="en-GB"/>
              </w:rPr>
            </w:pPr>
            <w:r w:rsidRPr="005926F8">
              <w:rPr>
                <w:rFonts w:eastAsia="Arial"/>
                <w:lang w:val="en-GB" w:eastAsia="en-GB" w:bidi="en-GB"/>
              </w:rPr>
              <w:t xml:space="preserve">Insert using aseptic or no-touch technique as per </w:t>
            </w:r>
            <w:hyperlink r:id="rId18" w:history="1">
              <w:r w:rsidR="00AE4804">
                <w:rPr>
                  <w:rStyle w:val="Hyperlink"/>
                  <w:rFonts w:eastAsia="Arial"/>
                  <w:lang w:val="en-GB" w:eastAsia="en-GB" w:bidi="en-GB"/>
                </w:rPr>
                <w:t>Co</w:t>
              </w:r>
              <w:r w:rsidRPr="005926F8">
                <w:rPr>
                  <w:rStyle w:val="Hyperlink"/>
                  <w:rFonts w:eastAsia="Arial"/>
                  <w:lang w:val="en-GB" w:eastAsia="en-GB" w:bidi="en-GB"/>
                </w:rPr>
                <w:t>SRH guidance on intrauterine contraception</w:t>
              </w:r>
            </w:hyperlink>
            <w:r w:rsidRPr="005926F8">
              <w:rPr>
                <w:rFonts w:eastAsia="Arial"/>
                <w:lang w:val="en-GB" w:eastAsia="en-GB" w:bidi="en-GB"/>
              </w:rPr>
              <w:t xml:space="preserve"> or immediate PPIU</w:t>
            </w:r>
            <w:r w:rsidR="007E3B37">
              <w:rPr>
                <w:rFonts w:eastAsia="Arial"/>
                <w:lang w:val="en-GB" w:eastAsia="en-GB" w:bidi="en-GB"/>
              </w:rPr>
              <w:t>D</w:t>
            </w:r>
            <w:r w:rsidRPr="005926F8">
              <w:rPr>
                <w:rFonts w:eastAsia="Arial"/>
                <w:lang w:val="en-GB" w:eastAsia="en-GB" w:bidi="en-GB"/>
              </w:rPr>
              <w:t xml:space="preserve"> technique.</w:t>
            </w:r>
          </w:p>
        </w:tc>
      </w:tr>
      <w:tr w:rsidR="005926F8" w14:paraId="583D568B" w14:textId="77777777" w:rsidTr="005926F8">
        <w:tc>
          <w:tcPr>
            <w:tcW w:w="2977" w:type="dxa"/>
          </w:tcPr>
          <w:p w14:paraId="4D46B9A3" w14:textId="77777777" w:rsidR="00A40C01" w:rsidRPr="00A40C01" w:rsidRDefault="00A40C01" w:rsidP="00A40C01">
            <w:pPr>
              <w:rPr>
                <w:rFonts w:ascii="Arial" w:hAnsi="Arial"/>
                <w:b/>
                <w:bCs/>
                <w:iCs/>
                <w:szCs w:val="22"/>
                <w:lang w:val="en-GB"/>
              </w:rPr>
            </w:pPr>
            <w:r w:rsidRPr="00A40C01">
              <w:rPr>
                <w:rFonts w:ascii="Arial" w:hAnsi="Arial"/>
                <w:b/>
                <w:bCs/>
                <w:iCs/>
                <w:szCs w:val="22"/>
                <w:lang w:val="en-GB"/>
              </w:rPr>
              <w:t>Timing of Insertion and duration of use</w:t>
            </w:r>
          </w:p>
          <w:p w14:paraId="52B1AF25" w14:textId="52E39316" w:rsidR="005926F8" w:rsidRPr="00FD6567" w:rsidRDefault="00A40C01" w:rsidP="00A40C01">
            <w:pPr>
              <w:rPr>
                <w:rStyle w:val="TableHeaderColumn"/>
                <w:sz w:val="24"/>
              </w:rPr>
            </w:pPr>
            <w:r w:rsidRPr="00CE4533">
              <w:rPr>
                <w:rFonts w:ascii="Arial" w:hAnsi="Arial"/>
                <w:b/>
                <w:bCs/>
                <w:iCs/>
                <w:szCs w:val="22"/>
                <w:highlight w:val="yellow"/>
                <w:lang w:bidi="en-GB"/>
              </w:rPr>
              <w:t>[[</w:t>
            </w:r>
            <w:r w:rsidRPr="00A40C01">
              <w:rPr>
                <w:rFonts w:ascii="Arial" w:hAnsi="Arial"/>
                <w:b/>
                <w:bCs/>
                <w:iCs/>
                <w:szCs w:val="22"/>
                <w:highlight w:val="yellow"/>
                <w:lang w:bidi="en-GB"/>
              </w:rPr>
              <w:t>amend to reflect local product(s) held</w:t>
            </w:r>
            <w:r w:rsidRPr="00CE4533">
              <w:rPr>
                <w:rFonts w:ascii="Arial" w:hAnsi="Arial"/>
                <w:b/>
                <w:bCs/>
                <w:iCs/>
                <w:szCs w:val="22"/>
                <w:highlight w:val="yellow"/>
                <w:lang w:bidi="en-GB"/>
              </w:rPr>
              <w:t>]]</w:t>
            </w:r>
          </w:p>
        </w:tc>
        <w:tc>
          <w:tcPr>
            <w:tcW w:w="6039" w:type="dxa"/>
          </w:tcPr>
          <w:p w14:paraId="1826271B" w14:textId="77777777" w:rsidR="005926F8" w:rsidRPr="00A40C01" w:rsidRDefault="005926F8" w:rsidP="00A40C01">
            <w:pPr>
              <w:pStyle w:val="PGDtablebullet0"/>
              <w:rPr>
                <w:lang w:val="en-GB"/>
              </w:rPr>
            </w:pPr>
            <w:r w:rsidRPr="00A40C01">
              <w:rPr>
                <w:lang w:val="en-GB"/>
              </w:rPr>
              <w:t>One Cu-IUD to be inserted (after removal of previous LNG-IUD or Cu-IUD if required).</w:t>
            </w:r>
          </w:p>
          <w:p w14:paraId="0AB6E9D7" w14:textId="7385EEB6" w:rsidR="005926F8" w:rsidRPr="00A40C01" w:rsidRDefault="005926F8" w:rsidP="00A40C01">
            <w:pPr>
              <w:pStyle w:val="PGDtablebullet0"/>
              <w:rPr>
                <w:lang w:val="en-GB"/>
              </w:rPr>
            </w:pPr>
            <w:r w:rsidRPr="00A40C01">
              <w:rPr>
                <w:lang w:val="en-GB"/>
              </w:rPr>
              <w:t>Insert on any day of the menstrual cycle if it is reasonably certain that the individual is not pregnant</w:t>
            </w:r>
            <w:r w:rsidR="00846959">
              <w:rPr>
                <w:lang w:val="en-GB"/>
              </w:rPr>
              <w:t xml:space="preserve"> </w:t>
            </w:r>
            <w:r w:rsidRPr="00A40C01">
              <w:rPr>
                <w:lang w:val="en-GB"/>
              </w:rPr>
              <w:t>with no need for additional protection</w:t>
            </w:r>
            <w:r w:rsidR="00157E5F">
              <w:rPr>
                <w:lang w:val="en-GB"/>
              </w:rPr>
              <w:t>.</w:t>
            </w:r>
            <w:r w:rsidRPr="00A40C01">
              <w:rPr>
                <w:lang w:val="en-GB"/>
              </w:rPr>
              <w:t xml:space="preserve"> </w:t>
            </w:r>
            <w:r w:rsidR="00157E5F">
              <w:rPr>
                <w:lang w:val="en-GB"/>
              </w:rPr>
              <w:t>(</w:t>
            </w:r>
            <w:r w:rsidR="00157E5F" w:rsidRPr="00157E5F">
              <w:rPr>
                <w:i/>
                <w:iCs/>
                <w:lang w:val="en-GB"/>
              </w:rPr>
              <w:t>See below for use in emergency contraception</w:t>
            </w:r>
            <w:r w:rsidR="00157E5F">
              <w:rPr>
                <w:lang w:val="en-GB"/>
              </w:rPr>
              <w:t>)</w:t>
            </w:r>
          </w:p>
          <w:p w14:paraId="513A7B0D" w14:textId="77777777" w:rsidR="00B24EFC" w:rsidRPr="00A40C01" w:rsidRDefault="00B24EFC" w:rsidP="00B24EFC">
            <w:pPr>
              <w:pStyle w:val="PGDtablebullet0"/>
              <w:rPr>
                <w:lang w:val="en-GB"/>
              </w:rPr>
            </w:pPr>
            <w:r w:rsidRPr="00A40C01">
              <w:rPr>
                <w:lang w:val="en-GB"/>
              </w:rPr>
              <w:t>Emergency contraception – Cu-IUDs can be inserted as emergency contraception if inserted within 5 days of the earliest episode of UPSI that cycle, or within 5 days of the earliest expected date of ovulation</w:t>
            </w:r>
          </w:p>
          <w:p w14:paraId="45FBA4CC" w14:textId="1D4AFB5F" w:rsidR="00A40C01" w:rsidRPr="00A40C01" w:rsidRDefault="005926F8" w:rsidP="00A40C01">
            <w:pPr>
              <w:pStyle w:val="PGDtablebullet0"/>
              <w:rPr>
                <w:rStyle w:val="Hyperlink"/>
                <w:rFonts w:eastAsia="Arial"/>
              </w:rPr>
            </w:pPr>
            <w:r w:rsidRPr="00A40C01">
              <w:rPr>
                <w:lang w:val="en-GB"/>
              </w:rPr>
              <w:t xml:space="preserve">For guidance on changing from one contraceptive method to another, and when to start after an abortion and postpartum, refer to the </w:t>
            </w:r>
            <w:r w:rsidR="00AE4804">
              <w:rPr>
                <w:lang w:val="en-GB"/>
              </w:rPr>
              <w:t>College</w:t>
            </w:r>
            <w:r w:rsidRPr="00A40C01">
              <w:rPr>
                <w:lang w:val="en-GB"/>
              </w:rPr>
              <w:t xml:space="preserve"> of Sexual and Reproductive Healthcare (</w:t>
            </w:r>
            <w:r w:rsidR="00AE4804">
              <w:rPr>
                <w:lang w:val="en-GB"/>
              </w:rPr>
              <w:t>Co</w:t>
            </w:r>
            <w:r w:rsidRPr="00A40C01">
              <w:rPr>
                <w:lang w:val="en-GB"/>
              </w:rPr>
              <w:t>SRH) guidelines</w:t>
            </w:r>
            <w:r w:rsidR="00A40C01" w:rsidRPr="00A40C01">
              <w:rPr>
                <w:lang w:val="en-GB"/>
              </w:rPr>
              <w:t xml:space="preserve"> </w:t>
            </w:r>
            <w:hyperlink r:id="rId19" w:history="1">
              <w:r w:rsidR="00C7235B">
                <w:rPr>
                  <w:rStyle w:val="Hyperlink"/>
                  <w:rFonts w:eastAsia="Arial"/>
                </w:rPr>
                <w:t>Co</w:t>
              </w:r>
              <w:r w:rsidR="00C7235B" w:rsidRPr="003A6065">
                <w:rPr>
                  <w:rStyle w:val="Hyperlink"/>
                  <w:rFonts w:eastAsia="Arial"/>
                </w:rPr>
                <w:t>SRH guidance on intrauterine contraception</w:t>
              </w:r>
            </w:hyperlink>
            <w:r w:rsidR="00706DF2">
              <w:t xml:space="preserve">, </w:t>
            </w:r>
            <w:hyperlink r:id="rId20" w:history="1">
              <w:r w:rsidR="00A40C01" w:rsidRPr="00A40C01">
                <w:rPr>
                  <w:rStyle w:val="Hyperlink"/>
                  <w:rFonts w:eastAsia="Arial"/>
                </w:rPr>
                <w:t>Switching or Starting Methods of Contraceptio</w:t>
              </w:r>
              <w:r w:rsidR="00447B1E">
                <w:rPr>
                  <w:rStyle w:val="Hyperlink"/>
                  <w:rFonts w:eastAsia="Arial"/>
                </w:rPr>
                <w:t>n (log in required)</w:t>
              </w:r>
            </w:hyperlink>
            <w:r w:rsidR="00A40C01" w:rsidRPr="00A40C01">
              <w:rPr>
                <w:rStyle w:val="Hyperlink"/>
                <w:rFonts w:eastAsia="Arial"/>
              </w:rPr>
              <w:t xml:space="preserve"> </w:t>
            </w:r>
            <w:r w:rsidR="00A40C01" w:rsidRPr="00A40C01">
              <w:t xml:space="preserve">and </w:t>
            </w:r>
            <w:r w:rsidR="00A40C01" w:rsidRPr="00A40C01">
              <w:rPr>
                <w:lang w:val="en-GB"/>
              </w:rPr>
              <w:br/>
            </w:r>
            <w:hyperlink r:id="rId21" w:history="1">
              <w:r w:rsidR="00706DF2">
                <w:rPr>
                  <w:rStyle w:val="Hyperlink"/>
                  <w:rFonts w:eastAsia="Arial"/>
                  <w:lang w:val="en-GB"/>
                </w:rPr>
                <w:t>CoSRH Clinical Guideline: Contraception After Pregnancy</w:t>
              </w:r>
            </w:hyperlink>
          </w:p>
          <w:p w14:paraId="31FB816C" w14:textId="055F94D7" w:rsidR="005926F8" w:rsidRPr="00A40C01" w:rsidRDefault="005926F8" w:rsidP="00A40C01">
            <w:pPr>
              <w:pStyle w:val="PGDtablebullet0"/>
            </w:pPr>
            <w:r w:rsidRPr="00A40C01">
              <w:rPr>
                <w:lang w:val="en-GB"/>
              </w:rPr>
              <w:t>Insert within 48 hours of birth (</w:t>
            </w:r>
            <w:r w:rsidR="00BE616A">
              <w:rPr>
                <w:lang w:val="en-GB"/>
              </w:rPr>
              <w:t>i</w:t>
            </w:r>
            <w:r w:rsidRPr="00A40C01">
              <w:rPr>
                <w:lang w:val="en-GB"/>
              </w:rPr>
              <w:t xml:space="preserve">mmediate postpartum intrauterine </w:t>
            </w:r>
            <w:r w:rsidR="006D7041">
              <w:rPr>
                <w:lang w:val="en-GB"/>
              </w:rPr>
              <w:t>device</w:t>
            </w:r>
            <w:r w:rsidRPr="00A40C01">
              <w:rPr>
                <w:lang w:val="en-GB"/>
              </w:rPr>
              <w:t xml:space="preserve"> (PPIU</w:t>
            </w:r>
            <w:r w:rsidR="006D7041">
              <w:rPr>
                <w:lang w:val="en-GB"/>
              </w:rPr>
              <w:t>D</w:t>
            </w:r>
            <w:r w:rsidRPr="00A40C01">
              <w:rPr>
                <w:lang w:val="en-GB"/>
              </w:rPr>
              <w:t>)). The insertion procedure for immediate PPIU</w:t>
            </w:r>
            <w:r w:rsidR="006D7041">
              <w:rPr>
                <w:lang w:val="en-GB"/>
              </w:rPr>
              <w:t>D</w:t>
            </w:r>
            <w:r w:rsidRPr="00A40C01">
              <w:rPr>
                <w:lang w:val="en-GB"/>
              </w:rPr>
              <w:t xml:space="preserve"> is different to that of standard </w:t>
            </w:r>
            <w:r w:rsidR="009B2692">
              <w:rPr>
                <w:lang w:val="en-GB"/>
              </w:rPr>
              <w:t>IUD</w:t>
            </w:r>
            <w:r w:rsidRPr="00A40C01">
              <w:rPr>
                <w:lang w:val="en-GB"/>
              </w:rPr>
              <w:t xml:space="preserve"> insertion and should only be</w:t>
            </w:r>
            <w:r w:rsidR="00A40C01" w:rsidRPr="00A40C01">
              <w:rPr>
                <w:rFonts w:eastAsiaTheme="minorHAnsi" w:cs="Arial"/>
                <w:kern w:val="0"/>
                <w:sz w:val="20"/>
                <w:lang w:val="en-GB" w:eastAsia="en-US" w:bidi="ar-SA"/>
                <w14:ligatures w14:val="none"/>
              </w:rPr>
              <w:t xml:space="preserve"> </w:t>
            </w:r>
            <w:r w:rsidR="00A40C01" w:rsidRPr="00A40C01">
              <w:rPr>
                <w:lang w:val="en-GB"/>
              </w:rPr>
              <w:t>performed by those who have been trained in this technique.</w:t>
            </w:r>
          </w:p>
          <w:p w14:paraId="0FA572F2" w14:textId="77777777" w:rsidR="00A40C01" w:rsidRPr="00A40C01" w:rsidRDefault="00A40C01" w:rsidP="00A40C01">
            <w:pPr>
              <w:pStyle w:val="PGDtablebullet0"/>
              <w:numPr>
                <w:ilvl w:val="0"/>
                <w:numId w:val="0"/>
              </w:numPr>
            </w:pPr>
          </w:p>
          <w:p w14:paraId="026B39A1" w14:textId="17BECF7F" w:rsidR="00A40C01" w:rsidRDefault="00A40C01" w:rsidP="00A40C01">
            <w:pPr>
              <w:pStyle w:val="Tabletext"/>
              <w:rPr>
                <w:b/>
                <w:bCs/>
              </w:rPr>
            </w:pPr>
            <w:r w:rsidRPr="00A40C01">
              <w:rPr>
                <w:b/>
                <w:bCs/>
              </w:rPr>
              <w:t>Frequency of Cu-IUD insertion:</w:t>
            </w:r>
          </w:p>
          <w:p w14:paraId="23ADFFD3" w14:textId="0D617B35" w:rsidR="00815D6A" w:rsidRPr="00A6026E" w:rsidRDefault="00815D6A" w:rsidP="00A40C01">
            <w:pPr>
              <w:pStyle w:val="Tabletext"/>
              <w:rPr>
                <w:rFonts w:cs="Arial"/>
                <w:bCs/>
                <w:sz w:val="20"/>
                <w:szCs w:val="20"/>
              </w:rPr>
            </w:pPr>
            <w:r>
              <w:rPr>
                <w:bCs/>
              </w:rPr>
              <w:t>Refer to product information as frequency of insertion will depend on pro</w:t>
            </w:r>
            <w:r w:rsidR="00A6026E">
              <w:rPr>
                <w:bCs/>
              </w:rPr>
              <w:t>duct used.</w:t>
            </w:r>
          </w:p>
          <w:p w14:paraId="0598F6B6" w14:textId="2CB5D204" w:rsidR="00A40C01" w:rsidRPr="00A40C01" w:rsidRDefault="00A40C01" w:rsidP="000D715F">
            <w:pPr>
              <w:pStyle w:val="PGDtablebullet0"/>
            </w:pPr>
            <w:r w:rsidRPr="00A40C01">
              <w:t xml:space="preserve">Note the </w:t>
            </w:r>
            <w:r w:rsidR="00AE4804">
              <w:t>Co</w:t>
            </w:r>
            <w:r w:rsidRPr="00A40C01">
              <w:t>SRH supports extended use until menopause/age 55 of devices containing ≥300 mm</w:t>
            </w:r>
            <w:r w:rsidRPr="00CE4533">
              <w:rPr>
                <w:vertAlign w:val="superscript"/>
              </w:rPr>
              <w:t>2</w:t>
            </w:r>
            <w:r w:rsidRPr="00A40C01">
              <w:t xml:space="preserve"> copper when inserted over the age of 40 years</w:t>
            </w:r>
            <w:r w:rsidR="000D715F">
              <w:t>.</w:t>
            </w:r>
          </w:p>
        </w:tc>
      </w:tr>
      <w:tr w:rsidR="005926F8" w14:paraId="1FEA4EBC" w14:textId="77777777" w:rsidTr="005926F8">
        <w:tc>
          <w:tcPr>
            <w:tcW w:w="2977" w:type="dxa"/>
          </w:tcPr>
          <w:p w14:paraId="442DF5B4" w14:textId="77777777" w:rsidR="005926F8" w:rsidRPr="00FD6567" w:rsidRDefault="005926F8" w:rsidP="005926F8">
            <w:pPr>
              <w:rPr>
                <w:rStyle w:val="TableHeaderColumn"/>
                <w:sz w:val="24"/>
              </w:rPr>
            </w:pPr>
            <w:r w:rsidRPr="00FD6567">
              <w:rPr>
                <w:rStyle w:val="TableHeaderColumn"/>
                <w:rFonts w:eastAsiaTheme="minorHAnsi"/>
                <w:sz w:val="24"/>
                <w:szCs w:val="22"/>
              </w:rPr>
              <w:t>Off label use</w:t>
            </w:r>
          </w:p>
        </w:tc>
        <w:tc>
          <w:tcPr>
            <w:tcW w:w="6039" w:type="dxa"/>
          </w:tcPr>
          <w:p w14:paraId="58596842" w14:textId="30D0DD48" w:rsidR="000D715F" w:rsidRPr="000D715F" w:rsidRDefault="000D715F" w:rsidP="000D715F">
            <w:pPr>
              <w:pStyle w:val="Tabletext"/>
              <w:rPr>
                <w:rFonts w:eastAsia="Arial"/>
                <w:lang w:val="en-GB" w:eastAsia="en-GB" w:bidi="en-GB"/>
              </w:rPr>
            </w:pPr>
            <w:r w:rsidRPr="000D715F">
              <w:rPr>
                <w:rFonts w:eastAsia="Arial"/>
                <w:lang w:val="en-GB" w:eastAsia="en-GB" w:bidi="en-GB"/>
              </w:rPr>
              <w:t xml:space="preserve">Best practice advice is given by the </w:t>
            </w:r>
            <w:r w:rsidR="00AE4804">
              <w:rPr>
                <w:rFonts w:eastAsia="Arial"/>
                <w:lang w:val="en-GB" w:eastAsia="en-GB" w:bidi="en-GB"/>
              </w:rPr>
              <w:t>Co</w:t>
            </w:r>
            <w:r w:rsidRPr="000D715F">
              <w:rPr>
                <w:rFonts w:eastAsia="Arial"/>
                <w:lang w:val="en-GB" w:eastAsia="en-GB" w:bidi="en-GB"/>
              </w:rPr>
              <w:t xml:space="preserve">SRH and is used for guidance in this standardised protocol. </w:t>
            </w:r>
          </w:p>
          <w:p w14:paraId="79018537" w14:textId="77777777" w:rsidR="000D715F" w:rsidRPr="000D715F" w:rsidRDefault="000D715F" w:rsidP="000D715F">
            <w:pPr>
              <w:pStyle w:val="Tabletext"/>
              <w:rPr>
                <w:rFonts w:eastAsia="Arial"/>
                <w:lang w:val="en-GB" w:eastAsia="en-GB" w:bidi="en-GB"/>
              </w:rPr>
            </w:pPr>
          </w:p>
          <w:p w14:paraId="4A6075A2" w14:textId="46C04FB0" w:rsidR="000D715F" w:rsidRPr="000D715F" w:rsidRDefault="000D715F" w:rsidP="000D715F">
            <w:pPr>
              <w:pStyle w:val="Tabletext"/>
              <w:rPr>
                <w:rFonts w:eastAsia="Arial"/>
                <w:lang w:val="en-GB" w:eastAsia="en-GB" w:bidi="en-GB"/>
              </w:rPr>
            </w:pPr>
            <w:r w:rsidRPr="000D715F">
              <w:rPr>
                <w:rFonts w:eastAsia="Arial"/>
                <w:lang w:val="en-GB" w:eastAsia="en-GB" w:bidi="en-GB"/>
              </w:rPr>
              <w:t xml:space="preserve">This standardised protocol specifically includes inclusion criteria and dosage regimens which are outside the market authorisation for many of the </w:t>
            </w:r>
            <w:r w:rsidRPr="000D715F">
              <w:rPr>
                <w:rFonts w:eastAsia="Arial"/>
                <w:lang w:val="en-GB" w:eastAsia="en-GB" w:bidi="en-GB"/>
              </w:rPr>
              <w:lastRenderedPageBreak/>
              <w:t xml:space="preserve">available products, but which are included within </w:t>
            </w:r>
            <w:r w:rsidR="00AE4804">
              <w:rPr>
                <w:rFonts w:eastAsia="Arial"/>
                <w:lang w:val="en-GB" w:eastAsia="en-GB" w:bidi="en-GB"/>
              </w:rPr>
              <w:t>Co</w:t>
            </w:r>
            <w:r w:rsidRPr="000D715F">
              <w:rPr>
                <w:rFonts w:eastAsia="Arial"/>
                <w:lang w:val="en-GB" w:eastAsia="en-GB" w:bidi="en-GB"/>
              </w:rPr>
              <w:t>SRH guidance:</w:t>
            </w:r>
          </w:p>
          <w:p w14:paraId="718D9BFE" w14:textId="77777777" w:rsidR="000D715F" w:rsidRPr="000D715F" w:rsidRDefault="000D715F" w:rsidP="000D715F">
            <w:pPr>
              <w:pStyle w:val="PGDtablebullet0"/>
              <w:rPr>
                <w:lang w:val="en-GB"/>
              </w:rPr>
            </w:pPr>
            <w:r w:rsidRPr="000D715F">
              <w:rPr>
                <w:lang w:val="en-GB"/>
              </w:rPr>
              <w:t>When inserted over the age of 40 years any Cu-IUD containing ≥300 mm</w:t>
            </w:r>
            <w:r w:rsidRPr="005A7A21">
              <w:rPr>
                <w:vertAlign w:val="superscript"/>
                <w:lang w:val="en-GB"/>
              </w:rPr>
              <w:t>2</w:t>
            </w:r>
            <w:r w:rsidRPr="000D715F">
              <w:rPr>
                <w:lang w:val="en-GB"/>
              </w:rPr>
              <w:t xml:space="preserve"> copper can be retained as contraception until menopause/the age of 55 years </w:t>
            </w:r>
          </w:p>
          <w:p w14:paraId="60A65ECD" w14:textId="77777777" w:rsidR="000D715F" w:rsidRPr="000D715F" w:rsidRDefault="000D715F" w:rsidP="000D715F">
            <w:pPr>
              <w:pStyle w:val="PGDtablebullet0"/>
              <w:rPr>
                <w:lang w:val="en-GB"/>
              </w:rPr>
            </w:pPr>
            <w:r w:rsidRPr="000D715F">
              <w:rPr>
                <w:lang w:val="en-GB"/>
              </w:rPr>
              <w:t>Initial insertion after day 7 of the menstrual cycle if it is reasonably certain that the individual is not pregnant</w:t>
            </w:r>
          </w:p>
          <w:p w14:paraId="3237C0C0" w14:textId="698FBE4E" w:rsidR="005926F8" w:rsidRPr="00D00B34" w:rsidRDefault="000D715F" w:rsidP="000D715F">
            <w:pPr>
              <w:pStyle w:val="PGDtablebullet0"/>
            </w:pPr>
            <w:r w:rsidRPr="000D715F">
              <w:rPr>
                <w:lang w:val="en-GB"/>
              </w:rPr>
              <w:t>Postpartum insertion between 4-6 weeks</w:t>
            </w:r>
          </w:p>
        </w:tc>
      </w:tr>
      <w:tr w:rsidR="005926F8" w14:paraId="07D193EE" w14:textId="77777777" w:rsidTr="005926F8">
        <w:tc>
          <w:tcPr>
            <w:tcW w:w="2977" w:type="dxa"/>
          </w:tcPr>
          <w:p w14:paraId="7ADB329F" w14:textId="77777777" w:rsidR="005926F8" w:rsidRPr="00FD6567" w:rsidRDefault="005926F8" w:rsidP="005926F8">
            <w:pPr>
              <w:rPr>
                <w:rStyle w:val="TableHeaderColumn"/>
                <w:sz w:val="24"/>
              </w:rPr>
            </w:pPr>
            <w:r w:rsidRPr="00FD6567">
              <w:rPr>
                <w:rStyle w:val="TableHeaderColumn"/>
                <w:rFonts w:eastAsiaTheme="minorHAnsi"/>
                <w:sz w:val="24"/>
                <w:szCs w:val="22"/>
              </w:rPr>
              <w:lastRenderedPageBreak/>
              <w:t xml:space="preserve">Storage </w:t>
            </w:r>
          </w:p>
        </w:tc>
        <w:tc>
          <w:tcPr>
            <w:tcW w:w="6039" w:type="dxa"/>
          </w:tcPr>
          <w:p w14:paraId="46320408" w14:textId="76901D04" w:rsidR="005926F8" w:rsidRPr="00D00B34" w:rsidRDefault="000D715F" w:rsidP="005926F8">
            <w:pPr>
              <w:pStyle w:val="Tabletext"/>
              <w:rPr>
                <w:rFonts w:eastAsia="Arial"/>
                <w:lang w:eastAsia="en-GB" w:bidi="en-GB"/>
              </w:rPr>
            </w:pPr>
            <w:r w:rsidRPr="000D715F">
              <w:rPr>
                <w:rFonts w:eastAsia="Arial"/>
                <w:lang w:val="en-GB" w:eastAsia="en-GB" w:bidi="en-GB"/>
              </w:rPr>
              <w:t>Devices must be stored securely according to manufacturer’s instructions.</w:t>
            </w:r>
          </w:p>
        </w:tc>
      </w:tr>
      <w:tr w:rsidR="000D715F" w14:paraId="2B6D1DED" w14:textId="77777777" w:rsidTr="005926F8">
        <w:tc>
          <w:tcPr>
            <w:tcW w:w="2977" w:type="dxa"/>
          </w:tcPr>
          <w:p w14:paraId="0E24CFF4" w14:textId="77777777" w:rsidR="000D715F" w:rsidRPr="00FD6567" w:rsidRDefault="000D715F" w:rsidP="000D715F">
            <w:pPr>
              <w:rPr>
                <w:rStyle w:val="TableHeaderColumn"/>
                <w:sz w:val="24"/>
              </w:rPr>
            </w:pPr>
            <w:r w:rsidRPr="00FD6567">
              <w:rPr>
                <w:rStyle w:val="TableHeaderColumn"/>
                <w:rFonts w:eastAsiaTheme="minorHAnsi"/>
                <w:sz w:val="24"/>
                <w:szCs w:val="22"/>
              </w:rPr>
              <w:t>Adverse effects</w:t>
            </w:r>
          </w:p>
        </w:tc>
        <w:tc>
          <w:tcPr>
            <w:tcW w:w="6039" w:type="dxa"/>
          </w:tcPr>
          <w:p w14:paraId="6D12B9C7" w14:textId="77777777" w:rsidR="000D715F" w:rsidRPr="00F8251F" w:rsidRDefault="000D715F" w:rsidP="000D715F">
            <w:pPr>
              <w:pStyle w:val="Tabletext"/>
              <w:rPr>
                <w:sz w:val="28"/>
                <w:szCs w:val="28"/>
              </w:rPr>
            </w:pPr>
            <w:r w:rsidRPr="00F8251F">
              <w:t>The Cu-IUD is generally well tolerated. The following possible adverse effects are commonly reported with Cu-IUD:</w:t>
            </w:r>
          </w:p>
          <w:p w14:paraId="026DF85D" w14:textId="77777777" w:rsidR="000D715F" w:rsidRPr="00F8251F" w:rsidRDefault="000D715F" w:rsidP="000D715F">
            <w:pPr>
              <w:pStyle w:val="PGDtablebullet0"/>
            </w:pPr>
            <w:r w:rsidRPr="00F8251F">
              <w:t>Increase in menstrual blood loss</w:t>
            </w:r>
          </w:p>
          <w:p w14:paraId="4FDDBF02" w14:textId="77777777" w:rsidR="000D715F" w:rsidRPr="00F8251F" w:rsidRDefault="000D715F" w:rsidP="000D715F">
            <w:pPr>
              <w:pStyle w:val="PGDtablebullet0"/>
            </w:pPr>
            <w:r w:rsidRPr="00F8251F">
              <w:t>More painful menstrual bleeding</w:t>
            </w:r>
          </w:p>
          <w:p w14:paraId="08F5848D" w14:textId="77777777" w:rsidR="000D715F" w:rsidRPr="00F8251F" w:rsidRDefault="000D715F" w:rsidP="000D715F">
            <w:pPr>
              <w:pStyle w:val="PGDtablebullet0"/>
            </w:pPr>
            <w:r w:rsidRPr="00F8251F">
              <w:t>Intermenstrual bleeding</w:t>
            </w:r>
          </w:p>
          <w:p w14:paraId="4DEAD104" w14:textId="77777777" w:rsidR="000D715F" w:rsidRPr="00F8251F" w:rsidRDefault="000D715F" w:rsidP="000D715F">
            <w:pPr>
              <w:widowControl w:val="0"/>
              <w:contextualSpacing/>
              <w:rPr>
                <w:rFonts w:ascii="Arial" w:hAnsi="Arial" w:cs="Arial"/>
                <w:sz w:val="20"/>
                <w:szCs w:val="20"/>
              </w:rPr>
            </w:pPr>
          </w:p>
          <w:p w14:paraId="56C05441" w14:textId="44615E58" w:rsidR="000D715F" w:rsidRPr="000D715F" w:rsidRDefault="000D715F" w:rsidP="000D715F">
            <w:pPr>
              <w:pStyle w:val="Tabletext"/>
              <w:rPr>
                <w:rFonts w:eastAsia="Arial"/>
              </w:rPr>
            </w:pPr>
            <w:r w:rsidRPr="000D715F">
              <w:t xml:space="preserve">Insertion complications may include infection, expulsion, or perforation. Individuals should be advised on the signs that these may have occurred and the action to take if they become concerned.  </w:t>
            </w:r>
          </w:p>
        </w:tc>
      </w:tr>
      <w:tr w:rsidR="000D715F" w14:paraId="23910F2E" w14:textId="77777777" w:rsidTr="005926F8">
        <w:tc>
          <w:tcPr>
            <w:tcW w:w="2977" w:type="dxa"/>
          </w:tcPr>
          <w:p w14:paraId="1421DE8C" w14:textId="77777777" w:rsidR="000D715F" w:rsidRPr="00FD6567" w:rsidRDefault="000D715F" w:rsidP="000D715F">
            <w:pPr>
              <w:rPr>
                <w:rStyle w:val="TableHeaderColumn"/>
                <w:sz w:val="24"/>
              </w:rPr>
            </w:pPr>
            <w:r w:rsidRPr="00FD6567">
              <w:rPr>
                <w:rStyle w:val="TableHeaderColumn"/>
                <w:sz w:val="24"/>
                <w:szCs w:val="22"/>
              </w:rPr>
              <w:t>Management of and reporting procedure for adverse reactions</w:t>
            </w:r>
          </w:p>
        </w:tc>
        <w:tc>
          <w:tcPr>
            <w:tcW w:w="6039" w:type="dxa"/>
          </w:tcPr>
          <w:p w14:paraId="72636557" w14:textId="37DCD353" w:rsidR="000D715F" w:rsidRPr="00D00B34" w:rsidRDefault="000D715F" w:rsidP="000D715F">
            <w:pPr>
              <w:pStyle w:val="Tabletext"/>
              <w:rPr>
                <w:rFonts w:eastAsia="Arial"/>
              </w:rPr>
            </w:pPr>
            <w:r w:rsidRPr="00D00B34">
              <w:rPr>
                <w:rFonts w:eastAsia="Arial"/>
              </w:rPr>
              <w:t>Healthcare</w:t>
            </w:r>
            <w:r>
              <w:rPr>
                <w:rFonts w:eastAsia="Arial"/>
              </w:rPr>
              <w:t xml:space="preserve"> </w:t>
            </w:r>
            <w:r w:rsidRPr="00D00B34">
              <w:rPr>
                <w:rFonts w:eastAsia="Arial"/>
              </w:rPr>
              <w:t>professionals</w:t>
            </w:r>
            <w:r>
              <w:rPr>
                <w:rFonts w:eastAsia="Arial"/>
              </w:rPr>
              <w:t xml:space="preserve"> </w:t>
            </w:r>
            <w:r w:rsidRPr="00D00B34">
              <w:rPr>
                <w:rFonts w:eastAsia="Arial"/>
              </w:rPr>
              <w:t>and</w:t>
            </w:r>
            <w:r>
              <w:rPr>
                <w:rFonts w:eastAsia="Arial"/>
              </w:rPr>
              <w:t xml:space="preserve"> </w:t>
            </w:r>
            <w:r w:rsidRPr="00D00B34">
              <w:rPr>
                <w:rFonts w:eastAsia="Arial"/>
              </w:rPr>
              <w:t>patients/carers are</w:t>
            </w:r>
            <w:r>
              <w:rPr>
                <w:rFonts w:eastAsia="Arial"/>
              </w:rPr>
              <w:t xml:space="preserve"> </w:t>
            </w:r>
            <w:r w:rsidRPr="00D00B34">
              <w:rPr>
                <w:rFonts w:eastAsia="Arial"/>
              </w:rPr>
              <w:t>encouraged</w:t>
            </w:r>
            <w:r>
              <w:rPr>
                <w:rFonts w:eastAsia="Arial"/>
              </w:rPr>
              <w:t xml:space="preserve"> </w:t>
            </w:r>
            <w:r w:rsidRPr="00D00B34">
              <w:rPr>
                <w:rFonts w:eastAsia="Arial"/>
              </w:rPr>
              <w:t>to</w:t>
            </w:r>
            <w:r>
              <w:rPr>
                <w:rFonts w:eastAsia="Arial"/>
              </w:rPr>
              <w:t xml:space="preserve"> </w:t>
            </w:r>
            <w:r w:rsidRPr="00D00B34">
              <w:rPr>
                <w:rFonts w:eastAsia="Arial"/>
              </w:rPr>
              <w:t>report</w:t>
            </w:r>
            <w:r>
              <w:rPr>
                <w:rFonts w:eastAsia="Arial"/>
              </w:rPr>
              <w:t xml:space="preserve"> </w:t>
            </w:r>
            <w:r w:rsidRPr="00D00B34">
              <w:rPr>
                <w:rFonts w:eastAsia="Arial"/>
              </w:rPr>
              <w:t>suspected</w:t>
            </w:r>
            <w:r>
              <w:rPr>
                <w:rFonts w:eastAsia="Arial"/>
              </w:rPr>
              <w:t xml:space="preserve"> </w:t>
            </w:r>
            <w:r w:rsidRPr="00D00B34">
              <w:rPr>
                <w:rFonts w:eastAsia="Arial"/>
              </w:rPr>
              <w:t>adverse</w:t>
            </w:r>
            <w:r>
              <w:rPr>
                <w:rFonts w:eastAsia="Arial"/>
              </w:rPr>
              <w:t xml:space="preserve"> </w:t>
            </w:r>
            <w:r w:rsidRPr="00D00B34">
              <w:rPr>
                <w:rFonts w:eastAsia="Arial"/>
              </w:rPr>
              <w:t>reactions</w:t>
            </w:r>
            <w:r>
              <w:rPr>
                <w:rFonts w:eastAsia="Arial"/>
              </w:rPr>
              <w:t xml:space="preserve"> </w:t>
            </w:r>
            <w:r w:rsidRPr="00D00B34">
              <w:rPr>
                <w:rFonts w:eastAsia="Arial"/>
              </w:rPr>
              <w:t>to</w:t>
            </w:r>
            <w:r>
              <w:rPr>
                <w:rFonts w:eastAsia="Arial"/>
              </w:rPr>
              <w:t xml:space="preserve"> </w:t>
            </w:r>
            <w:r w:rsidRPr="00D00B34">
              <w:rPr>
                <w:rFonts w:eastAsia="Arial"/>
              </w:rPr>
              <w:t>the</w:t>
            </w:r>
            <w:r>
              <w:rPr>
                <w:rFonts w:eastAsia="Arial"/>
              </w:rPr>
              <w:t xml:space="preserve"> </w:t>
            </w:r>
            <w:r w:rsidRPr="00D00B34">
              <w:rPr>
                <w:rFonts w:eastAsia="Arial"/>
              </w:rPr>
              <w:t>Medicines</w:t>
            </w:r>
            <w:r>
              <w:rPr>
                <w:rFonts w:eastAsia="Arial"/>
              </w:rPr>
              <w:t xml:space="preserve"> </w:t>
            </w:r>
            <w:r w:rsidRPr="00D00B34">
              <w:rPr>
                <w:rFonts w:eastAsia="Arial"/>
              </w:rPr>
              <w:t>and</w:t>
            </w:r>
            <w:r>
              <w:rPr>
                <w:rFonts w:eastAsia="Arial"/>
              </w:rPr>
              <w:t xml:space="preserve"> </w:t>
            </w:r>
            <w:r w:rsidRPr="00D00B34">
              <w:rPr>
                <w:rFonts w:eastAsia="Arial"/>
              </w:rPr>
              <w:t>Healthcare</w:t>
            </w:r>
            <w:r>
              <w:rPr>
                <w:rFonts w:eastAsia="Arial"/>
              </w:rPr>
              <w:t xml:space="preserve"> </w:t>
            </w:r>
            <w:r w:rsidRPr="00D00B34">
              <w:rPr>
                <w:rFonts w:eastAsia="Arial"/>
              </w:rPr>
              <w:t>products</w:t>
            </w:r>
            <w:r>
              <w:rPr>
                <w:rFonts w:eastAsia="Arial"/>
              </w:rPr>
              <w:t xml:space="preserve"> </w:t>
            </w:r>
            <w:r w:rsidRPr="00D00B34">
              <w:rPr>
                <w:rFonts w:eastAsia="Arial"/>
              </w:rPr>
              <w:t>Regulatory</w:t>
            </w:r>
            <w:r>
              <w:rPr>
                <w:rFonts w:eastAsia="Arial"/>
              </w:rPr>
              <w:t xml:space="preserve"> </w:t>
            </w:r>
            <w:r w:rsidRPr="00D00B34">
              <w:rPr>
                <w:rFonts w:eastAsia="Arial"/>
              </w:rPr>
              <w:t>Agency</w:t>
            </w:r>
            <w:r>
              <w:rPr>
                <w:rFonts w:eastAsia="Arial"/>
              </w:rPr>
              <w:t xml:space="preserve"> </w:t>
            </w:r>
            <w:r w:rsidRPr="00D00B34">
              <w:rPr>
                <w:rFonts w:eastAsia="Arial"/>
              </w:rPr>
              <w:t>(MHRA)</w:t>
            </w:r>
            <w:r>
              <w:rPr>
                <w:rFonts w:eastAsia="Arial"/>
              </w:rPr>
              <w:t xml:space="preserve"> </w:t>
            </w:r>
            <w:r w:rsidRPr="00D00B34">
              <w:rPr>
                <w:rFonts w:eastAsia="Arial"/>
              </w:rPr>
              <w:t>using</w:t>
            </w:r>
            <w:r>
              <w:rPr>
                <w:rFonts w:eastAsia="Arial"/>
              </w:rPr>
              <w:t xml:space="preserve"> </w:t>
            </w:r>
            <w:r w:rsidRPr="00D00B34">
              <w:rPr>
                <w:rFonts w:eastAsia="Arial"/>
              </w:rPr>
              <w:t>the</w:t>
            </w:r>
            <w:r>
              <w:rPr>
                <w:rFonts w:eastAsia="Arial"/>
              </w:rPr>
              <w:t xml:space="preserve"> </w:t>
            </w:r>
            <w:hyperlink r:id="rId22">
              <w:r w:rsidRPr="5B73C7B9">
                <w:rPr>
                  <w:rStyle w:val="Hyperlink"/>
                  <w:rFonts w:eastAsia="Arial"/>
                </w:rPr>
                <w:t>Yellow Card reporting scheme via the MHRA</w:t>
              </w:r>
            </w:hyperlink>
            <w:r>
              <w:rPr>
                <w:rFonts w:eastAsia="Arial"/>
              </w:rPr>
              <w:t>.</w:t>
            </w:r>
          </w:p>
          <w:p w14:paraId="6A33BB8E" w14:textId="77777777" w:rsidR="000D715F" w:rsidRPr="00D00B34" w:rsidRDefault="000D715F" w:rsidP="000D715F">
            <w:pPr>
              <w:pStyle w:val="Tabletext"/>
              <w:rPr>
                <w:rFonts w:eastAsia="Arial"/>
                <w:lang w:eastAsia="en-GB" w:bidi="en-GB"/>
              </w:rPr>
            </w:pPr>
            <w:r w:rsidRPr="00D00B34">
              <w:t>Record all adverse drug reactions (ADRs) in the patient’s medical record.</w:t>
            </w:r>
          </w:p>
          <w:p w14:paraId="5DAF27A7" w14:textId="1D0159E5" w:rsidR="000D715F" w:rsidRPr="00D00B34" w:rsidRDefault="000D715F" w:rsidP="000D715F">
            <w:pPr>
              <w:pStyle w:val="Tabletext"/>
              <w:rPr>
                <w:rFonts w:eastAsia="Arial"/>
                <w:lang w:eastAsia="en-GB" w:bidi="en-GB"/>
              </w:rPr>
            </w:pPr>
            <w:r w:rsidRPr="00BE616A">
              <w:rPr>
                <w:highlight w:val="cyan"/>
              </w:rPr>
              <w:t>[</w:t>
            </w:r>
            <w:r w:rsidRPr="000D715F">
              <w:rPr>
                <w:highlight w:val="cyan"/>
              </w:rPr>
              <w:t>Report via organisation incident policy.</w:t>
            </w:r>
            <w:r w:rsidRPr="00BE616A">
              <w:rPr>
                <w:highlight w:val="cyan"/>
              </w:rPr>
              <w:t>]</w:t>
            </w:r>
          </w:p>
        </w:tc>
      </w:tr>
      <w:tr w:rsidR="000D715F" w14:paraId="5296478C" w14:textId="77777777" w:rsidTr="005926F8">
        <w:tc>
          <w:tcPr>
            <w:tcW w:w="2977" w:type="dxa"/>
            <w:tcBorders>
              <w:bottom w:val="single" w:sz="4" w:space="0" w:color="auto"/>
            </w:tcBorders>
          </w:tcPr>
          <w:p w14:paraId="0F002591" w14:textId="3F86F286" w:rsidR="000D715F" w:rsidRPr="000D715F" w:rsidRDefault="000D715F" w:rsidP="000D715F">
            <w:pPr>
              <w:pStyle w:val="TableHeaderRow"/>
              <w:rPr>
                <w:rStyle w:val="TableHeaderColumn"/>
                <w:b/>
                <w:bCs/>
              </w:rPr>
            </w:pPr>
            <w:r w:rsidRPr="000D715F">
              <w:rPr>
                <w:rStyle w:val="TableHeaderColumn"/>
                <w:b/>
                <w:bCs/>
                <w:sz w:val="24"/>
                <w:szCs w:val="24"/>
              </w:rPr>
              <w:t>Additional facilities and supplies</w:t>
            </w:r>
          </w:p>
        </w:tc>
        <w:tc>
          <w:tcPr>
            <w:tcW w:w="6039" w:type="dxa"/>
          </w:tcPr>
          <w:p w14:paraId="37978C4A" w14:textId="77777777" w:rsidR="000D715F" w:rsidRPr="000D715F" w:rsidRDefault="000D715F" w:rsidP="000D715F">
            <w:pPr>
              <w:pStyle w:val="PGDtablebullet0"/>
              <w:rPr>
                <w:lang w:val="en-GB"/>
              </w:rPr>
            </w:pPr>
            <w:r w:rsidRPr="000D715F">
              <w:rPr>
                <w:lang w:val="en-GB"/>
              </w:rPr>
              <w:t>Access to working telephone</w:t>
            </w:r>
          </w:p>
          <w:p w14:paraId="4BEDC1EF" w14:textId="77777777" w:rsidR="000D715F" w:rsidRPr="000D715F" w:rsidRDefault="000D715F" w:rsidP="000D715F">
            <w:pPr>
              <w:pStyle w:val="PGDtablebullet0"/>
              <w:rPr>
                <w:lang w:val="en-GB"/>
              </w:rPr>
            </w:pPr>
            <w:r w:rsidRPr="000D715F">
              <w:rPr>
                <w:lang w:val="en-GB"/>
              </w:rPr>
              <w:t>Suitable waste disposal facilities</w:t>
            </w:r>
          </w:p>
          <w:p w14:paraId="703F9725" w14:textId="0575F947" w:rsidR="000D715F" w:rsidRPr="00D00B34" w:rsidRDefault="000D715F" w:rsidP="000D715F">
            <w:pPr>
              <w:pStyle w:val="PGDtablebullet0"/>
            </w:pPr>
            <w:r w:rsidRPr="000D715F">
              <w:rPr>
                <w:lang w:val="en-GB"/>
              </w:rPr>
              <w:t>Immediate access to in-date anaphylaxis kit (IM adrenaline 1:1000) and emergency drugs including atropine and oxygen according to local protocol.</w:t>
            </w:r>
          </w:p>
        </w:tc>
      </w:tr>
      <w:tr w:rsidR="000D715F" w14:paraId="37296D15" w14:textId="77777777" w:rsidTr="005926F8">
        <w:tc>
          <w:tcPr>
            <w:tcW w:w="2977" w:type="dxa"/>
            <w:tcBorders>
              <w:bottom w:val="single" w:sz="4" w:space="0" w:color="auto"/>
            </w:tcBorders>
          </w:tcPr>
          <w:p w14:paraId="6822EA7A" w14:textId="27F2CFAE" w:rsidR="000D715F" w:rsidRPr="000D715F" w:rsidRDefault="000D715F" w:rsidP="000D715F">
            <w:pPr>
              <w:pStyle w:val="TableHeaderRow"/>
              <w:rPr>
                <w:rStyle w:val="TableHeaderColumn"/>
                <w:b/>
                <w:bCs/>
                <w:sz w:val="24"/>
                <w:szCs w:val="24"/>
              </w:rPr>
            </w:pPr>
            <w:r w:rsidRPr="000D715F">
              <w:rPr>
                <w:sz w:val="24"/>
                <w:szCs w:val="24"/>
                <w:lang w:val="en-GB"/>
              </w:rPr>
              <w:t>Written information and further advice to be given to individual</w:t>
            </w:r>
          </w:p>
        </w:tc>
        <w:tc>
          <w:tcPr>
            <w:tcW w:w="6039" w:type="dxa"/>
          </w:tcPr>
          <w:p w14:paraId="0AD17255" w14:textId="77777777" w:rsidR="000D715F" w:rsidRPr="000D715F" w:rsidRDefault="000D715F" w:rsidP="000D715F">
            <w:pPr>
              <w:pStyle w:val="PGDtablebullet0"/>
            </w:pPr>
            <w:r w:rsidRPr="000D715F">
              <w:t>Provide patient information leaflet (PIL) provided by the manufacturer.</w:t>
            </w:r>
          </w:p>
          <w:p w14:paraId="201BDA6F" w14:textId="77777777" w:rsidR="000D715F" w:rsidRPr="000D715F" w:rsidRDefault="000D715F" w:rsidP="000D715F">
            <w:pPr>
              <w:pStyle w:val="PGDtablebullet0"/>
            </w:pPr>
            <w:r w:rsidRPr="000D715F">
              <w:t>Explain mode of action, side effects, risks and benefits of the Cu-IUD</w:t>
            </w:r>
          </w:p>
          <w:p w14:paraId="67978699" w14:textId="77777777" w:rsidR="000D715F" w:rsidRPr="000D715F" w:rsidRDefault="000D715F" w:rsidP="000D715F">
            <w:pPr>
              <w:pStyle w:val="PGDtablebullet0"/>
            </w:pPr>
            <w:r w:rsidRPr="000D715F">
              <w:t>Advise about the risks including failure rates and serious side effects and the actions to be taken.</w:t>
            </w:r>
          </w:p>
          <w:p w14:paraId="3B139737" w14:textId="77777777" w:rsidR="000D715F" w:rsidRPr="000D715F" w:rsidRDefault="000D715F" w:rsidP="000D715F">
            <w:pPr>
              <w:pStyle w:val="PGDtablebullet0"/>
            </w:pPr>
            <w:proofErr w:type="gramStart"/>
            <w:r w:rsidRPr="000D715F">
              <w:t>Advise</w:t>
            </w:r>
            <w:proofErr w:type="gramEnd"/>
            <w:r w:rsidRPr="000D715F">
              <w:t xml:space="preserve"> about the possible symptoms of serious sequelae e.g. infection, ectopic pregnancy, </w:t>
            </w:r>
            <w:r w:rsidRPr="000D715F">
              <w:lastRenderedPageBreak/>
              <w:t>expulsion and perforation and when to seek clinical advice</w:t>
            </w:r>
          </w:p>
          <w:p w14:paraId="799CE794" w14:textId="77777777" w:rsidR="000D715F" w:rsidRPr="000D715F" w:rsidRDefault="000D715F" w:rsidP="000D715F">
            <w:pPr>
              <w:pStyle w:val="PGDtablebullet0"/>
            </w:pPr>
            <w:r w:rsidRPr="000D715F">
              <w:t>Teach individual how to check threads and to seek clinical advice if unable to feel threads.</w:t>
            </w:r>
          </w:p>
          <w:p w14:paraId="136D075D" w14:textId="77777777" w:rsidR="000D715F" w:rsidRPr="000D715F" w:rsidRDefault="000D715F" w:rsidP="000D715F">
            <w:pPr>
              <w:pStyle w:val="PGDtablebullet0"/>
            </w:pPr>
            <w:proofErr w:type="gramStart"/>
            <w:r w:rsidRPr="000D715F">
              <w:t>Advise</w:t>
            </w:r>
            <w:proofErr w:type="gramEnd"/>
            <w:r w:rsidRPr="000D715F">
              <w:t xml:space="preserve"> when replacement of the Cu-IUD will be required.  </w:t>
            </w:r>
          </w:p>
          <w:p w14:paraId="58C03228" w14:textId="77777777" w:rsidR="000D715F" w:rsidRPr="000D715F" w:rsidRDefault="000D715F" w:rsidP="000D715F">
            <w:pPr>
              <w:pStyle w:val="PGDtablebullet0"/>
            </w:pPr>
            <w:r w:rsidRPr="000D715F">
              <w:t xml:space="preserve">Offer condoms and advice on safer sex practices and possible need for screening for sexually transmitted infections (STIs) </w:t>
            </w:r>
          </w:p>
          <w:p w14:paraId="1E8A353F" w14:textId="60510B49" w:rsidR="000D715F" w:rsidRPr="000D715F" w:rsidRDefault="000D715F" w:rsidP="000D715F">
            <w:pPr>
              <w:pStyle w:val="PGDtablebullet0"/>
            </w:pPr>
            <w:r w:rsidRPr="000D715F">
              <w:t>Ensure the individual has contact details of local service/sexual health services</w:t>
            </w:r>
            <w:r w:rsidRPr="007B4938">
              <w:t>.</w:t>
            </w:r>
          </w:p>
        </w:tc>
      </w:tr>
      <w:tr w:rsidR="000D715F" w14:paraId="0C5D4871" w14:textId="77777777" w:rsidTr="005926F8">
        <w:tc>
          <w:tcPr>
            <w:tcW w:w="2977" w:type="dxa"/>
            <w:tcBorders>
              <w:bottom w:val="single" w:sz="4" w:space="0" w:color="auto"/>
            </w:tcBorders>
          </w:tcPr>
          <w:p w14:paraId="6A43AF48" w14:textId="77777777" w:rsidR="000D715F" w:rsidRPr="00FD6567" w:rsidRDefault="000D715F" w:rsidP="000D715F">
            <w:pPr>
              <w:rPr>
                <w:rStyle w:val="TableHeaderColumn"/>
                <w:sz w:val="24"/>
              </w:rPr>
            </w:pPr>
            <w:r w:rsidRPr="00FD6567">
              <w:rPr>
                <w:rStyle w:val="TableHeaderColumn"/>
                <w:rFonts w:eastAsiaTheme="minorHAnsi"/>
                <w:sz w:val="24"/>
                <w:szCs w:val="22"/>
              </w:rPr>
              <w:lastRenderedPageBreak/>
              <w:t>Record keeping</w:t>
            </w:r>
          </w:p>
        </w:tc>
        <w:tc>
          <w:tcPr>
            <w:tcW w:w="6039" w:type="dxa"/>
          </w:tcPr>
          <w:p w14:paraId="0CAD45B4" w14:textId="77777777" w:rsidR="000D715F" w:rsidRPr="000D715F" w:rsidRDefault="000D715F" w:rsidP="000D715F">
            <w:pPr>
              <w:pStyle w:val="PGDtablebullet0"/>
              <w:rPr>
                <w:lang w:val="en-GB"/>
              </w:rPr>
            </w:pPr>
            <w:r w:rsidRPr="000D715F">
              <w:rPr>
                <w:lang w:val="en-GB"/>
              </w:rPr>
              <w:t>The consent of the individual and</w:t>
            </w:r>
          </w:p>
          <w:p w14:paraId="6E57C1E9" w14:textId="77777777" w:rsidR="000D715F" w:rsidRPr="000D715F" w:rsidRDefault="000D715F" w:rsidP="000D715F">
            <w:pPr>
              <w:pStyle w:val="PGDtablebullet0"/>
              <w:numPr>
                <w:ilvl w:val="1"/>
                <w:numId w:val="34"/>
              </w:numPr>
              <w:rPr>
                <w:lang w:val="en-GB"/>
              </w:rPr>
            </w:pPr>
            <w:r w:rsidRPr="000D715F">
              <w:rPr>
                <w:lang w:val="en-GB"/>
              </w:rPr>
              <w:t>If individual is under 13 years of age record action taken</w:t>
            </w:r>
          </w:p>
          <w:p w14:paraId="37B6F856" w14:textId="07AB9010" w:rsidR="000D715F" w:rsidRPr="000D715F" w:rsidRDefault="000D715F" w:rsidP="000D715F">
            <w:pPr>
              <w:pStyle w:val="PGDtablebullet0"/>
              <w:numPr>
                <w:ilvl w:val="1"/>
                <w:numId w:val="34"/>
              </w:numPr>
              <w:rPr>
                <w:lang w:val="en-GB"/>
              </w:rPr>
            </w:pPr>
            <w:r w:rsidRPr="000D715F">
              <w:rPr>
                <w:lang w:val="en-GB"/>
              </w:rPr>
              <w:t xml:space="preserve">If individual is under 16 years of age document capacity using Fraser guidelines. If </w:t>
            </w:r>
            <w:proofErr w:type="gramStart"/>
            <w:r w:rsidRPr="000D715F">
              <w:rPr>
                <w:lang w:val="en-GB"/>
              </w:rPr>
              <w:t>not</w:t>
            </w:r>
            <w:proofErr w:type="gramEnd"/>
            <w:r w:rsidRPr="000D715F">
              <w:rPr>
                <w:lang w:val="en-GB"/>
              </w:rPr>
              <w:t xml:space="preserve"> competent record action taken </w:t>
            </w:r>
          </w:p>
          <w:p w14:paraId="0161DC47" w14:textId="77777777" w:rsidR="000D715F" w:rsidRPr="000D715F" w:rsidRDefault="000D715F" w:rsidP="000D715F">
            <w:pPr>
              <w:pStyle w:val="PGDtablebullet0"/>
              <w:numPr>
                <w:ilvl w:val="1"/>
                <w:numId w:val="34"/>
              </w:numPr>
              <w:rPr>
                <w:lang w:val="en-GB"/>
              </w:rPr>
            </w:pPr>
            <w:r w:rsidRPr="000D715F">
              <w:rPr>
                <w:lang w:val="en-GB"/>
              </w:rPr>
              <w:t>If individual over 16 years of age and not competent, record action taken</w:t>
            </w:r>
          </w:p>
          <w:p w14:paraId="224C4BE3" w14:textId="77777777" w:rsidR="000D715F" w:rsidRPr="000D715F" w:rsidRDefault="000D715F" w:rsidP="000D715F">
            <w:pPr>
              <w:pStyle w:val="PGDtablebullet0"/>
              <w:rPr>
                <w:lang w:val="en-GB"/>
              </w:rPr>
            </w:pPr>
            <w:r w:rsidRPr="000D715F">
              <w:rPr>
                <w:lang w:val="en-GB"/>
              </w:rPr>
              <w:t xml:space="preserve">Name of individual, address, date of birth </w:t>
            </w:r>
          </w:p>
          <w:p w14:paraId="640810DD" w14:textId="77777777" w:rsidR="000D715F" w:rsidRPr="000D715F" w:rsidRDefault="000D715F" w:rsidP="000D715F">
            <w:pPr>
              <w:pStyle w:val="PGDtablebullet0"/>
              <w:rPr>
                <w:lang w:val="en-GB"/>
              </w:rPr>
            </w:pPr>
            <w:r w:rsidRPr="000D715F">
              <w:rPr>
                <w:lang w:val="en-GB"/>
              </w:rPr>
              <w:t>GP contact details where appropriate</w:t>
            </w:r>
          </w:p>
          <w:p w14:paraId="247BEBFB" w14:textId="77777777" w:rsidR="000D715F" w:rsidRPr="000D715F" w:rsidRDefault="000D715F" w:rsidP="000D715F">
            <w:pPr>
              <w:pStyle w:val="PGDtablebullet0"/>
              <w:rPr>
                <w:lang w:val="en-GB"/>
              </w:rPr>
            </w:pPr>
            <w:r w:rsidRPr="000D715F">
              <w:rPr>
                <w:lang w:val="en-GB"/>
              </w:rPr>
              <w:t xml:space="preserve">Relevant past and present medical history, including medication and family history. </w:t>
            </w:r>
          </w:p>
          <w:p w14:paraId="4118B761" w14:textId="77777777" w:rsidR="000D715F" w:rsidRPr="000D715F" w:rsidRDefault="000D715F" w:rsidP="000D715F">
            <w:pPr>
              <w:pStyle w:val="PGDtablebullet0"/>
              <w:rPr>
                <w:lang w:val="en-GB"/>
              </w:rPr>
            </w:pPr>
            <w:r w:rsidRPr="000D715F">
              <w:rPr>
                <w:lang w:val="en-GB"/>
              </w:rPr>
              <w:t>Any known allergies</w:t>
            </w:r>
          </w:p>
          <w:p w14:paraId="6C3FCABE" w14:textId="77777777" w:rsidR="000D715F" w:rsidRPr="000D715F" w:rsidRDefault="000D715F" w:rsidP="000D715F">
            <w:pPr>
              <w:pStyle w:val="PGDtablebullet0"/>
              <w:rPr>
                <w:lang w:val="en-GB"/>
              </w:rPr>
            </w:pPr>
            <w:r w:rsidRPr="000D715F">
              <w:rPr>
                <w:lang w:val="en-GB"/>
              </w:rPr>
              <w:t>Details of insertion procedure to include:</w:t>
            </w:r>
          </w:p>
          <w:p w14:paraId="6651D84D" w14:textId="77777777" w:rsidR="000D715F" w:rsidRPr="000D715F" w:rsidRDefault="000D715F" w:rsidP="000D715F">
            <w:pPr>
              <w:pStyle w:val="PGDtablebullet0"/>
              <w:numPr>
                <w:ilvl w:val="1"/>
                <w:numId w:val="34"/>
              </w:numPr>
              <w:rPr>
                <w:lang w:val="en-GB"/>
              </w:rPr>
            </w:pPr>
            <w:r w:rsidRPr="000D715F">
              <w:rPr>
                <w:lang w:val="en-GB"/>
              </w:rPr>
              <w:t>Name of registered health professional</w:t>
            </w:r>
          </w:p>
          <w:p w14:paraId="6CE3F6C9" w14:textId="77777777" w:rsidR="000D715F" w:rsidRPr="000D715F" w:rsidRDefault="000D715F" w:rsidP="000D715F">
            <w:pPr>
              <w:pStyle w:val="PGDtablebullet0"/>
              <w:numPr>
                <w:ilvl w:val="1"/>
                <w:numId w:val="34"/>
              </w:numPr>
              <w:rPr>
                <w:lang w:val="en-GB"/>
              </w:rPr>
            </w:pPr>
            <w:r w:rsidRPr="000D715F">
              <w:rPr>
                <w:lang w:val="en-GB"/>
              </w:rPr>
              <w:t>Date of insertion</w:t>
            </w:r>
          </w:p>
          <w:p w14:paraId="007F5DAE" w14:textId="77777777" w:rsidR="000D715F" w:rsidRPr="000D715F" w:rsidRDefault="000D715F" w:rsidP="000D715F">
            <w:pPr>
              <w:pStyle w:val="PGDtablebullet0"/>
              <w:numPr>
                <w:ilvl w:val="1"/>
                <w:numId w:val="34"/>
              </w:numPr>
              <w:rPr>
                <w:lang w:val="en-GB"/>
              </w:rPr>
            </w:pPr>
            <w:r w:rsidRPr="000D715F">
              <w:rPr>
                <w:lang w:val="en-GB"/>
              </w:rPr>
              <w:t xml:space="preserve">Name/brand of Cu-IUD inserted </w:t>
            </w:r>
          </w:p>
          <w:p w14:paraId="31399BFA" w14:textId="77777777" w:rsidR="000D715F" w:rsidRPr="000D715F" w:rsidRDefault="000D715F" w:rsidP="000D715F">
            <w:pPr>
              <w:pStyle w:val="PGDtablebullet0"/>
              <w:numPr>
                <w:ilvl w:val="1"/>
                <w:numId w:val="34"/>
              </w:numPr>
              <w:rPr>
                <w:lang w:val="en-GB"/>
              </w:rPr>
            </w:pPr>
            <w:r w:rsidRPr="000D715F">
              <w:rPr>
                <w:lang w:val="en-GB"/>
              </w:rPr>
              <w:t>Batch number and expiry date of product in line with local procedure</w:t>
            </w:r>
          </w:p>
          <w:p w14:paraId="0A218F68" w14:textId="77777777" w:rsidR="000D715F" w:rsidRPr="000D715F" w:rsidRDefault="000D715F" w:rsidP="000D715F">
            <w:pPr>
              <w:pStyle w:val="PGDtablebullet0"/>
              <w:numPr>
                <w:ilvl w:val="1"/>
                <w:numId w:val="34"/>
              </w:numPr>
              <w:rPr>
                <w:lang w:val="en-GB"/>
              </w:rPr>
            </w:pPr>
            <w:r w:rsidRPr="000D715F">
              <w:rPr>
                <w:lang w:val="en-GB"/>
              </w:rPr>
              <w:t xml:space="preserve">Bimanual examination and speculum findings </w:t>
            </w:r>
          </w:p>
          <w:p w14:paraId="44872FA2" w14:textId="77777777" w:rsidR="000D715F" w:rsidRPr="000D715F" w:rsidRDefault="000D715F" w:rsidP="000D715F">
            <w:pPr>
              <w:pStyle w:val="PGDtablebullet0"/>
              <w:numPr>
                <w:ilvl w:val="1"/>
                <w:numId w:val="34"/>
              </w:numPr>
              <w:rPr>
                <w:lang w:val="en-GB"/>
              </w:rPr>
            </w:pPr>
            <w:r w:rsidRPr="000D715F">
              <w:rPr>
                <w:lang w:val="en-GB"/>
              </w:rPr>
              <w:t>Uterine sounding</w:t>
            </w:r>
          </w:p>
          <w:p w14:paraId="113B2771" w14:textId="77777777" w:rsidR="000D715F" w:rsidRPr="000D715F" w:rsidRDefault="000D715F" w:rsidP="000D715F">
            <w:pPr>
              <w:pStyle w:val="PGDtablebullet0"/>
              <w:numPr>
                <w:ilvl w:val="1"/>
                <w:numId w:val="34"/>
              </w:numPr>
              <w:rPr>
                <w:lang w:val="en-GB"/>
              </w:rPr>
            </w:pPr>
            <w:r w:rsidRPr="000D715F">
              <w:rPr>
                <w:lang w:val="en-GB"/>
              </w:rPr>
              <w:t>Use of no touch technique</w:t>
            </w:r>
          </w:p>
          <w:p w14:paraId="2564E415" w14:textId="77777777" w:rsidR="000D715F" w:rsidRPr="000D715F" w:rsidRDefault="000D715F" w:rsidP="000D715F">
            <w:pPr>
              <w:pStyle w:val="PGDtablebullet0"/>
              <w:numPr>
                <w:ilvl w:val="1"/>
                <w:numId w:val="34"/>
              </w:numPr>
              <w:rPr>
                <w:lang w:val="en-GB"/>
              </w:rPr>
            </w:pPr>
            <w:r w:rsidRPr="000D715F">
              <w:rPr>
                <w:lang w:val="en-GB"/>
              </w:rPr>
              <w:t>Name of assistant/their role</w:t>
            </w:r>
          </w:p>
          <w:p w14:paraId="2A8EBECA" w14:textId="77777777" w:rsidR="000D715F" w:rsidRPr="000D715F" w:rsidRDefault="000D715F" w:rsidP="000D715F">
            <w:pPr>
              <w:pStyle w:val="PGDtablebullet0"/>
              <w:numPr>
                <w:ilvl w:val="1"/>
                <w:numId w:val="34"/>
              </w:numPr>
              <w:rPr>
                <w:lang w:val="en-GB"/>
              </w:rPr>
            </w:pPr>
            <w:r w:rsidRPr="000D715F">
              <w:rPr>
                <w:lang w:val="en-GB"/>
              </w:rPr>
              <w:t>Analgesia or local anaesthetic used</w:t>
            </w:r>
          </w:p>
          <w:p w14:paraId="413A17F6" w14:textId="77777777" w:rsidR="000D715F" w:rsidRPr="000D715F" w:rsidRDefault="000D715F" w:rsidP="000D715F">
            <w:pPr>
              <w:pStyle w:val="PGDtablebullet0"/>
              <w:numPr>
                <w:ilvl w:val="1"/>
                <w:numId w:val="34"/>
              </w:numPr>
              <w:rPr>
                <w:lang w:val="en-GB"/>
              </w:rPr>
            </w:pPr>
            <w:r w:rsidRPr="000D715F">
              <w:rPr>
                <w:lang w:val="en-GB"/>
              </w:rPr>
              <w:t>Problems encountered during insertion</w:t>
            </w:r>
          </w:p>
          <w:p w14:paraId="6CB60444" w14:textId="77777777" w:rsidR="000D715F" w:rsidRPr="000D715F" w:rsidRDefault="000D715F" w:rsidP="000D715F">
            <w:pPr>
              <w:pStyle w:val="PGDtablebullet0"/>
              <w:rPr>
                <w:lang w:val="en-GB"/>
              </w:rPr>
            </w:pPr>
            <w:r w:rsidRPr="000D715F">
              <w:rPr>
                <w:lang w:val="en-GB"/>
              </w:rPr>
              <w:t>Advice given, including advice given if excluded or declines treatment</w:t>
            </w:r>
          </w:p>
          <w:p w14:paraId="1DCEA4FC" w14:textId="77777777" w:rsidR="000D715F" w:rsidRPr="000D715F" w:rsidRDefault="000D715F" w:rsidP="000D715F">
            <w:pPr>
              <w:pStyle w:val="PGDtablebullet0"/>
              <w:rPr>
                <w:lang w:val="en-GB"/>
              </w:rPr>
            </w:pPr>
            <w:r w:rsidRPr="000D715F">
              <w:rPr>
                <w:lang w:val="en-GB"/>
              </w:rPr>
              <w:t>Details of any adverse reactions and actions taken</w:t>
            </w:r>
          </w:p>
          <w:p w14:paraId="1B9C09D4" w14:textId="77777777" w:rsidR="000D715F" w:rsidRPr="000D715F" w:rsidRDefault="000D715F" w:rsidP="000D715F">
            <w:pPr>
              <w:pStyle w:val="PGDtablebullet0"/>
              <w:rPr>
                <w:lang w:val="en-GB"/>
              </w:rPr>
            </w:pPr>
            <w:r w:rsidRPr="000D715F">
              <w:rPr>
                <w:lang w:val="en-GB"/>
              </w:rPr>
              <w:t xml:space="preserve">Advice given about the device including side effects, benefits, and when and what to do if any concerns </w:t>
            </w:r>
          </w:p>
          <w:p w14:paraId="4C31B8EC" w14:textId="77777777" w:rsidR="000D715F" w:rsidRPr="000D715F" w:rsidRDefault="000D715F" w:rsidP="000D715F">
            <w:pPr>
              <w:pStyle w:val="PGDtablebullet0"/>
              <w:rPr>
                <w:lang w:val="en-GB"/>
              </w:rPr>
            </w:pPr>
            <w:r w:rsidRPr="000D715F">
              <w:rPr>
                <w:lang w:val="en-GB"/>
              </w:rPr>
              <w:t>Any referral arrangements made if required</w:t>
            </w:r>
          </w:p>
          <w:p w14:paraId="2A900456" w14:textId="77777777" w:rsidR="000D715F" w:rsidRPr="000D715F" w:rsidRDefault="000D715F" w:rsidP="000D715F">
            <w:pPr>
              <w:pStyle w:val="PGDtablebullet0"/>
              <w:rPr>
                <w:lang w:val="en-GB"/>
              </w:rPr>
            </w:pPr>
            <w:r w:rsidRPr="000D715F">
              <w:rPr>
                <w:lang w:val="en-GB"/>
              </w:rPr>
              <w:lastRenderedPageBreak/>
              <w:t xml:space="preserve">Any administration outside the terms of the product marketing authorisation and additional advice given relating to this and advice given </w:t>
            </w:r>
          </w:p>
          <w:p w14:paraId="2020DAD0" w14:textId="77777777" w:rsidR="000D715F" w:rsidRPr="00CE5880" w:rsidRDefault="000D715F" w:rsidP="000D715F">
            <w:pPr>
              <w:pStyle w:val="PGDtablebullet0"/>
            </w:pPr>
            <w:r w:rsidRPr="000D715F">
              <w:rPr>
                <w:lang w:val="en-GB"/>
              </w:rPr>
              <w:t>A statement that administration is under a protocol.</w:t>
            </w:r>
          </w:p>
          <w:p w14:paraId="5F1D9155" w14:textId="27773229" w:rsidR="00CE5880" w:rsidRPr="00D00B34" w:rsidRDefault="00CE5880" w:rsidP="000D715F">
            <w:pPr>
              <w:pStyle w:val="PGDtablebullet0"/>
            </w:pPr>
            <w:r w:rsidRPr="00872343">
              <w:rPr>
                <w:lang w:val="en-GB"/>
              </w:rPr>
              <w:t xml:space="preserve">All records should be kept in line with </w:t>
            </w:r>
            <w:hyperlink r:id="rId23" w:history="1">
              <w:r w:rsidRPr="00872343">
                <w:rPr>
                  <w:rStyle w:val="Hyperlink"/>
                  <w:rFonts w:eastAsia="Arial"/>
                  <w:lang w:val="en-GB"/>
                </w:rPr>
                <w:t>NHS England Records Management Code of Practice</w:t>
              </w:r>
            </w:hyperlink>
            <w:r w:rsidRPr="00872343">
              <w:rPr>
                <w:lang w:val="en-GB"/>
              </w:rPr>
              <w:t>. This includes individual data, master copies of the PGD and lists of authorised practitioners.</w:t>
            </w:r>
          </w:p>
        </w:tc>
      </w:tr>
    </w:tbl>
    <w:p w14:paraId="25F0924D" w14:textId="77777777" w:rsidR="00034850" w:rsidRDefault="00034850"/>
    <w:p w14:paraId="4A5C50EB" w14:textId="61FDFA52" w:rsidR="005D42E4" w:rsidRDefault="005D42E4" w:rsidP="00ED20C6">
      <w:pPr>
        <w:pStyle w:val="Tabletitle"/>
        <w:numPr>
          <w:ilvl w:val="0"/>
          <w:numId w:val="41"/>
        </w:numPr>
      </w:pPr>
      <w:r>
        <w:t>References</w:t>
      </w:r>
      <w:r w:rsidR="00BF22E3">
        <w:t xml:space="preserve"> (Last accessed </w:t>
      </w:r>
      <w:r w:rsidR="004E5F91" w:rsidRPr="00832EE5">
        <w:t>February 2026</w:t>
      </w:r>
      <w:r w:rsidR="000D715F">
        <w:t>)</w:t>
      </w:r>
    </w:p>
    <w:p w14:paraId="6F241AF1" w14:textId="077E5CA2" w:rsidR="000D715F" w:rsidRPr="000D715F" w:rsidRDefault="00AE4804" w:rsidP="000D715F">
      <w:pPr>
        <w:pStyle w:val="ListParagraph"/>
        <w:numPr>
          <w:ilvl w:val="0"/>
          <w:numId w:val="25"/>
        </w:numPr>
        <w:rPr>
          <w:rStyle w:val="Hyperlink"/>
          <w:rFonts w:eastAsiaTheme="minorHAnsi"/>
        </w:rPr>
      </w:pPr>
      <w:hyperlink r:id="rId24" w:history="1">
        <w:r>
          <w:rPr>
            <w:rStyle w:val="Hyperlink"/>
            <w:rFonts w:eastAsiaTheme="minorHAnsi"/>
          </w:rPr>
          <w:t>Co</w:t>
        </w:r>
        <w:r w:rsidR="000D715F" w:rsidRPr="000D715F">
          <w:rPr>
            <w:rStyle w:val="Hyperlink"/>
            <w:rFonts w:eastAsiaTheme="minorHAnsi"/>
          </w:rPr>
          <w:t>SRH Clinical Guideline: Intrauterine contraception (March 2023</w:t>
        </w:r>
        <w:r w:rsidR="00BB2DA1">
          <w:rPr>
            <w:rStyle w:val="Hyperlink"/>
            <w:rFonts w:eastAsiaTheme="minorHAnsi"/>
          </w:rPr>
          <w:t xml:space="preserve">, </w:t>
        </w:r>
        <w:r w:rsidR="00BB2DA1" w:rsidRPr="00832EE5">
          <w:rPr>
            <w:rStyle w:val="Hyperlink"/>
            <w:rFonts w:eastAsiaTheme="minorHAnsi"/>
          </w:rPr>
          <w:t>amended</w:t>
        </w:r>
        <w:r w:rsidR="00BB2DA1" w:rsidRPr="00BB2DA1">
          <w:rPr>
            <w:rStyle w:val="Hyperlink"/>
            <w:rFonts w:eastAsiaTheme="minorHAnsi"/>
            <w:color w:val="FF0000"/>
          </w:rPr>
          <w:t xml:space="preserve"> </w:t>
        </w:r>
        <w:r w:rsidR="00BB2DA1" w:rsidRPr="00832EE5">
          <w:rPr>
            <w:rStyle w:val="Hyperlink"/>
            <w:rFonts w:eastAsiaTheme="minorHAnsi"/>
          </w:rPr>
          <w:t>January 2025</w:t>
        </w:r>
        <w:r w:rsidR="000D715F" w:rsidRPr="000D715F">
          <w:rPr>
            <w:rStyle w:val="Hyperlink"/>
            <w:rFonts w:eastAsiaTheme="minorHAnsi"/>
          </w:rPr>
          <w:t>)</w:t>
        </w:r>
      </w:hyperlink>
    </w:p>
    <w:p w14:paraId="76773D4C" w14:textId="451F1DBD" w:rsidR="000D715F" w:rsidRPr="00E93CC5" w:rsidRDefault="00AE4804" w:rsidP="000D715F">
      <w:pPr>
        <w:pStyle w:val="ListParagraph"/>
        <w:numPr>
          <w:ilvl w:val="0"/>
          <w:numId w:val="25"/>
        </w:numPr>
        <w:rPr>
          <w:rFonts w:ascii="Arial" w:hAnsi="Arial" w:cs="Arial"/>
          <w:sz w:val="20"/>
          <w:szCs w:val="20"/>
        </w:rPr>
      </w:pPr>
      <w:hyperlink r:id="rId25" w:history="1">
        <w:r>
          <w:rPr>
            <w:rStyle w:val="Hyperlink"/>
            <w:rFonts w:eastAsiaTheme="minorHAnsi"/>
            <w:lang w:val="en-GB"/>
          </w:rPr>
          <w:t>College of</w:t>
        </w:r>
        <w:r w:rsidR="000D715F" w:rsidRPr="000D715F">
          <w:rPr>
            <w:rStyle w:val="Hyperlink"/>
            <w:rFonts w:eastAsiaTheme="minorHAnsi"/>
            <w:lang w:val="en-GB"/>
          </w:rPr>
          <w:t xml:space="preserve"> Sexual and Reproductive Healthcare (</w:t>
        </w:r>
        <w:r w:rsidR="00091292" w:rsidRPr="00832EE5">
          <w:rPr>
            <w:rStyle w:val="Hyperlink"/>
            <w:rFonts w:eastAsiaTheme="minorHAnsi"/>
            <w:lang w:val="en-GB"/>
          </w:rPr>
          <w:t>2025</w:t>
        </w:r>
        <w:r w:rsidR="000D715F" w:rsidRPr="000D715F">
          <w:rPr>
            <w:rStyle w:val="Hyperlink"/>
            <w:rFonts w:eastAsiaTheme="minorHAnsi"/>
            <w:lang w:val="en-GB"/>
          </w:rPr>
          <w:t>) UK Medical Eligibility Criteria for Contraceptive Use</w:t>
        </w:r>
        <w:r w:rsidR="000D715F" w:rsidRPr="000D715F">
          <w:rPr>
            <w:rStyle w:val="Hyperlink"/>
            <w:rFonts w:eastAsiaTheme="minorHAnsi" w:cs="Arial"/>
            <w:sz w:val="20"/>
            <w:szCs w:val="20"/>
            <w:lang w:val="en-GB"/>
          </w:rPr>
          <w:t xml:space="preserve">. </w:t>
        </w:r>
      </w:hyperlink>
    </w:p>
    <w:p w14:paraId="5CC8963C" w14:textId="178ED011" w:rsidR="000D715F" w:rsidRDefault="00AE4804" w:rsidP="000D715F">
      <w:pPr>
        <w:pStyle w:val="ListParagraph"/>
        <w:numPr>
          <w:ilvl w:val="0"/>
          <w:numId w:val="25"/>
        </w:numPr>
        <w:rPr>
          <w:rStyle w:val="Hyperlink"/>
          <w:rFonts w:eastAsiaTheme="minorHAnsi"/>
        </w:rPr>
      </w:pPr>
      <w:hyperlink r:id="rId26" w:history="1">
        <w:r>
          <w:rPr>
            <w:rStyle w:val="Hyperlink"/>
            <w:rFonts w:eastAsiaTheme="minorHAnsi"/>
            <w:lang w:val="en-GB"/>
          </w:rPr>
          <w:t>College</w:t>
        </w:r>
        <w:r w:rsidR="000D715F" w:rsidRPr="000D715F">
          <w:rPr>
            <w:rStyle w:val="Hyperlink"/>
            <w:rFonts w:eastAsiaTheme="minorHAnsi"/>
            <w:lang w:val="en-GB"/>
          </w:rPr>
          <w:t xml:space="preserve"> of Sexual and Reproductive Healthcare</w:t>
        </w:r>
        <w:r w:rsidR="00EF32E9">
          <w:rPr>
            <w:rStyle w:val="Hyperlink"/>
            <w:rFonts w:eastAsiaTheme="minorHAnsi"/>
            <w:lang w:val="en-GB"/>
          </w:rPr>
          <w:t xml:space="preserve"> (April 2017)</w:t>
        </w:r>
        <w:r w:rsidR="000D715F" w:rsidRPr="000D715F">
          <w:rPr>
            <w:rStyle w:val="Hyperlink"/>
            <w:rFonts w:eastAsiaTheme="minorHAnsi"/>
            <w:lang w:val="en-GB"/>
          </w:rPr>
          <w:t xml:space="preserve"> Clinical Guideline: Quick Starting Contraception</w:t>
        </w:r>
      </w:hyperlink>
      <w:r w:rsidR="000D715F" w:rsidRPr="000D715F">
        <w:rPr>
          <w:rStyle w:val="Hyperlink"/>
          <w:rFonts w:eastAsiaTheme="minorHAnsi"/>
        </w:rPr>
        <w:t xml:space="preserve"> </w:t>
      </w:r>
    </w:p>
    <w:p w14:paraId="47D7FC1D" w14:textId="77777777" w:rsidR="007E591C" w:rsidRPr="007E591C" w:rsidRDefault="00AE4804" w:rsidP="00CE2468">
      <w:pPr>
        <w:pStyle w:val="ListParagraph"/>
        <w:numPr>
          <w:ilvl w:val="0"/>
          <w:numId w:val="25"/>
        </w:numPr>
        <w:rPr>
          <w:rStyle w:val="Hyperlink"/>
          <w:rFonts w:eastAsiaTheme="minorHAnsi" w:cs="Arial"/>
          <w:lang w:val="en-GB"/>
        </w:rPr>
      </w:pPr>
      <w:hyperlink r:id="rId27" w:history="1">
        <w:r w:rsidRPr="007E591C">
          <w:rPr>
            <w:rStyle w:val="Hyperlink"/>
            <w:rFonts w:eastAsiaTheme="minorHAnsi"/>
            <w:lang w:val="en-GB"/>
          </w:rPr>
          <w:t>Coll</w:t>
        </w:r>
        <w:r w:rsidR="00614889" w:rsidRPr="007E591C">
          <w:rPr>
            <w:rStyle w:val="Hyperlink"/>
            <w:rFonts w:eastAsiaTheme="minorHAnsi"/>
            <w:lang w:val="en-GB"/>
          </w:rPr>
          <w:t>ege</w:t>
        </w:r>
        <w:r w:rsidR="000D715F" w:rsidRPr="007E591C">
          <w:rPr>
            <w:rStyle w:val="Hyperlink"/>
            <w:rFonts w:eastAsiaTheme="minorHAnsi"/>
            <w:lang w:val="en-GB"/>
          </w:rPr>
          <w:t xml:space="preserve"> of Sexual and Reproductive Healthcare (2019) Service standards for record keeping</w:t>
        </w:r>
      </w:hyperlink>
      <w:r w:rsidR="000D715F" w:rsidRPr="007E591C">
        <w:rPr>
          <w:rStyle w:val="Hyperlink"/>
          <w:rFonts w:eastAsiaTheme="minorHAnsi"/>
        </w:rPr>
        <w:t xml:space="preserve"> </w:t>
      </w:r>
    </w:p>
    <w:p w14:paraId="614E742E" w14:textId="107DDEC6" w:rsidR="00084942" w:rsidRPr="007E591C" w:rsidRDefault="00084942" w:rsidP="00CE2468">
      <w:pPr>
        <w:pStyle w:val="ListParagraph"/>
        <w:numPr>
          <w:ilvl w:val="0"/>
          <w:numId w:val="25"/>
        </w:numPr>
        <w:rPr>
          <w:rFonts w:ascii="Arial" w:hAnsi="Arial" w:cs="Arial"/>
          <w:color w:val="0563C1" w:themeColor="hyperlink"/>
          <w:sz w:val="24"/>
          <w:szCs w:val="24"/>
          <w:u w:val="single"/>
        </w:rPr>
      </w:pPr>
      <w:hyperlink r:id="rId28" w:history="1">
        <w:r w:rsidRPr="007E591C">
          <w:rPr>
            <w:rStyle w:val="Hyperlink"/>
            <w:rFonts w:eastAsiaTheme="minorHAnsi"/>
          </w:rPr>
          <w:t xml:space="preserve">College of Sexual and Reproductive Healthcare (2023, </w:t>
        </w:r>
        <w:r w:rsidRPr="004B2221">
          <w:rPr>
            <w:rStyle w:val="Hyperlink"/>
            <w:rFonts w:eastAsiaTheme="minorHAnsi"/>
          </w:rPr>
          <w:t>amended May 2025</w:t>
        </w:r>
        <w:r w:rsidRPr="007E591C">
          <w:rPr>
            <w:rStyle w:val="Hyperlink"/>
            <w:rFonts w:eastAsiaTheme="minorHAnsi"/>
          </w:rPr>
          <w:t>) Switching or Starting Methods of Contraception (</w:t>
        </w:r>
        <w:proofErr w:type="gramStart"/>
        <w:r w:rsidRPr="007E591C">
          <w:rPr>
            <w:rStyle w:val="Hyperlink"/>
            <w:rFonts w:eastAsiaTheme="minorHAnsi"/>
          </w:rPr>
          <w:t>log in</w:t>
        </w:r>
        <w:proofErr w:type="gramEnd"/>
        <w:r w:rsidRPr="007E591C">
          <w:rPr>
            <w:rStyle w:val="Hyperlink"/>
            <w:rFonts w:eastAsiaTheme="minorHAnsi"/>
          </w:rPr>
          <w:t xml:space="preserve"> required)</w:t>
        </w:r>
      </w:hyperlink>
    </w:p>
    <w:bookmarkStart w:id="4" w:name="_Hlk221203807"/>
    <w:p w14:paraId="5D8DC403" w14:textId="646985FF" w:rsidR="005D42E4" w:rsidRPr="004B2221" w:rsidRDefault="007E591C" w:rsidP="00084942">
      <w:pPr>
        <w:pStyle w:val="ListParagraph"/>
        <w:numPr>
          <w:ilvl w:val="0"/>
          <w:numId w:val="25"/>
        </w:numPr>
        <w:rPr>
          <w:rStyle w:val="Hyperlink"/>
          <w:rFonts w:eastAsiaTheme="minorHAnsi"/>
          <w:lang w:val="en-GB"/>
        </w:rPr>
      </w:pPr>
      <w:r w:rsidRPr="004B2221">
        <w:rPr>
          <w:rStyle w:val="Hyperlink"/>
          <w:rFonts w:eastAsiaTheme="minorHAnsi"/>
          <w:lang w:val="en-GB"/>
        </w:rPr>
        <w:fldChar w:fldCharType="begin"/>
      </w:r>
      <w:r w:rsidRPr="004B2221">
        <w:rPr>
          <w:rStyle w:val="Hyperlink"/>
          <w:rFonts w:eastAsiaTheme="minorHAnsi"/>
          <w:lang w:val="en-GB"/>
        </w:rPr>
        <w:instrText>HYPERLINK "https://www.cosrh.org/Public/Documents/fsrh-service-standards-for-resuscitation.aspx"</w:instrText>
      </w:r>
      <w:r w:rsidRPr="004B2221">
        <w:rPr>
          <w:rStyle w:val="Hyperlink"/>
          <w:rFonts w:eastAsiaTheme="minorHAnsi"/>
          <w:lang w:val="en-GB"/>
        </w:rPr>
      </w:r>
      <w:r w:rsidRPr="004B2221">
        <w:rPr>
          <w:rStyle w:val="Hyperlink"/>
          <w:rFonts w:eastAsiaTheme="minorHAnsi"/>
          <w:lang w:val="en-GB"/>
        </w:rPr>
        <w:fldChar w:fldCharType="separate"/>
      </w:r>
      <w:r w:rsidR="00084942" w:rsidRPr="004B2221">
        <w:rPr>
          <w:rStyle w:val="Hyperlink"/>
          <w:rFonts w:eastAsiaTheme="minorHAnsi"/>
          <w:lang w:val="en-GB"/>
        </w:rPr>
        <w:t>College of Sexual and Reproductive Healthcare (December 2022) Service Standards for Resuscitation in Sexual and Reproductive Healthcare Services</w:t>
      </w:r>
      <w:bookmarkEnd w:id="4"/>
      <w:r w:rsidRPr="004B2221">
        <w:rPr>
          <w:rStyle w:val="Hyperlink"/>
          <w:rFonts w:eastAsiaTheme="minorHAnsi"/>
          <w:lang w:val="en-GB"/>
        </w:rPr>
        <w:fldChar w:fldCharType="end"/>
      </w:r>
    </w:p>
    <w:sectPr w:rsidR="005D42E4" w:rsidRPr="004B2221" w:rsidSect="009320A1">
      <w:headerReference w:type="even" r:id="rId29"/>
      <w:headerReference w:type="default" r:id="rId30"/>
      <w:foot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D9A5" w14:textId="77777777" w:rsidR="005C64C9" w:rsidRDefault="005C64C9" w:rsidP="008351E1">
      <w:pPr>
        <w:spacing w:after="0" w:line="240" w:lineRule="auto"/>
      </w:pPr>
      <w:r>
        <w:separator/>
      </w:r>
    </w:p>
  </w:endnote>
  <w:endnote w:type="continuationSeparator" w:id="0">
    <w:p w14:paraId="434D87FB" w14:textId="77777777" w:rsidR="005C64C9" w:rsidRDefault="005C64C9" w:rsidP="0083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2551"/>
    </w:tblGrid>
    <w:tr w:rsidR="00D00B34" w:rsidRPr="00D00B34" w14:paraId="5FAB669A" w14:textId="77777777" w:rsidTr="00C00E0A">
      <w:tc>
        <w:tcPr>
          <w:tcW w:w="2439" w:type="dxa"/>
        </w:tcPr>
        <w:p w14:paraId="4EE0120B" w14:textId="63F6CBAE" w:rsidR="00D00B34" w:rsidRPr="00D00B34" w:rsidRDefault="00467E00"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Pr>
              <w:rFonts w:ascii="Arial" w:eastAsia="Times New Roman" w:hAnsi="Arial" w:cs="Arial"/>
              <w:b/>
              <w:bCs/>
              <w:sz w:val="18"/>
              <w:szCs w:val="18"/>
            </w:rPr>
            <w:t>Valid from</w:t>
          </w:r>
          <w:r w:rsidR="00D00B34" w:rsidRPr="00D00B34">
            <w:rPr>
              <w:rFonts w:ascii="Arial" w:eastAsia="Times New Roman" w:hAnsi="Arial" w:cs="Arial"/>
              <w:b/>
              <w:bCs/>
              <w:sz w:val="18"/>
              <w:szCs w:val="18"/>
            </w:rPr>
            <w:t xml:space="preserve"> date:</w:t>
          </w:r>
        </w:p>
      </w:tc>
      <w:tc>
        <w:tcPr>
          <w:tcW w:w="2551" w:type="dxa"/>
        </w:tcPr>
        <w:p w14:paraId="05210AE3" w14:textId="79FD5F0B" w:rsidR="00D00B34" w:rsidRPr="00847EBD" w:rsidRDefault="0094146E"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847EBD">
            <w:rPr>
              <w:rFonts w:ascii="Arial" w:eastAsia="Times New Roman" w:hAnsi="Arial" w:cs="Arial"/>
              <w:sz w:val="18"/>
              <w:szCs w:val="18"/>
              <w:lang w:eastAsia="en-GB"/>
            </w:rPr>
            <w:t>1</w:t>
          </w:r>
          <w:r w:rsidRPr="00847EBD">
            <w:rPr>
              <w:rFonts w:ascii="Arial" w:eastAsia="Times New Roman" w:hAnsi="Arial" w:cs="Arial"/>
              <w:sz w:val="18"/>
              <w:szCs w:val="18"/>
              <w:vertAlign w:val="superscript"/>
              <w:lang w:eastAsia="en-GB"/>
            </w:rPr>
            <w:t>st</w:t>
          </w:r>
          <w:r w:rsidRPr="00847EBD">
            <w:rPr>
              <w:rFonts w:ascii="Arial" w:eastAsia="Times New Roman" w:hAnsi="Arial" w:cs="Arial"/>
              <w:sz w:val="18"/>
              <w:szCs w:val="18"/>
              <w:lang w:eastAsia="en-GB"/>
            </w:rPr>
            <w:t xml:space="preserve"> </w:t>
          </w:r>
          <w:r w:rsidR="00E44DAF" w:rsidRPr="00847EBD">
            <w:rPr>
              <w:rFonts w:ascii="Arial" w:eastAsia="Times New Roman" w:hAnsi="Arial" w:cs="Arial"/>
              <w:sz w:val="18"/>
              <w:szCs w:val="18"/>
              <w:lang w:eastAsia="en-GB"/>
            </w:rPr>
            <w:t>October 202</w:t>
          </w:r>
          <w:r w:rsidR="00091292" w:rsidRPr="00847EBD">
            <w:rPr>
              <w:rFonts w:ascii="Arial" w:eastAsia="Times New Roman" w:hAnsi="Arial" w:cs="Arial"/>
              <w:sz w:val="18"/>
              <w:szCs w:val="18"/>
              <w:lang w:eastAsia="en-GB"/>
            </w:rPr>
            <w:t>6</w:t>
          </w:r>
        </w:p>
      </w:tc>
    </w:tr>
    <w:tr w:rsidR="00D00B34" w:rsidRPr="00D00B34" w14:paraId="2DCE3793" w14:textId="77777777" w:rsidTr="004B11FA">
      <w:trPr>
        <w:trHeight w:val="195"/>
      </w:trPr>
      <w:tc>
        <w:tcPr>
          <w:tcW w:w="2439" w:type="dxa"/>
        </w:tcPr>
        <w:p w14:paraId="4D8C0E5E"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Review date</w:t>
          </w:r>
          <w:r w:rsidR="001C5115">
            <w:rPr>
              <w:rFonts w:ascii="Arial" w:eastAsia="Times New Roman" w:hAnsi="Arial" w:cs="Arial"/>
              <w:b/>
              <w:bCs/>
              <w:sz w:val="18"/>
              <w:szCs w:val="18"/>
            </w:rPr>
            <w:t>:</w:t>
          </w:r>
        </w:p>
      </w:tc>
      <w:tc>
        <w:tcPr>
          <w:tcW w:w="2551" w:type="dxa"/>
        </w:tcPr>
        <w:p w14:paraId="110FFF9F" w14:textId="55C6C822" w:rsidR="00D00B34" w:rsidRPr="00847EBD" w:rsidRDefault="006849B4"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847EBD">
            <w:rPr>
              <w:rFonts w:ascii="Arial" w:eastAsia="Times New Roman" w:hAnsi="Arial" w:cs="Arial"/>
              <w:sz w:val="18"/>
              <w:szCs w:val="18"/>
              <w:lang w:eastAsia="en-GB"/>
            </w:rPr>
            <w:t>1</w:t>
          </w:r>
          <w:r w:rsidRPr="00847EBD">
            <w:rPr>
              <w:rFonts w:ascii="Arial" w:eastAsia="Times New Roman" w:hAnsi="Arial" w:cs="Arial"/>
              <w:sz w:val="18"/>
              <w:szCs w:val="18"/>
              <w:vertAlign w:val="superscript"/>
              <w:lang w:eastAsia="en-GB"/>
            </w:rPr>
            <w:t>st</w:t>
          </w:r>
          <w:r w:rsidRPr="00847EBD">
            <w:rPr>
              <w:rFonts w:ascii="Arial" w:eastAsia="Times New Roman" w:hAnsi="Arial" w:cs="Arial"/>
              <w:sz w:val="18"/>
              <w:szCs w:val="18"/>
              <w:lang w:eastAsia="en-GB"/>
            </w:rPr>
            <w:t xml:space="preserve"> April 202</w:t>
          </w:r>
          <w:r w:rsidR="00091292" w:rsidRPr="00847EBD">
            <w:rPr>
              <w:rFonts w:ascii="Arial" w:eastAsia="Times New Roman" w:hAnsi="Arial" w:cs="Arial"/>
              <w:sz w:val="18"/>
              <w:szCs w:val="18"/>
              <w:lang w:eastAsia="en-GB"/>
            </w:rPr>
            <w:t>9</w:t>
          </w:r>
        </w:p>
      </w:tc>
    </w:tr>
    <w:tr w:rsidR="00D00B34" w:rsidRPr="00D00B34" w14:paraId="438A7AE2" w14:textId="77777777" w:rsidTr="00C00E0A">
      <w:tc>
        <w:tcPr>
          <w:tcW w:w="2439" w:type="dxa"/>
        </w:tcPr>
        <w:p w14:paraId="5B36E0D0" w14:textId="77777777" w:rsidR="00D00B34" w:rsidRPr="00D00B34" w:rsidRDefault="00D00B34" w:rsidP="00D00B34">
          <w:pPr>
            <w:tabs>
              <w:tab w:val="center" w:pos="3312"/>
              <w:tab w:val="right" w:pos="6624"/>
              <w:tab w:val="left" w:pos="8460"/>
              <w:tab w:val="left" w:pos="9936"/>
            </w:tabs>
            <w:spacing w:after="0" w:line="240" w:lineRule="auto"/>
            <w:rPr>
              <w:rFonts w:ascii="Arial" w:eastAsia="Times New Roman" w:hAnsi="Arial" w:cs="Arial"/>
              <w:b/>
              <w:bCs/>
              <w:sz w:val="18"/>
              <w:szCs w:val="18"/>
            </w:rPr>
          </w:pPr>
          <w:r w:rsidRPr="00D00B34">
            <w:rPr>
              <w:rFonts w:ascii="Arial" w:eastAsia="Times New Roman" w:hAnsi="Arial" w:cs="Arial"/>
              <w:b/>
              <w:bCs/>
              <w:sz w:val="18"/>
              <w:szCs w:val="18"/>
            </w:rPr>
            <w:t xml:space="preserve">Expiry date: </w:t>
          </w:r>
        </w:p>
      </w:tc>
      <w:tc>
        <w:tcPr>
          <w:tcW w:w="2551" w:type="dxa"/>
        </w:tcPr>
        <w:p w14:paraId="635B604E" w14:textId="6ECFA97E" w:rsidR="00D00B34" w:rsidRPr="00847EBD" w:rsidRDefault="002A492B" w:rsidP="00D00B34">
          <w:pPr>
            <w:tabs>
              <w:tab w:val="center" w:pos="3312"/>
              <w:tab w:val="right" w:pos="6624"/>
              <w:tab w:val="left" w:pos="8460"/>
              <w:tab w:val="left" w:pos="9936"/>
            </w:tabs>
            <w:spacing w:after="0" w:line="240" w:lineRule="auto"/>
            <w:rPr>
              <w:rFonts w:ascii="Arial" w:eastAsia="Times New Roman" w:hAnsi="Arial" w:cs="Arial"/>
              <w:sz w:val="18"/>
              <w:szCs w:val="18"/>
            </w:rPr>
          </w:pPr>
          <w:r w:rsidRPr="00847EBD">
            <w:rPr>
              <w:rFonts w:ascii="Arial" w:eastAsia="Times New Roman" w:hAnsi="Arial" w:cs="Arial"/>
              <w:sz w:val="18"/>
              <w:szCs w:val="18"/>
              <w:lang w:eastAsia="en-GB"/>
            </w:rPr>
            <w:t>30</w:t>
          </w:r>
          <w:r w:rsidRPr="00847EBD">
            <w:rPr>
              <w:rFonts w:ascii="Arial" w:eastAsia="Times New Roman" w:hAnsi="Arial" w:cs="Arial"/>
              <w:sz w:val="18"/>
              <w:szCs w:val="18"/>
              <w:vertAlign w:val="superscript"/>
              <w:lang w:eastAsia="en-GB"/>
            </w:rPr>
            <w:t>th</w:t>
          </w:r>
          <w:r w:rsidRPr="00847EBD">
            <w:rPr>
              <w:rFonts w:ascii="Arial" w:eastAsia="Times New Roman" w:hAnsi="Arial" w:cs="Arial"/>
              <w:sz w:val="18"/>
              <w:szCs w:val="18"/>
              <w:lang w:eastAsia="en-GB"/>
            </w:rPr>
            <w:t xml:space="preserve"> September 202</w:t>
          </w:r>
          <w:r w:rsidR="00091292" w:rsidRPr="00847EBD">
            <w:rPr>
              <w:rFonts w:ascii="Arial" w:eastAsia="Times New Roman" w:hAnsi="Arial" w:cs="Arial"/>
              <w:sz w:val="18"/>
              <w:szCs w:val="18"/>
              <w:lang w:eastAsia="en-GB"/>
            </w:rPr>
            <w:t>9</w:t>
          </w:r>
        </w:p>
      </w:tc>
    </w:tr>
  </w:tbl>
  <w:p w14:paraId="3299152E" w14:textId="77777777" w:rsidR="00E03768" w:rsidRDefault="00E03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61D9" w14:textId="77777777" w:rsidR="005C64C9" w:rsidRDefault="005C64C9" w:rsidP="008351E1">
      <w:pPr>
        <w:spacing w:after="0" w:line="240" w:lineRule="auto"/>
      </w:pPr>
      <w:r>
        <w:separator/>
      </w:r>
    </w:p>
  </w:footnote>
  <w:footnote w:type="continuationSeparator" w:id="0">
    <w:p w14:paraId="06EFC0A7" w14:textId="77777777" w:rsidR="005C64C9" w:rsidRDefault="005C64C9" w:rsidP="0083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2B1CE" w14:textId="77777777" w:rsidR="00E03768" w:rsidRDefault="008E0328">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o:spid="_x0000_s1026" type="#_x0000_t136" style="position:absolute;margin-left:0;margin-top:0;width:477.2pt;height:159.05pt;rotation:315;z-index:-251658239;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860" w14:textId="5EE1F1B9" w:rsidR="00095899" w:rsidRPr="00A515E8" w:rsidRDefault="00606A75">
    <w:pPr>
      <w:pStyle w:val="Header"/>
      <w:rPr>
        <w:sz w:val="16"/>
        <w:szCs w:val="16"/>
      </w:rPr>
    </w:pPr>
    <w:r w:rsidRPr="00A515E8">
      <w:rPr>
        <w:sz w:val="16"/>
        <w:szCs w:val="16"/>
      </w:rPr>
      <w:t xml:space="preserve">Text </w:t>
    </w:r>
    <w:r w:rsidRPr="00A515E8">
      <w:rPr>
        <w:sz w:val="16"/>
        <w:szCs w:val="16"/>
        <w:highlight w:val="cyan"/>
      </w:rPr>
      <w:t>[highlighted in blue and in single square brackets]</w:t>
    </w:r>
    <w:r w:rsidRPr="00A515E8">
      <w:rPr>
        <w:sz w:val="16"/>
        <w:szCs w:val="16"/>
      </w:rPr>
      <w:t xml:space="preserve"> should be replaced with the user organisation’s own text. Text </w:t>
    </w:r>
    <w:r w:rsidRPr="00A515E8">
      <w:rPr>
        <w:sz w:val="16"/>
        <w:szCs w:val="16"/>
        <w:highlight w:val="yellow"/>
      </w:rPr>
      <w:t>[[highlighted in yellow and in double square brackets]]</w:t>
    </w:r>
    <w:r w:rsidRPr="00A515E8">
      <w:rPr>
        <w:sz w:val="16"/>
        <w:szCs w:val="16"/>
      </w:rPr>
      <w:t xml:space="preserve"> is advisory text and should be removed in final </w:t>
    </w:r>
    <w:r w:rsidR="00F57271" w:rsidRPr="00A515E8">
      <w:rPr>
        <w:sz w:val="16"/>
        <w:szCs w:val="16"/>
      </w:rPr>
      <w:t>approved</w:t>
    </w:r>
    <w:r w:rsidRPr="00A515E8">
      <w:rPr>
        <w:sz w:val="16"/>
        <w:szCs w:val="16"/>
      </w:rPr>
      <w:t xml:space="preserve"> versions of the </w:t>
    </w:r>
    <w:r w:rsidR="00F57271" w:rsidRPr="00A515E8">
      <w:rPr>
        <w:sz w:val="16"/>
        <w:szCs w:val="16"/>
      </w:rPr>
      <w:t>protocol</w:t>
    </w:r>
    <w:r w:rsidRPr="00A515E8">
      <w:rPr>
        <w:sz w:val="16"/>
        <w:szCs w:val="16"/>
      </w:rPr>
      <w:t>.  It is advised that all non-highlighted text remains in final authorised versions</w:t>
    </w:r>
    <w:r w:rsidR="008E0328">
      <w:rPr>
        <w:rFonts w:ascii="Arial" w:hAnsi="Arial" w:cs="Arial"/>
        <w:noProof/>
        <w:sz w:val="16"/>
        <w:szCs w:val="16"/>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o:spid="_x0000_s1027" type="#_x0000_t136" style="position:absolute;margin-left:0;margin-top:0;width:477.2pt;height:159.05pt;rotation:315;z-index:-25165823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53B2" w14:textId="77777777" w:rsidR="00E03768" w:rsidRDefault="008E0328">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o:spid="_x0000_s1025" type="#_x0000_t136" style="position:absolute;margin-left:0;margin-top:0;width:477.2pt;height:159.05pt;rotation:315;z-index:-25165824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E0C46"/>
    <w:multiLevelType w:val="hybridMultilevel"/>
    <w:tmpl w:val="27AC79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BC1909"/>
    <w:multiLevelType w:val="hybridMultilevel"/>
    <w:tmpl w:val="53F440EE"/>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3" w15:restartNumberingAfterBreak="0">
    <w:nsid w:val="121B48E9"/>
    <w:multiLevelType w:val="hybridMultilevel"/>
    <w:tmpl w:val="9CA61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57798"/>
    <w:multiLevelType w:val="hybridMultilevel"/>
    <w:tmpl w:val="45FE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80075"/>
    <w:multiLevelType w:val="hybridMultilevel"/>
    <w:tmpl w:val="B8120A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AE15D29"/>
    <w:multiLevelType w:val="hybridMultilevel"/>
    <w:tmpl w:val="F094E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15D69"/>
    <w:multiLevelType w:val="hybridMultilevel"/>
    <w:tmpl w:val="91444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2D567D"/>
    <w:multiLevelType w:val="hybridMultilevel"/>
    <w:tmpl w:val="93B03E5A"/>
    <w:lvl w:ilvl="0" w:tplc="5CB27D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873C4"/>
    <w:multiLevelType w:val="hybridMultilevel"/>
    <w:tmpl w:val="F47260C4"/>
    <w:lvl w:ilvl="0" w:tplc="B6CE7E98">
      <w:start w:val="1"/>
      <w:numFmt w:val="bullet"/>
      <w:lvlText w:val=""/>
      <w:lvlJc w:val="left"/>
      <w:pPr>
        <w:ind w:left="720" w:hanging="360"/>
      </w:pPr>
      <w:rPr>
        <w:rFonts w:ascii="Symbol" w:hAnsi="Symbol" w:hint="default"/>
        <w:color w:val="0070C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B4D09"/>
    <w:multiLevelType w:val="hybridMultilevel"/>
    <w:tmpl w:val="3800A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FC1F1C"/>
    <w:multiLevelType w:val="hybridMultilevel"/>
    <w:tmpl w:val="7E24A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026D42"/>
    <w:multiLevelType w:val="hybridMultilevel"/>
    <w:tmpl w:val="8A14A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60E79CC"/>
    <w:multiLevelType w:val="hybridMultilevel"/>
    <w:tmpl w:val="9006A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6C42C1E"/>
    <w:multiLevelType w:val="hybridMultilevel"/>
    <w:tmpl w:val="7832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433CD"/>
    <w:multiLevelType w:val="hybridMultilevel"/>
    <w:tmpl w:val="E040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87D95"/>
    <w:multiLevelType w:val="multilevel"/>
    <w:tmpl w:val="9DE858CE"/>
    <w:lvl w:ilvl="0">
      <w:start w:val="1"/>
      <w:numFmt w:val="bullet"/>
      <w:pStyle w:val="Bulletindent1"/>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5B685A"/>
    <w:multiLevelType w:val="multilevel"/>
    <w:tmpl w:val="6C8A4D2A"/>
    <w:styleLink w:val="PGDbullet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9F87C89"/>
    <w:multiLevelType w:val="hybridMultilevel"/>
    <w:tmpl w:val="CF0690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C010C54"/>
    <w:multiLevelType w:val="hybridMultilevel"/>
    <w:tmpl w:val="A62457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C6805DA"/>
    <w:multiLevelType w:val="hybridMultilevel"/>
    <w:tmpl w:val="60B682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FD686F"/>
    <w:multiLevelType w:val="hybridMultilevel"/>
    <w:tmpl w:val="68D07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382A5A"/>
    <w:multiLevelType w:val="hybridMultilevel"/>
    <w:tmpl w:val="3D02C528"/>
    <w:lvl w:ilvl="0" w:tplc="0262C1CA">
      <w:start w:val="1"/>
      <w:numFmt w:val="bullet"/>
      <w:pStyle w:val="PGDtablebullet0"/>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33237"/>
    <w:multiLevelType w:val="hybridMultilevel"/>
    <w:tmpl w:val="6C30F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E8555D"/>
    <w:multiLevelType w:val="hybridMultilevel"/>
    <w:tmpl w:val="56A0C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EB2EAA"/>
    <w:multiLevelType w:val="hybridMultilevel"/>
    <w:tmpl w:val="E6FE3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553A6A"/>
    <w:multiLevelType w:val="hybridMultilevel"/>
    <w:tmpl w:val="93C6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227521"/>
    <w:multiLevelType w:val="hybridMultilevel"/>
    <w:tmpl w:val="74D8E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E76D2F"/>
    <w:multiLevelType w:val="hybridMultilevel"/>
    <w:tmpl w:val="E1F8A2F4"/>
    <w:lvl w:ilvl="0" w:tplc="08090001">
      <w:start w:val="1"/>
      <w:numFmt w:val="bullet"/>
      <w:lvlText w:val=""/>
      <w:lvlJc w:val="left"/>
      <w:pPr>
        <w:ind w:left="595" w:hanging="360"/>
      </w:pPr>
      <w:rPr>
        <w:rFonts w:ascii="Symbol" w:hAnsi="Symbol" w:hint="default"/>
      </w:rPr>
    </w:lvl>
    <w:lvl w:ilvl="1" w:tplc="08090003" w:tentative="1">
      <w:start w:val="1"/>
      <w:numFmt w:val="bullet"/>
      <w:lvlText w:val="o"/>
      <w:lvlJc w:val="left"/>
      <w:pPr>
        <w:ind w:left="1315" w:hanging="360"/>
      </w:pPr>
      <w:rPr>
        <w:rFonts w:ascii="Courier New" w:hAnsi="Courier New" w:cs="Courier New" w:hint="default"/>
      </w:rPr>
    </w:lvl>
    <w:lvl w:ilvl="2" w:tplc="08090005" w:tentative="1">
      <w:start w:val="1"/>
      <w:numFmt w:val="bullet"/>
      <w:lvlText w:val=""/>
      <w:lvlJc w:val="left"/>
      <w:pPr>
        <w:ind w:left="2035" w:hanging="360"/>
      </w:pPr>
      <w:rPr>
        <w:rFonts w:ascii="Wingdings" w:hAnsi="Wingdings" w:hint="default"/>
      </w:rPr>
    </w:lvl>
    <w:lvl w:ilvl="3" w:tplc="08090001" w:tentative="1">
      <w:start w:val="1"/>
      <w:numFmt w:val="bullet"/>
      <w:lvlText w:val=""/>
      <w:lvlJc w:val="left"/>
      <w:pPr>
        <w:ind w:left="2755" w:hanging="360"/>
      </w:pPr>
      <w:rPr>
        <w:rFonts w:ascii="Symbol" w:hAnsi="Symbol" w:hint="default"/>
      </w:rPr>
    </w:lvl>
    <w:lvl w:ilvl="4" w:tplc="08090003" w:tentative="1">
      <w:start w:val="1"/>
      <w:numFmt w:val="bullet"/>
      <w:lvlText w:val="o"/>
      <w:lvlJc w:val="left"/>
      <w:pPr>
        <w:ind w:left="3475" w:hanging="360"/>
      </w:pPr>
      <w:rPr>
        <w:rFonts w:ascii="Courier New" w:hAnsi="Courier New" w:cs="Courier New" w:hint="default"/>
      </w:rPr>
    </w:lvl>
    <w:lvl w:ilvl="5" w:tplc="08090005" w:tentative="1">
      <w:start w:val="1"/>
      <w:numFmt w:val="bullet"/>
      <w:lvlText w:val=""/>
      <w:lvlJc w:val="left"/>
      <w:pPr>
        <w:ind w:left="4195" w:hanging="360"/>
      </w:pPr>
      <w:rPr>
        <w:rFonts w:ascii="Wingdings" w:hAnsi="Wingdings" w:hint="default"/>
      </w:rPr>
    </w:lvl>
    <w:lvl w:ilvl="6" w:tplc="08090001" w:tentative="1">
      <w:start w:val="1"/>
      <w:numFmt w:val="bullet"/>
      <w:lvlText w:val=""/>
      <w:lvlJc w:val="left"/>
      <w:pPr>
        <w:ind w:left="4915" w:hanging="360"/>
      </w:pPr>
      <w:rPr>
        <w:rFonts w:ascii="Symbol" w:hAnsi="Symbol" w:hint="default"/>
      </w:rPr>
    </w:lvl>
    <w:lvl w:ilvl="7" w:tplc="08090003" w:tentative="1">
      <w:start w:val="1"/>
      <w:numFmt w:val="bullet"/>
      <w:lvlText w:val="o"/>
      <w:lvlJc w:val="left"/>
      <w:pPr>
        <w:ind w:left="5635" w:hanging="360"/>
      </w:pPr>
      <w:rPr>
        <w:rFonts w:ascii="Courier New" w:hAnsi="Courier New" w:cs="Courier New" w:hint="default"/>
      </w:rPr>
    </w:lvl>
    <w:lvl w:ilvl="8" w:tplc="08090005" w:tentative="1">
      <w:start w:val="1"/>
      <w:numFmt w:val="bullet"/>
      <w:lvlText w:val=""/>
      <w:lvlJc w:val="left"/>
      <w:pPr>
        <w:ind w:left="6355" w:hanging="360"/>
      </w:pPr>
      <w:rPr>
        <w:rFonts w:ascii="Wingdings" w:hAnsi="Wingdings" w:hint="default"/>
      </w:rPr>
    </w:lvl>
  </w:abstractNum>
  <w:abstractNum w:abstractNumId="30" w15:restartNumberingAfterBreak="0">
    <w:nsid w:val="67394D61"/>
    <w:multiLevelType w:val="hybridMultilevel"/>
    <w:tmpl w:val="624A2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CD5171"/>
    <w:multiLevelType w:val="hybridMultilevel"/>
    <w:tmpl w:val="5DD8AF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6F4E48"/>
    <w:multiLevelType w:val="hybridMultilevel"/>
    <w:tmpl w:val="272C3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AA2C9E"/>
    <w:multiLevelType w:val="hybridMultilevel"/>
    <w:tmpl w:val="C82CB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36F32"/>
    <w:multiLevelType w:val="hybridMultilevel"/>
    <w:tmpl w:val="083C3B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7C56EB"/>
    <w:multiLevelType w:val="hybridMultilevel"/>
    <w:tmpl w:val="55E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4777E7"/>
    <w:multiLevelType w:val="hybridMultilevel"/>
    <w:tmpl w:val="4C744D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C65D83"/>
    <w:multiLevelType w:val="hybridMultilevel"/>
    <w:tmpl w:val="4DDE9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968387646">
    <w:abstractNumId w:val="30"/>
  </w:num>
  <w:num w:numId="2" w16cid:durableId="1370033145">
    <w:abstractNumId w:val="37"/>
  </w:num>
  <w:num w:numId="3" w16cid:durableId="1142039546">
    <w:abstractNumId w:val="29"/>
  </w:num>
  <w:num w:numId="4" w16cid:durableId="1846703737">
    <w:abstractNumId w:val="2"/>
  </w:num>
  <w:num w:numId="5" w16cid:durableId="1258909024">
    <w:abstractNumId w:val="11"/>
  </w:num>
  <w:num w:numId="6" w16cid:durableId="492533226">
    <w:abstractNumId w:val="22"/>
  </w:num>
  <w:num w:numId="7" w16cid:durableId="1748111121">
    <w:abstractNumId w:val="7"/>
  </w:num>
  <w:num w:numId="8" w16cid:durableId="192235911">
    <w:abstractNumId w:val="36"/>
  </w:num>
  <w:num w:numId="9" w16cid:durableId="943464937">
    <w:abstractNumId w:val="21"/>
  </w:num>
  <w:num w:numId="10" w16cid:durableId="1058893438">
    <w:abstractNumId w:val="39"/>
  </w:num>
  <w:num w:numId="11" w16cid:durableId="140735224">
    <w:abstractNumId w:val="12"/>
  </w:num>
  <w:num w:numId="12" w16cid:durableId="308903209">
    <w:abstractNumId w:val="5"/>
  </w:num>
  <w:num w:numId="13" w16cid:durableId="2084257975">
    <w:abstractNumId w:val="18"/>
  </w:num>
  <w:num w:numId="14" w16cid:durableId="185095276">
    <w:abstractNumId w:val="0"/>
  </w:num>
  <w:num w:numId="15" w16cid:durableId="788016992">
    <w:abstractNumId w:val="8"/>
  </w:num>
  <w:num w:numId="16" w16cid:durableId="541721032">
    <w:abstractNumId w:val="40"/>
  </w:num>
  <w:num w:numId="17" w16cid:durableId="1475486033">
    <w:abstractNumId w:val="35"/>
  </w:num>
  <w:num w:numId="18" w16cid:durableId="277294485">
    <w:abstractNumId w:val="38"/>
  </w:num>
  <w:num w:numId="19" w16cid:durableId="1255826029">
    <w:abstractNumId w:val="16"/>
  </w:num>
  <w:num w:numId="20" w16cid:durableId="998507175">
    <w:abstractNumId w:val="28"/>
  </w:num>
  <w:num w:numId="21" w16cid:durableId="1036806473">
    <w:abstractNumId w:val="33"/>
  </w:num>
  <w:num w:numId="22" w16cid:durableId="2017224286">
    <w:abstractNumId w:val="26"/>
  </w:num>
  <w:num w:numId="23" w16cid:durableId="836920241">
    <w:abstractNumId w:val="15"/>
  </w:num>
  <w:num w:numId="24" w16cid:durableId="871189481">
    <w:abstractNumId w:val="24"/>
  </w:num>
  <w:num w:numId="25" w16cid:durableId="134614567">
    <w:abstractNumId w:val="10"/>
  </w:num>
  <w:num w:numId="26" w16cid:durableId="414397505">
    <w:abstractNumId w:val="1"/>
  </w:num>
  <w:num w:numId="27" w16cid:durableId="540023099">
    <w:abstractNumId w:val="4"/>
  </w:num>
  <w:num w:numId="28" w16cid:durableId="1827866132">
    <w:abstractNumId w:val="27"/>
  </w:num>
  <w:num w:numId="29" w16cid:durableId="192573099">
    <w:abstractNumId w:val="25"/>
  </w:num>
  <w:num w:numId="30" w16cid:durableId="1744178744">
    <w:abstractNumId w:val="6"/>
  </w:num>
  <w:num w:numId="31" w16cid:durableId="868566879">
    <w:abstractNumId w:val="3"/>
  </w:num>
  <w:num w:numId="32" w16cid:durableId="352417450">
    <w:abstractNumId w:val="9"/>
  </w:num>
  <w:num w:numId="33" w16cid:durableId="1319267660">
    <w:abstractNumId w:val="34"/>
  </w:num>
  <w:num w:numId="34" w16cid:durableId="645280562">
    <w:abstractNumId w:val="23"/>
  </w:num>
  <w:num w:numId="35" w16cid:durableId="709040431">
    <w:abstractNumId w:val="20"/>
  </w:num>
  <w:num w:numId="36" w16cid:durableId="1585644164">
    <w:abstractNumId w:val="31"/>
  </w:num>
  <w:num w:numId="37" w16cid:durableId="745345697">
    <w:abstractNumId w:val="19"/>
  </w:num>
  <w:num w:numId="38" w16cid:durableId="2050762934">
    <w:abstractNumId w:val="14"/>
  </w:num>
  <w:num w:numId="39" w16cid:durableId="1600674381">
    <w:abstractNumId w:val="13"/>
  </w:num>
  <w:num w:numId="40" w16cid:durableId="1496384920">
    <w:abstractNumId w:val="17"/>
  </w:num>
  <w:num w:numId="41" w16cid:durableId="2885594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34850"/>
    <w:rsid w:val="00047F40"/>
    <w:rsid w:val="00063BE0"/>
    <w:rsid w:val="00084942"/>
    <w:rsid w:val="00091292"/>
    <w:rsid w:val="00095899"/>
    <w:rsid w:val="000A45A8"/>
    <w:rsid w:val="000A6426"/>
    <w:rsid w:val="000A7377"/>
    <w:rsid w:val="000B3EA7"/>
    <w:rsid w:val="000C2C48"/>
    <w:rsid w:val="000C43AD"/>
    <w:rsid w:val="000C4D7A"/>
    <w:rsid w:val="000C5E4F"/>
    <w:rsid w:val="000D53A3"/>
    <w:rsid w:val="000D5538"/>
    <w:rsid w:val="000D715F"/>
    <w:rsid w:val="000E0CB5"/>
    <w:rsid w:val="000F1AD9"/>
    <w:rsid w:val="001055A5"/>
    <w:rsid w:val="0014349F"/>
    <w:rsid w:val="00144B49"/>
    <w:rsid w:val="00145F9A"/>
    <w:rsid w:val="00152A8F"/>
    <w:rsid w:val="00154BA8"/>
    <w:rsid w:val="00157E5F"/>
    <w:rsid w:val="00157FB6"/>
    <w:rsid w:val="00160E9A"/>
    <w:rsid w:val="0016248C"/>
    <w:rsid w:val="00163C36"/>
    <w:rsid w:val="001672FD"/>
    <w:rsid w:val="00172B28"/>
    <w:rsid w:val="00182EE2"/>
    <w:rsid w:val="00193E2C"/>
    <w:rsid w:val="001953DB"/>
    <w:rsid w:val="00195CE7"/>
    <w:rsid w:val="001C2F78"/>
    <w:rsid w:val="001C5115"/>
    <w:rsid w:val="001D22C6"/>
    <w:rsid w:val="001E11C8"/>
    <w:rsid w:val="001F0D8B"/>
    <w:rsid w:val="001F1C6C"/>
    <w:rsid w:val="001F21DB"/>
    <w:rsid w:val="001F5D2F"/>
    <w:rsid w:val="0020305E"/>
    <w:rsid w:val="00204B15"/>
    <w:rsid w:val="002075B8"/>
    <w:rsid w:val="002228EC"/>
    <w:rsid w:val="00227CA3"/>
    <w:rsid w:val="00231C4A"/>
    <w:rsid w:val="00235205"/>
    <w:rsid w:val="00257FAA"/>
    <w:rsid w:val="0026613D"/>
    <w:rsid w:val="00272D07"/>
    <w:rsid w:val="002738A1"/>
    <w:rsid w:val="002768B9"/>
    <w:rsid w:val="0029049C"/>
    <w:rsid w:val="00293DE8"/>
    <w:rsid w:val="002A492B"/>
    <w:rsid w:val="002B00E3"/>
    <w:rsid w:val="002C49DD"/>
    <w:rsid w:val="002C4D04"/>
    <w:rsid w:val="002D4D6F"/>
    <w:rsid w:val="003325F8"/>
    <w:rsid w:val="003466C5"/>
    <w:rsid w:val="0035111D"/>
    <w:rsid w:val="00362AB5"/>
    <w:rsid w:val="00372E98"/>
    <w:rsid w:val="00376816"/>
    <w:rsid w:val="003C4B31"/>
    <w:rsid w:val="003C5372"/>
    <w:rsid w:val="003E10EC"/>
    <w:rsid w:val="003E5289"/>
    <w:rsid w:val="00414E72"/>
    <w:rsid w:val="00417E8F"/>
    <w:rsid w:val="00430D13"/>
    <w:rsid w:val="0044344D"/>
    <w:rsid w:val="00447B1E"/>
    <w:rsid w:val="00467E00"/>
    <w:rsid w:val="004757C5"/>
    <w:rsid w:val="00482BFD"/>
    <w:rsid w:val="004A1E64"/>
    <w:rsid w:val="004A59D5"/>
    <w:rsid w:val="004A6411"/>
    <w:rsid w:val="004B11FA"/>
    <w:rsid w:val="004B2221"/>
    <w:rsid w:val="004B7153"/>
    <w:rsid w:val="004C0618"/>
    <w:rsid w:val="004C10FC"/>
    <w:rsid w:val="004C7C36"/>
    <w:rsid w:val="004D3EF9"/>
    <w:rsid w:val="004E5AC8"/>
    <w:rsid w:val="004E5F91"/>
    <w:rsid w:val="004F7DAB"/>
    <w:rsid w:val="00511B83"/>
    <w:rsid w:val="00511CA0"/>
    <w:rsid w:val="00513AD7"/>
    <w:rsid w:val="0053021D"/>
    <w:rsid w:val="005319D3"/>
    <w:rsid w:val="00544E83"/>
    <w:rsid w:val="005518E4"/>
    <w:rsid w:val="00552F5B"/>
    <w:rsid w:val="00566ED3"/>
    <w:rsid w:val="005734C4"/>
    <w:rsid w:val="0057471B"/>
    <w:rsid w:val="00580691"/>
    <w:rsid w:val="005926F8"/>
    <w:rsid w:val="005A45CB"/>
    <w:rsid w:val="005A7A21"/>
    <w:rsid w:val="005C64C9"/>
    <w:rsid w:val="005D076D"/>
    <w:rsid w:val="005D0951"/>
    <w:rsid w:val="005D42E4"/>
    <w:rsid w:val="005E26B1"/>
    <w:rsid w:val="005F3057"/>
    <w:rsid w:val="005F70BC"/>
    <w:rsid w:val="0060609E"/>
    <w:rsid w:val="00606A75"/>
    <w:rsid w:val="00614889"/>
    <w:rsid w:val="00616316"/>
    <w:rsid w:val="0062769D"/>
    <w:rsid w:val="00627EEA"/>
    <w:rsid w:val="00650A80"/>
    <w:rsid w:val="00661148"/>
    <w:rsid w:val="006615E3"/>
    <w:rsid w:val="0066394A"/>
    <w:rsid w:val="0066725C"/>
    <w:rsid w:val="00672C03"/>
    <w:rsid w:val="00680056"/>
    <w:rsid w:val="006849B4"/>
    <w:rsid w:val="0069630E"/>
    <w:rsid w:val="00697D56"/>
    <w:rsid w:val="006C14DD"/>
    <w:rsid w:val="006C2215"/>
    <w:rsid w:val="006D29B6"/>
    <w:rsid w:val="006D7041"/>
    <w:rsid w:val="006E65B6"/>
    <w:rsid w:val="006F25CD"/>
    <w:rsid w:val="007065D5"/>
    <w:rsid w:val="00706DF2"/>
    <w:rsid w:val="0071569B"/>
    <w:rsid w:val="00717CFB"/>
    <w:rsid w:val="00717E67"/>
    <w:rsid w:val="0072356A"/>
    <w:rsid w:val="00730C57"/>
    <w:rsid w:val="0073312F"/>
    <w:rsid w:val="00762BA6"/>
    <w:rsid w:val="00780340"/>
    <w:rsid w:val="007838B3"/>
    <w:rsid w:val="00785611"/>
    <w:rsid w:val="00790ED6"/>
    <w:rsid w:val="007914A3"/>
    <w:rsid w:val="007A1C52"/>
    <w:rsid w:val="007A289C"/>
    <w:rsid w:val="007B20B3"/>
    <w:rsid w:val="007E321D"/>
    <w:rsid w:val="007E3B37"/>
    <w:rsid w:val="007E419D"/>
    <w:rsid w:val="007E591C"/>
    <w:rsid w:val="007E666C"/>
    <w:rsid w:val="00815D6A"/>
    <w:rsid w:val="0081779B"/>
    <w:rsid w:val="00825B15"/>
    <w:rsid w:val="00832EE5"/>
    <w:rsid w:val="008351E1"/>
    <w:rsid w:val="008403F8"/>
    <w:rsid w:val="00841ACB"/>
    <w:rsid w:val="00843EC0"/>
    <w:rsid w:val="00846959"/>
    <w:rsid w:val="00846AE1"/>
    <w:rsid w:val="00847EBD"/>
    <w:rsid w:val="008621D2"/>
    <w:rsid w:val="00877F44"/>
    <w:rsid w:val="00880E26"/>
    <w:rsid w:val="00890751"/>
    <w:rsid w:val="008A46A8"/>
    <w:rsid w:val="008B3FB9"/>
    <w:rsid w:val="008C4917"/>
    <w:rsid w:val="008D4182"/>
    <w:rsid w:val="008D5CA8"/>
    <w:rsid w:val="008E0328"/>
    <w:rsid w:val="008E79A2"/>
    <w:rsid w:val="0092657F"/>
    <w:rsid w:val="009307D8"/>
    <w:rsid w:val="009320A1"/>
    <w:rsid w:val="00935178"/>
    <w:rsid w:val="0094146E"/>
    <w:rsid w:val="00942478"/>
    <w:rsid w:val="009501C9"/>
    <w:rsid w:val="00956991"/>
    <w:rsid w:val="00984CD7"/>
    <w:rsid w:val="00986F38"/>
    <w:rsid w:val="00986FB0"/>
    <w:rsid w:val="00987EE0"/>
    <w:rsid w:val="009A4D22"/>
    <w:rsid w:val="009B2692"/>
    <w:rsid w:val="009C57C0"/>
    <w:rsid w:val="009E12FA"/>
    <w:rsid w:val="009F6A78"/>
    <w:rsid w:val="00A02FB9"/>
    <w:rsid w:val="00A03016"/>
    <w:rsid w:val="00A05D4F"/>
    <w:rsid w:val="00A1624F"/>
    <w:rsid w:val="00A25F65"/>
    <w:rsid w:val="00A309FD"/>
    <w:rsid w:val="00A32C66"/>
    <w:rsid w:val="00A34AEE"/>
    <w:rsid w:val="00A37054"/>
    <w:rsid w:val="00A37C65"/>
    <w:rsid w:val="00A40C01"/>
    <w:rsid w:val="00A515E8"/>
    <w:rsid w:val="00A60047"/>
    <w:rsid w:val="00A6026E"/>
    <w:rsid w:val="00A74E61"/>
    <w:rsid w:val="00A932EC"/>
    <w:rsid w:val="00AA6BED"/>
    <w:rsid w:val="00AA74FC"/>
    <w:rsid w:val="00AB6CCC"/>
    <w:rsid w:val="00AD0DBC"/>
    <w:rsid w:val="00AD559A"/>
    <w:rsid w:val="00AE3CCE"/>
    <w:rsid w:val="00AE4804"/>
    <w:rsid w:val="00AF3FDA"/>
    <w:rsid w:val="00B030D5"/>
    <w:rsid w:val="00B0456D"/>
    <w:rsid w:val="00B0706B"/>
    <w:rsid w:val="00B152C1"/>
    <w:rsid w:val="00B2095F"/>
    <w:rsid w:val="00B21C72"/>
    <w:rsid w:val="00B24EFC"/>
    <w:rsid w:val="00B34FC0"/>
    <w:rsid w:val="00B372DC"/>
    <w:rsid w:val="00B47A23"/>
    <w:rsid w:val="00B50D71"/>
    <w:rsid w:val="00B52803"/>
    <w:rsid w:val="00B72DDD"/>
    <w:rsid w:val="00B758C6"/>
    <w:rsid w:val="00B835B8"/>
    <w:rsid w:val="00B840B6"/>
    <w:rsid w:val="00B876F7"/>
    <w:rsid w:val="00B9564B"/>
    <w:rsid w:val="00BB2DA1"/>
    <w:rsid w:val="00BB5EAA"/>
    <w:rsid w:val="00BC08E7"/>
    <w:rsid w:val="00BC3D0E"/>
    <w:rsid w:val="00BE616A"/>
    <w:rsid w:val="00BE7375"/>
    <w:rsid w:val="00BF22E3"/>
    <w:rsid w:val="00C05482"/>
    <w:rsid w:val="00C0713F"/>
    <w:rsid w:val="00C14A6A"/>
    <w:rsid w:val="00C33E2A"/>
    <w:rsid w:val="00C36ECC"/>
    <w:rsid w:val="00C37CCC"/>
    <w:rsid w:val="00C40CE9"/>
    <w:rsid w:val="00C51383"/>
    <w:rsid w:val="00C7000B"/>
    <w:rsid w:val="00C7235B"/>
    <w:rsid w:val="00C732C6"/>
    <w:rsid w:val="00C76A43"/>
    <w:rsid w:val="00C807AE"/>
    <w:rsid w:val="00C926C0"/>
    <w:rsid w:val="00C9447F"/>
    <w:rsid w:val="00C974AB"/>
    <w:rsid w:val="00CA535D"/>
    <w:rsid w:val="00CA5F9F"/>
    <w:rsid w:val="00CD02E8"/>
    <w:rsid w:val="00CD5982"/>
    <w:rsid w:val="00CE3B3D"/>
    <w:rsid w:val="00CE4533"/>
    <w:rsid w:val="00CE5880"/>
    <w:rsid w:val="00CE7F6E"/>
    <w:rsid w:val="00CF4E35"/>
    <w:rsid w:val="00D00B34"/>
    <w:rsid w:val="00D151FB"/>
    <w:rsid w:val="00D37AB5"/>
    <w:rsid w:val="00D42032"/>
    <w:rsid w:val="00D43BAE"/>
    <w:rsid w:val="00D46711"/>
    <w:rsid w:val="00D57CBE"/>
    <w:rsid w:val="00D65648"/>
    <w:rsid w:val="00D74D72"/>
    <w:rsid w:val="00D75C8A"/>
    <w:rsid w:val="00D7648C"/>
    <w:rsid w:val="00D77137"/>
    <w:rsid w:val="00D812C8"/>
    <w:rsid w:val="00D834F6"/>
    <w:rsid w:val="00D836C6"/>
    <w:rsid w:val="00D9064C"/>
    <w:rsid w:val="00DA1288"/>
    <w:rsid w:val="00DA3A0C"/>
    <w:rsid w:val="00DA58D8"/>
    <w:rsid w:val="00DB3BF1"/>
    <w:rsid w:val="00DE005B"/>
    <w:rsid w:val="00DE1513"/>
    <w:rsid w:val="00DE7E5B"/>
    <w:rsid w:val="00DF7DFB"/>
    <w:rsid w:val="00E03768"/>
    <w:rsid w:val="00E077D4"/>
    <w:rsid w:val="00E1300E"/>
    <w:rsid w:val="00E3656F"/>
    <w:rsid w:val="00E44DAF"/>
    <w:rsid w:val="00E4508F"/>
    <w:rsid w:val="00E522FE"/>
    <w:rsid w:val="00E60AB0"/>
    <w:rsid w:val="00E66400"/>
    <w:rsid w:val="00E71A4B"/>
    <w:rsid w:val="00E94852"/>
    <w:rsid w:val="00E953DB"/>
    <w:rsid w:val="00E974C2"/>
    <w:rsid w:val="00EA7320"/>
    <w:rsid w:val="00EC42C0"/>
    <w:rsid w:val="00ED20C6"/>
    <w:rsid w:val="00EE5025"/>
    <w:rsid w:val="00EF2684"/>
    <w:rsid w:val="00EF32E9"/>
    <w:rsid w:val="00EF7203"/>
    <w:rsid w:val="00F16E9B"/>
    <w:rsid w:val="00F269AC"/>
    <w:rsid w:val="00F26AEE"/>
    <w:rsid w:val="00F51413"/>
    <w:rsid w:val="00F57271"/>
    <w:rsid w:val="00F73E8D"/>
    <w:rsid w:val="00F83060"/>
    <w:rsid w:val="00FB0633"/>
    <w:rsid w:val="00FC33AA"/>
    <w:rsid w:val="00FD0A2B"/>
    <w:rsid w:val="00FD6567"/>
    <w:rsid w:val="00FE097C"/>
    <w:rsid w:val="00FE39E4"/>
    <w:rsid w:val="00FF0A6A"/>
    <w:rsid w:val="00FF5819"/>
    <w:rsid w:val="062F72D2"/>
    <w:rsid w:val="4F31BE79"/>
    <w:rsid w:val="56A2BA2A"/>
    <w:rsid w:val="5B73C7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08E"/>
  <w15:docId w15:val="{9161DFDE-234D-4DF7-AB59-4828F8FFB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715F"/>
    <w:rPr>
      <w:rFonts w:ascii="Arial" w:eastAsia="Times New Roman" w:hAnsi="Arial" w:cs="Times New Roman"/>
      <w:color w:val="0563C1" w:themeColor="hyperlink"/>
      <w:sz w:val="24"/>
      <w:szCs w:val="24"/>
      <w:u w:val="single"/>
      <w:lang w:val="en-US"/>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customStyle="1" w:styleId="CommentTextChar">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customStyle="1" w:styleId="CommentSubjectChar">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D00B34"/>
    <w:rPr>
      <w:color w:val="605E5C"/>
      <w:shd w:val="clear" w:color="auto" w:fill="E1DFDD"/>
    </w:rPr>
  </w:style>
  <w:style w:type="numbering" w:customStyle="1" w:styleId="PGDbullet2">
    <w:name w:val="PGD bullet 2"/>
    <w:basedOn w:val="NoList"/>
    <w:rsid w:val="00825B15"/>
    <w:pPr>
      <w:numPr>
        <w:numId w:val="13"/>
      </w:numPr>
    </w:pPr>
  </w:style>
  <w:style w:type="paragraph" w:customStyle="1" w:styleId="PGDHeading2">
    <w:name w:val="PGD Heading 2"/>
    <w:basedOn w:val="Heading2"/>
    <w:rsid w:val="00825B15"/>
    <w:rPr>
      <w:rFonts w:ascii="Arial" w:hAnsi="Arial" w:cs="Arial"/>
      <w:color w:val="auto"/>
      <w:sz w:val="28"/>
      <w:szCs w:val="28"/>
    </w:rPr>
  </w:style>
  <w:style w:type="character" w:customStyle="1" w:styleId="Heading2Char">
    <w:name w:val="Heading 2 Char"/>
    <w:basedOn w:val="DefaultParagraphFont"/>
    <w:link w:val="Heading2"/>
    <w:uiPriority w:val="9"/>
    <w:rsid w:val="00825B15"/>
    <w:rPr>
      <w:rFonts w:asciiTheme="majorHAnsi" w:eastAsiaTheme="majorEastAsia" w:hAnsiTheme="majorHAnsi" w:cstheme="majorBidi"/>
      <w:color w:val="2F5496" w:themeColor="accent1" w:themeShade="BF"/>
      <w:kern w:val="2"/>
      <w:sz w:val="32"/>
      <w:szCs w:val="32"/>
      <w14:ligatures w14:val="standardContextual"/>
    </w:rPr>
  </w:style>
  <w:style w:type="paragraph" w:customStyle="1" w:styleId="PGDlogo">
    <w:name w:val="PGD logo"/>
    <w:basedOn w:val="Normal"/>
    <w:rsid w:val="00825B15"/>
    <w:pPr>
      <w:spacing w:after="240" w:line="360" w:lineRule="auto"/>
      <w:jc w:val="right"/>
    </w:pPr>
    <w:rPr>
      <w:rFonts w:ascii="Arial" w:eastAsia="Times New Roman" w:hAnsi="Arial" w:cs="Times New Roman"/>
      <w:sz w:val="24"/>
      <w:szCs w:val="20"/>
      <w:lang w:val="en-US"/>
    </w:rPr>
  </w:style>
  <w:style w:type="paragraph" w:customStyle="1" w:styleId="PGDLogo0">
    <w:name w:val="PGD Logo"/>
    <w:basedOn w:val="Normal"/>
    <w:rsid w:val="00825B15"/>
    <w:pPr>
      <w:spacing w:after="240" w:line="240" w:lineRule="auto"/>
      <w:jc w:val="right"/>
    </w:pPr>
    <w:rPr>
      <w:rFonts w:ascii="Arial" w:eastAsia="Times New Roman" w:hAnsi="Arial" w:cs="Times New Roman"/>
      <w:szCs w:val="20"/>
      <w:lang w:val="en-US"/>
    </w:rPr>
  </w:style>
  <w:style w:type="paragraph" w:customStyle="1" w:styleId="PGDNormal">
    <w:name w:val="PGD Normal"/>
    <w:basedOn w:val="Normal"/>
    <w:rsid w:val="00825B15"/>
    <w:pPr>
      <w:spacing w:after="240" w:line="240" w:lineRule="auto"/>
    </w:pPr>
    <w:rPr>
      <w:rFonts w:ascii="Arial" w:eastAsia="Times New Roman" w:hAnsi="Arial" w:cs="Times New Roman"/>
      <w:szCs w:val="24"/>
      <w:lang w:val="en-US"/>
    </w:rPr>
  </w:style>
  <w:style w:type="character" w:customStyle="1" w:styleId="PGDNormalBold">
    <w:name w:val="PGD Normal Bold"/>
    <w:basedOn w:val="DefaultParagraphFont"/>
    <w:rsid w:val="00825B15"/>
    <w:rPr>
      <w:rFonts w:ascii="Arial" w:hAnsi="Arial"/>
      <w:b/>
      <w:bCs/>
    </w:rPr>
  </w:style>
  <w:style w:type="paragraph" w:customStyle="1" w:styleId="PGDtablebullet0">
    <w:name w:val="PGD table bullet"/>
    <w:basedOn w:val="Normal"/>
    <w:rsid w:val="00627EEA"/>
    <w:pPr>
      <w:numPr>
        <w:numId w:val="34"/>
      </w:numPr>
      <w:spacing w:after="0" w:line="240" w:lineRule="auto"/>
    </w:pPr>
    <w:rPr>
      <w:rFonts w:ascii="Arial" w:eastAsia="Arial" w:hAnsi="Arial" w:cs="Times New Roman"/>
      <w:kern w:val="2"/>
      <w:sz w:val="24"/>
      <w:szCs w:val="20"/>
      <w:lang w:eastAsia="en-GB" w:bidi="en-GB"/>
      <w14:ligatures w14:val="standardContextual"/>
    </w:rPr>
  </w:style>
  <w:style w:type="numbering" w:customStyle="1" w:styleId="PGDTableBullet">
    <w:name w:val="PGD Table Bullet"/>
    <w:basedOn w:val="NoList"/>
    <w:uiPriority w:val="99"/>
    <w:rsid w:val="00825B15"/>
    <w:pPr>
      <w:numPr>
        <w:numId w:val="14"/>
      </w:numPr>
    </w:pPr>
  </w:style>
  <w:style w:type="numbering" w:customStyle="1" w:styleId="PGDtablebullet1">
    <w:name w:val="PGD table bullet 1"/>
    <w:basedOn w:val="NoList"/>
    <w:rsid w:val="00825B15"/>
    <w:pPr>
      <w:numPr>
        <w:numId w:val="15"/>
      </w:numPr>
    </w:pPr>
  </w:style>
  <w:style w:type="numbering" w:customStyle="1" w:styleId="PGDtablebullet2">
    <w:name w:val="PGD table bullet 2"/>
    <w:basedOn w:val="NoList"/>
    <w:rsid w:val="00825B15"/>
    <w:pPr>
      <w:numPr>
        <w:numId w:val="16"/>
      </w:numPr>
    </w:pPr>
  </w:style>
  <w:style w:type="paragraph" w:customStyle="1" w:styleId="PGDTitle1">
    <w:name w:val="PGD Title 1"/>
    <w:basedOn w:val="Normal"/>
    <w:rsid w:val="00825B15"/>
    <w:pPr>
      <w:spacing w:line="278" w:lineRule="auto"/>
      <w:jc w:val="center"/>
    </w:pPr>
    <w:rPr>
      <w:rFonts w:ascii="Arial" w:hAnsi="Arial"/>
      <w:b/>
      <w:bCs/>
      <w:kern w:val="2"/>
      <w:sz w:val="44"/>
      <w:szCs w:val="20"/>
      <w14:ligatures w14:val="standardContextual"/>
    </w:rPr>
  </w:style>
  <w:style w:type="paragraph" w:customStyle="1" w:styleId="PGDTitle">
    <w:name w:val="PGD Title"/>
    <w:basedOn w:val="Normal"/>
    <w:rsid w:val="00825B15"/>
    <w:pPr>
      <w:spacing w:line="278" w:lineRule="auto"/>
      <w:jc w:val="center"/>
    </w:pPr>
    <w:rPr>
      <w:rFonts w:ascii="Arial" w:hAnsi="Arial"/>
      <w:b/>
      <w:kern w:val="2"/>
      <w:sz w:val="36"/>
      <w:szCs w:val="36"/>
      <w14:ligatures w14:val="standardContextual"/>
    </w:rPr>
  </w:style>
  <w:style w:type="paragraph" w:customStyle="1" w:styleId="PGDVersion">
    <w:name w:val="PGD Version"/>
    <w:basedOn w:val="Normal"/>
    <w:rsid w:val="00825B15"/>
    <w:pPr>
      <w:spacing w:line="278" w:lineRule="auto"/>
      <w:jc w:val="center"/>
    </w:pPr>
    <w:rPr>
      <w:rFonts w:ascii="Arial" w:eastAsia="Times New Roman" w:hAnsi="Arial" w:cs="Times New Roman"/>
      <w:kern w:val="2"/>
      <w:sz w:val="28"/>
      <w:szCs w:val="20"/>
      <w14:ligatures w14:val="standardContextual"/>
    </w:rPr>
  </w:style>
  <w:style w:type="character" w:customStyle="1" w:styleId="PGDVersionNumber">
    <w:name w:val="PGD Version Number"/>
    <w:basedOn w:val="DefaultParagraphFont"/>
    <w:qFormat/>
    <w:rsid w:val="00825B15"/>
    <w:rPr>
      <w:rFonts w:ascii="Arial" w:hAnsi="Arial"/>
      <w:sz w:val="28"/>
    </w:rPr>
  </w:style>
  <w:style w:type="character" w:customStyle="1" w:styleId="TableHeaderColumn">
    <w:name w:val="Table Header Column"/>
    <w:basedOn w:val="DefaultParagraphFont"/>
    <w:rsid w:val="00825B15"/>
    <w:rPr>
      <w:rFonts w:ascii="Arial" w:hAnsi="Arial"/>
      <w:b/>
      <w:bCs/>
      <w:sz w:val="20"/>
    </w:rPr>
  </w:style>
  <w:style w:type="paragraph" w:customStyle="1" w:styleId="TableHeaderRow">
    <w:name w:val="Table Header Row"/>
    <w:basedOn w:val="Normal"/>
    <w:rsid w:val="00825B15"/>
    <w:pPr>
      <w:spacing w:line="278" w:lineRule="auto"/>
    </w:pPr>
    <w:rPr>
      <w:rFonts w:ascii="Arial" w:hAnsi="Arial"/>
      <w:b/>
      <w:bCs/>
      <w:kern w:val="2"/>
      <w:sz w:val="20"/>
      <w:szCs w:val="20"/>
      <w14:ligatures w14:val="standardContextual"/>
    </w:rPr>
  </w:style>
  <w:style w:type="table" w:customStyle="1" w:styleId="Tableheading">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customStyle="1" w:styleId="Tabletext">
    <w:name w:val="Table text"/>
    <w:basedOn w:val="PGDNormal"/>
    <w:rsid w:val="00825B15"/>
    <w:pPr>
      <w:keepNext/>
      <w:spacing w:after="60"/>
    </w:pPr>
  </w:style>
  <w:style w:type="paragraph" w:customStyle="1" w:styleId="Tabletitle">
    <w:name w:val="Table title"/>
    <w:basedOn w:val="Normal"/>
    <w:next w:val="Normal"/>
    <w:rsid w:val="00825B15"/>
    <w:pPr>
      <w:keepNext/>
      <w:spacing w:after="60" w:line="240" w:lineRule="auto"/>
    </w:pPr>
    <w:rPr>
      <w:rFonts w:ascii="Arial" w:eastAsia="Times New Roman" w:hAnsi="Arial" w:cs="Times New Roman"/>
      <w:b/>
      <w:sz w:val="24"/>
      <w:szCs w:val="24"/>
      <w:lang w:val="en-US"/>
    </w:rPr>
  </w:style>
  <w:style w:type="character" w:customStyle="1" w:styleId="Heading1Char">
    <w:name w:val="Heading 1 Char"/>
    <w:link w:val="Heading1"/>
    <w:uiPriority w:val="1"/>
    <w:rsid w:val="00825B15"/>
    <w:rPr>
      <w:rFonts w:ascii="Arial" w:hAnsi="Arial"/>
      <w:b/>
      <w:bCs/>
      <w:kern w:val="32"/>
      <w:sz w:val="28"/>
      <w:szCs w:val="32"/>
      <w14:ligatures w14:val="standardContextual"/>
    </w:rPr>
  </w:style>
  <w:style w:type="character" w:customStyle="1" w:styleId="Heading3Char">
    <w:name w:val="Heading 3 Char"/>
    <w:link w:val="Heading3"/>
    <w:uiPriority w:val="3"/>
    <w:rsid w:val="00825B15"/>
    <w:rPr>
      <w:rFonts w:ascii="Arial" w:hAnsi="Arial"/>
      <w:b/>
      <w:bCs/>
      <w:kern w:val="2"/>
      <w:sz w:val="24"/>
      <w:szCs w:val="26"/>
      <w14:ligatures w14:val="standardContextual"/>
    </w:rPr>
  </w:style>
  <w:style w:type="character" w:customStyle="1" w:styleId="Heading4Char">
    <w:name w:val="Heading 4 Char"/>
    <w:link w:val="Heading4"/>
    <w:uiPriority w:val="9"/>
    <w:rsid w:val="00825B15"/>
    <w:rPr>
      <w:rFonts w:ascii="Cambria" w:hAnsi="Cambria"/>
      <w:b/>
      <w:bCs/>
      <w:i/>
      <w:iCs/>
      <w:kern w:val="2"/>
      <w:sz w:val="24"/>
      <w:szCs w:val="24"/>
      <w14:ligatures w14:val="standardContextual"/>
    </w:rPr>
  </w:style>
  <w:style w:type="character" w:customStyle="1" w:styleId="Heading5Char">
    <w:name w:val="Heading 5 Char"/>
    <w:link w:val="Heading5"/>
    <w:uiPriority w:val="9"/>
    <w:rsid w:val="00825B15"/>
    <w:rPr>
      <w:rFonts w:ascii="Cambria" w:hAnsi="Cambria"/>
      <w:b/>
      <w:bCs/>
      <w:color w:val="7F7F7F"/>
      <w:kern w:val="2"/>
      <w:sz w:val="24"/>
      <w:szCs w:val="24"/>
      <w14:ligatures w14:val="standardContextual"/>
    </w:rPr>
  </w:style>
  <w:style w:type="character" w:customStyle="1" w:styleId="Heading6Char">
    <w:name w:val="Heading 6 Char"/>
    <w:link w:val="Heading6"/>
    <w:uiPriority w:val="9"/>
    <w:rsid w:val="00825B15"/>
    <w:rPr>
      <w:rFonts w:ascii="Cambria" w:hAnsi="Cambria"/>
      <w:b/>
      <w:bCs/>
      <w:i/>
      <w:iCs/>
      <w:color w:val="7F7F7F"/>
      <w:kern w:val="2"/>
      <w:sz w:val="24"/>
      <w:szCs w:val="24"/>
      <w14:ligatures w14:val="standardContextual"/>
    </w:rPr>
  </w:style>
  <w:style w:type="character" w:customStyle="1" w:styleId="Heading7Char">
    <w:name w:val="Heading 7 Char"/>
    <w:link w:val="Heading7"/>
    <w:uiPriority w:val="9"/>
    <w:rsid w:val="00825B15"/>
    <w:rPr>
      <w:rFonts w:ascii="Cambria" w:hAnsi="Cambria"/>
      <w:i/>
      <w:iCs/>
      <w:kern w:val="2"/>
      <w:sz w:val="24"/>
      <w:szCs w:val="24"/>
      <w14:ligatures w14:val="standardContextual"/>
    </w:rPr>
  </w:style>
  <w:style w:type="character" w:customStyle="1" w:styleId="Heading8Char">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 w:type="paragraph" w:customStyle="1" w:styleId="Default">
    <w:name w:val="Default"/>
    <w:rsid w:val="002A492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customStyle="1" w:styleId="Bulletindent1">
    <w:name w:val="Bullet indent 1"/>
    <w:basedOn w:val="Normal"/>
    <w:rsid w:val="00D77137"/>
    <w:pPr>
      <w:numPr>
        <w:numId w:val="40"/>
      </w:numPr>
      <w:spacing w:before="120" w:after="12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rh.org/Public/Standards-and-Guidance/Switching-or-Starting-Methods-of-Contraception.aspx" TargetMode="External"/><Relationship Id="rId18" Type="http://schemas.openxmlformats.org/officeDocument/2006/relationships/hyperlink" Target="https://www.cosrh.org/Common/Uploaded%20files/documents/fsrh-clinical-guideline-intrauterine-contraception-mar-23-amended.pdf" TargetMode="External"/><Relationship Id="rId26" Type="http://schemas.openxmlformats.org/officeDocument/2006/relationships/hyperlink" Target="https://www.fsrh.org/Public/Documents/fsrh-clinical-guidance-quick-starting-contraception-april-2017.aspx" TargetMode="External"/><Relationship Id="rId3" Type="http://schemas.openxmlformats.org/officeDocument/2006/relationships/customXml" Target="../customXml/item3.xml"/><Relationship Id="rId21" Type="http://schemas.openxmlformats.org/officeDocument/2006/relationships/hyperlink" Target="https://cosrh.org/Common/Uploaded%20files/documents/contraception-after-pregnancy-guideline-oct2020.pdf"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osrh.org/Public/Standards-and-Guidance/Intrauterine-Contraception.aspx" TargetMode="External"/><Relationship Id="rId17" Type="http://schemas.openxmlformats.org/officeDocument/2006/relationships/hyperlink" Target="http://www.medicines.org.uk" TargetMode="External"/><Relationship Id="rId25" Type="http://schemas.openxmlformats.org/officeDocument/2006/relationships/hyperlink" Target="https://www.fsrh.org/Public/Public/Standards-and-Guidance/uk-medical-eligibility-criteria-for-contraceptive-use-ukmec.aspx?hkey=82727ce6-756b-4b88-a5ab-acaf27c4866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edicines.org.uk/emc" TargetMode="External"/><Relationship Id="rId20" Type="http://schemas.openxmlformats.org/officeDocument/2006/relationships/hyperlink" Target="https://www.cosrh.org/Public/Standards-and-Guidance/Switching-or-Starting-Methods-of-Contraception.asp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srh.org/Public/Documents/ceu-guidance-intrauterine-contraception.aspx" TargetMode="External"/><Relationship Id="rId24" Type="http://schemas.openxmlformats.org/officeDocument/2006/relationships/hyperlink" Target="https://www.fsrh.org/Public/Standards-and-Guidance/Intrauterine-Contraception.aspx"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gov.uk/guidance/find-product-information-about-medicines" TargetMode="External"/><Relationship Id="rId23" Type="http://schemas.openxmlformats.org/officeDocument/2006/relationships/hyperlink" Target="https://transform.england.nhs.uk/information-governance/guidance/records-management-code/" TargetMode="External"/><Relationship Id="rId28" Type="http://schemas.openxmlformats.org/officeDocument/2006/relationships/hyperlink" Target="https://www.cosrh.org/Public/Standards-and-Guidance/Switching-or-Starting-Methods-of-Contraception.aspx" TargetMode="External"/><Relationship Id="rId10" Type="http://schemas.openxmlformats.org/officeDocument/2006/relationships/hyperlink" Target="https://www.sps.nhs.uk/articles/when-not-to-use-a-pgd/" TargetMode="External"/><Relationship Id="rId19" Type="http://schemas.openxmlformats.org/officeDocument/2006/relationships/hyperlink" Target="https://www.fsrh.org/Public/Documents/ceu-guidance-intrauterine-contraception.asp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srh.org/Public/Documents/fsrh-guidance-fsrh-guidance-management-of-women-taking-anticoagulants.aspx" TargetMode="External"/><Relationship Id="rId22" Type="http://schemas.openxmlformats.org/officeDocument/2006/relationships/hyperlink" Target="https://yellowcard.mhra.gov.uk/" TargetMode="External"/><Relationship Id="rId27" Type="http://schemas.openxmlformats.org/officeDocument/2006/relationships/hyperlink" Target="https://www.fsrh.org/Public/Documents/fsrh-service-standards-for-record-keeping-july-2019.aspx" TargetMode="External"/><Relationship Id="rId30" Type="http://schemas.openxmlformats.org/officeDocument/2006/relationships/header" Target="header2.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Grating xmlns="f161132f-3af4-47f5-b28f-8075dccddbe8" xsi:nil="true"/>
    <_ApprovalAssignedTo xmlns="f161132f-3af4-47f5-b28f-8075dccddbe8">
      <UserInfo>
        <DisplayName/>
        <AccountId xsi:nil="true"/>
        <AccountType/>
      </UserInfo>
    </_ApprovalAssignedTo>
    <Templatecounting xmlns="f161132f-3af4-47f5-b28f-8075dccddbe8">Protocol for KPI</Templatecounting>
    <_ApprovalSentBy xmlns="f161132f-3af4-47f5-b28f-8075dccddbe8">
      <UserInfo>
        <DisplayName/>
        <AccountId xsi:nil="true"/>
        <AccountType/>
      </UserInfo>
    </_ApprovalSentBy>
    <Workstream xmlns="f161132f-3af4-47f5-b28f-8075dccddbe8">Reproductive Health</Workstream>
    <PublishedDate xmlns="f161132f-3af4-47f5-b28f-8075dccddbe8">2026-04-22T23:00:00+00:00</PublishedDate>
    <Accessibletemplate xmlns="f161132f-3af4-47f5-b28f-8075dccddbe8">true</Accessibletemplate>
    <ExpiryDate xmlns="f161132f-3af4-47f5-b28f-8075dccddbe8">2029-09-29T23:00:00+00:00</ExpiryDate>
    <Effectivefromdate xmlns="f161132f-3af4-47f5-b28f-8075dccddbe8">2026-09-30T23:00:00+00:00</Effectivefromdate>
    <_ApprovalStatus xmlns="f161132f-3af4-47f5-b28f-8075dccddbe8">0</_ApprovalStatus>
    <Versionnumber xmlns="f161132f-3af4-47f5-b28f-8075dccddbe8">2</Versionnumber>
    <Reviewcompleted xmlns="f161132f-3af4-47f5-b28f-8075dccddbe8" xsi:nil="true"/>
    <ReviewDate xmlns="f161132f-3af4-47f5-b28f-8075dccddbe8">2029-03-31T23:00:00+00:00</ReviewDate>
    <_ApprovalRespondedBy xmlns="f161132f-3af4-47f5-b28f-8075dccddbe8">
      <UserInfo>
        <DisplayName/>
        <AccountId xsi:nil="true"/>
        <AccountType/>
      </UserInfo>
    </_ApprovalRespondedBy>
    <ProgrammeBoardMeeting xmlns="f161132f-3af4-47f5-b28f-8075dccddbe8">2029-04-18T23:00:00+00:00</ProgrammeBoardMeeting>
    <Cardcreated xmlns="f161132f-3af4-47f5-b28f-8075dccddbe8">
      <Url>https://digitalliverpool.sharepoint.com/sites/SPSDigital/Lists/Content%20Directory/DispForm.aspx?ID=2799</Url>
      <Description>Cu-IUD card</Description>
    </Cardcreated>
  </documentManagement>
</p:properties>
</file>

<file path=customXml/itemProps1.xml><?xml version="1.0" encoding="utf-8"?>
<ds:datastoreItem xmlns:ds="http://schemas.openxmlformats.org/officeDocument/2006/customXml" ds:itemID="{FEA9E75A-2AE0-4BC2-A8A7-F83FEB3A1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BD33B-AFB6-49E3-97E9-0ECE9DF37EB6}">
  <ds:schemaRefs>
    <ds:schemaRef ds:uri="http://schemas.microsoft.com/sharepoint/v3/contenttype/forms"/>
  </ds:schemaRefs>
</ds:datastoreItem>
</file>

<file path=customXml/itemProps3.xml><?xml version="1.0" encoding="utf-8"?>
<ds:datastoreItem xmlns:ds="http://schemas.openxmlformats.org/officeDocument/2006/customXml" ds:itemID="{7C857BEE-DF84-4443-9F5F-C7C5C7FE3489}">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f161132f-3af4-47f5-b28f-8075dccddbe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2848</Words>
  <Characters>16239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19049</CharactersWithSpaces>
  <SharedDoc>false</SharedDoc>
  <HLinks>
    <vt:vector size="120" baseType="variant">
      <vt:variant>
        <vt:i4>2752556</vt:i4>
      </vt:variant>
      <vt:variant>
        <vt:i4>56</vt:i4>
      </vt:variant>
      <vt:variant>
        <vt:i4>0</vt:i4>
      </vt:variant>
      <vt:variant>
        <vt:i4>5</vt:i4>
      </vt:variant>
      <vt:variant>
        <vt:lpwstr>https://www.cosrh.org/Public/Standards-and-Guidance/Switching-or-Starting-Methods-of-Contraception.aspx</vt:lpwstr>
      </vt:variant>
      <vt:variant>
        <vt:lpwstr/>
      </vt:variant>
      <vt:variant>
        <vt:i4>4128811</vt:i4>
      </vt:variant>
      <vt:variant>
        <vt:i4>54</vt:i4>
      </vt:variant>
      <vt:variant>
        <vt:i4>0</vt:i4>
      </vt:variant>
      <vt:variant>
        <vt:i4>5</vt:i4>
      </vt:variant>
      <vt:variant>
        <vt:lpwstr>https://www.fsrh.org/Public/Standards-and-Guidance/Switching-or-Starting-Methods-of-Contraception.aspx</vt:lpwstr>
      </vt:variant>
      <vt:variant>
        <vt:lpwstr/>
      </vt:variant>
      <vt:variant>
        <vt:i4>7077987</vt:i4>
      </vt:variant>
      <vt:variant>
        <vt:i4>51</vt:i4>
      </vt:variant>
      <vt:variant>
        <vt:i4>0</vt:i4>
      </vt:variant>
      <vt:variant>
        <vt:i4>5</vt:i4>
      </vt:variant>
      <vt:variant>
        <vt:lpwstr>https://www.fsrh.org/Public/Documents/fsrh-service-standards-for-record-keeping-july-2019.aspx</vt:lpwstr>
      </vt:variant>
      <vt:variant>
        <vt:lpwstr/>
      </vt:variant>
      <vt:variant>
        <vt:i4>5767238</vt:i4>
      </vt:variant>
      <vt:variant>
        <vt:i4>48</vt:i4>
      </vt:variant>
      <vt:variant>
        <vt:i4>0</vt:i4>
      </vt:variant>
      <vt:variant>
        <vt:i4>5</vt:i4>
      </vt:variant>
      <vt:variant>
        <vt:lpwstr>https://www.fsrh.org/Public/Documents/fsrh-clinical-guidance-quick-starting-contraception-april-2017.aspx</vt:lpwstr>
      </vt:variant>
      <vt:variant>
        <vt:lpwstr/>
      </vt:variant>
      <vt:variant>
        <vt:i4>5111838</vt:i4>
      </vt:variant>
      <vt:variant>
        <vt:i4>45</vt:i4>
      </vt:variant>
      <vt:variant>
        <vt:i4>0</vt:i4>
      </vt:variant>
      <vt:variant>
        <vt:i4>5</vt:i4>
      </vt:variant>
      <vt:variant>
        <vt:lpwstr>https://www.fsrh.org/Public/Public/Standards-and-Guidance/uk-medical-eligibility-criteria-for-contraceptive-use-ukmec.aspx?hkey=82727ce6-756b-4b88-a5ab-acaf27c48669</vt:lpwstr>
      </vt:variant>
      <vt:variant>
        <vt:lpwstr/>
      </vt:variant>
      <vt:variant>
        <vt:i4>8126582</vt:i4>
      </vt:variant>
      <vt:variant>
        <vt:i4>42</vt:i4>
      </vt:variant>
      <vt:variant>
        <vt:i4>0</vt:i4>
      </vt:variant>
      <vt:variant>
        <vt:i4>5</vt:i4>
      </vt:variant>
      <vt:variant>
        <vt:lpwstr>https://www.fsrh.org/Public/Standards-and-Guidance/Intrauterine-Contraception.aspx</vt:lpwstr>
      </vt:variant>
      <vt:variant>
        <vt:lpwstr/>
      </vt:variant>
      <vt:variant>
        <vt:i4>7405672</vt:i4>
      </vt:variant>
      <vt:variant>
        <vt:i4>39</vt:i4>
      </vt:variant>
      <vt:variant>
        <vt:i4>0</vt:i4>
      </vt:variant>
      <vt:variant>
        <vt:i4>5</vt:i4>
      </vt:variant>
      <vt:variant>
        <vt:lpwstr>https://yellowcard.mhra.gov.uk/</vt:lpwstr>
      </vt:variant>
      <vt:variant>
        <vt:lpwstr/>
      </vt:variant>
      <vt:variant>
        <vt:i4>196611</vt:i4>
      </vt:variant>
      <vt:variant>
        <vt:i4>36</vt:i4>
      </vt:variant>
      <vt:variant>
        <vt:i4>0</vt:i4>
      </vt:variant>
      <vt:variant>
        <vt:i4>5</vt:i4>
      </vt:variant>
      <vt:variant>
        <vt:lpwstr>https://cosrh.org/Common/Uploaded files/documents/contraception-after-pregnancy-guideline-oct2020.pdf</vt:lpwstr>
      </vt:variant>
      <vt:variant>
        <vt:lpwstr/>
      </vt:variant>
      <vt:variant>
        <vt:i4>2752556</vt:i4>
      </vt:variant>
      <vt:variant>
        <vt:i4>33</vt:i4>
      </vt:variant>
      <vt:variant>
        <vt:i4>0</vt:i4>
      </vt:variant>
      <vt:variant>
        <vt:i4>5</vt:i4>
      </vt:variant>
      <vt:variant>
        <vt:lpwstr>https://www.cosrh.org/Public/Standards-and-Guidance/Switching-or-Starting-Methods-of-Contraception.aspx</vt:lpwstr>
      </vt:variant>
      <vt:variant>
        <vt:lpwstr/>
      </vt:variant>
      <vt:variant>
        <vt:i4>3670067</vt:i4>
      </vt:variant>
      <vt:variant>
        <vt:i4>30</vt:i4>
      </vt:variant>
      <vt:variant>
        <vt:i4>0</vt:i4>
      </vt:variant>
      <vt:variant>
        <vt:i4>5</vt:i4>
      </vt:variant>
      <vt:variant>
        <vt:lpwstr>https://www.fsrh.org/standards-and-guidance/documents/ceuguidanceintrauterinecontraception/</vt:lpwstr>
      </vt:variant>
      <vt:variant>
        <vt:lpwstr/>
      </vt:variant>
      <vt:variant>
        <vt:i4>917577</vt:i4>
      </vt:variant>
      <vt:variant>
        <vt:i4>27</vt:i4>
      </vt:variant>
      <vt:variant>
        <vt:i4>0</vt:i4>
      </vt:variant>
      <vt:variant>
        <vt:i4>5</vt:i4>
      </vt:variant>
      <vt:variant>
        <vt:lpwstr>http://www.medicines.org.uk/</vt:lpwstr>
      </vt:variant>
      <vt:variant>
        <vt:lpwstr/>
      </vt:variant>
      <vt:variant>
        <vt:i4>5701640</vt:i4>
      </vt:variant>
      <vt:variant>
        <vt:i4>24</vt:i4>
      </vt:variant>
      <vt:variant>
        <vt:i4>0</vt:i4>
      </vt:variant>
      <vt:variant>
        <vt:i4>5</vt:i4>
      </vt:variant>
      <vt:variant>
        <vt:lpwstr>https://www.medicines.org.uk/emc</vt:lpwstr>
      </vt:variant>
      <vt:variant>
        <vt:lpwstr/>
      </vt:variant>
      <vt:variant>
        <vt:i4>4456460</vt:i4>
      </vt:variant>
      <vt:variant>
        <vt:i4>21</vt:i4>
      </vt:variant>
      <vt:variant>
        <vt:i4>0</vt:i4>
      </vt:variant>
      <vt:variant>
        <vt:i4>5</vt:i4>
      </vt:variant>
      <vt:variant>
        <vt:lpwstr>https://www.gov.uk/guidance/find-product-information-about-medicines</vt:lpwstr>
      </vt:variant>
      <vt:variant>
        <vt:lpwstr/>
      </vt:variant>
      <vt:variant>
        <vt:i4>7340135</vt:i4>
      </vt:variant>
      <vt:variant>
        <vt:i4>18</vt:i4>
      </vt:variant>
      <vt:variant>
        <vt:i4>0</vt:i4>
      </vt:variant>
      <vt:variant>
        <vt:i4>5</vt:i4>
      </vt:variant>
      <vt:variant>
        <vt:lpwstr>https://www.fsrh.org/news/new-guidance-on-management-of-anticoagulants-or-antiplatelet/</vt:lpwstr>
      </vt:variant>
      <vt:variant>
        <vt:lpwstr/>
      </vt:variant>
      <vt:variant>
        <vt:i4>2752556</vt:i4>
      </vt:variant>
      <vt:variant>
        <vt:i4>15</vt:i4>
      </vt:variant>
      <vt:variant>
        <vt:i4>0</vt:i4>
      </vt:variant>
      <vt:variant>
        <vt:i4>5</vt:i4>
      </vt:variant>
      <vt:variant>
        <vt:lpwstr>https://www.cosrh.org/Public/Standards-and-Guidance/Switching-or-Starting-Methods-of-Contraception.aspx</vt:lpwstr>
      </vt:variant>
      <vt:variant>
        <vt:lpwstr/>
      </vt:variant>
      <vt:variant>
        <vt:i4>7798895</vt:i4>
      </vt:variant>
      <vt:variant>
        <vt:i4>12</vt:i4>
      </vt:variant>
      <vt:variant>
        <vt:i4>0</vt:i4>
      </vt:variant>
      <vt:variant>
        <vt:i4>5</vt:i4>
      </vt:variant>
      <vt:variant>
        <vt:lpwstr>https://www.cosrh.org/Public/Standards-and-Guidance/Intrauterine-Contraception.aspx</vt:lpwstr>
      </vt:variant>
      <vt:variant>
        <vt:lpwstr/>
      </vt:variant>
      <vt:variant>
        <vt:i4>6684786</vt:i4>
      </vt:variant>
      <vt:variant>
        <vt:i4>9</vt:i4>
      </vt:variant>
      <vt:variant>
        <vt:i4>0</vt:i4>
      </vt:variant>
      <vt:variant>
        <vt:i4>5</vt:i4>
      </vt:variant>
      <vt:variant>
        <vt:lpwstr>https://www.cosrh.org/Public/Documents/ceu-guidance-intrauterine-contraception.aspx</vt:lpwstr>
      </vt:variant>
      <vt:variant>
        <vt:lpwstr/>
      </vt:variant>
      <vt:variant>
        <vt:i4>4194308</vt:i4>
      </vt:variant>
      <vt:variant>
        <vt:i4>6</vt:i4>
      </vt:variant>
      <vt:variant>
        <vt:i4>0</vt:i4>
      </vt:variant>
      <vt:variant>
        <vt:i4>5</vt:i4>
      </vt:variant>
      <vt:variant>
        <vt:lpwstr>https://www.sps.nhs.uk/articles/about-the-sps-medicines-governance-do-once-programme/</vt:lpwstr>
      </vt:variant>
      <vt:variant>
        <vt:lpwstr/>
      </vt:variant>
      <vt:variant>
        <vt:i4>2621480</vt:i4>
      </vt:variant>
      <vt:variant>
        <vt:i4>3</vt:i4>
      </vt:variant>
      <vt:variant>
        <vt:i4>0</vt:i4>
      </vt:variant>
      <vt:variant>
        <vt:i4>5</vt:i4>
      </vt:variant>
      <vt:variant>
        <vt:lpwstr>https://www.sps.nhs.uk/articles/when-patient-group-directions-are-not-required/</vt:lpwstr>
      </vt:variant>
      <vt:variant>
        <vt:lpwstr/>
      </vt:variant>
      <vt:variant>
        <vt:i4>5505113</vt:i4>
      </vt:variant>
      <vt:variant>
        <vt:i4>0</vt:i4>
      </vt:variant>
      <vt:variant>
        <vt:i4>0</vt:i4>
      </vt:variant>
      <vt:variant>
        <vt:i4>5</vt:i4>
      </vt:variant>
      <vt:variant>
        <vt:lpwstr>https://www.sps.nhs.uk/home/guidance/patient-group-directions-and-legal-mechanisms/national-pgd-protocol-and-written-instructions-templates/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Sparshatt</dc:creator>
  <cp:lastModifiedBy>Anna Sparshatt</cp:lastModifiedBy>
  <cp:revision>2</cp:revision>
  <dcterms:created xsi:type="dcterms:W3CDTF">2026-04-24T15:24:00Z</dcterms:created>
  <dcterms:modified xsi:type="dcterms:W3CDTF">2026-04-24T15:24:00Z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