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4C9E9C9" w:rsidR="007A1448" w:rsidRPr="00DF77C7" w:rsidRDefault="00C766CF" w:rsidP="006529F3">
      <w:pPr>
        <w:pStyle w:val="PGDTitle2"/>
      </w:pPr>
      <w:r w:rsidRPr="00C766CF">
        <w:rPr>
          <w:bCs/>
        </w:rPr>
        <w:t xml:space="preserve">Supply of erythromycin tablets/oral suspension/oral solution for the treatment of </w:t>
      </w:r>
      <w:r w:rsidR="00076F6C" w:rsidRPr="00076F6C">
        <w:rPr>
          <w:bCs/>
        </w:rPr>
        <w:t xml:space="preserve">widespread non-bullous impetigo 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40B82FC8" w14:textId="77777777" w:rsidR="00C766CF" w:rsidRDefault="00C766CF" w:rsidP="00076F6C">
            <w:pPr>
              <w:pStyle w:val="Tabletext"/>
            </w:pPr>
            <w:r w:rsidRPr="00C766CF">
              <w:t xml:space="preserve">Removal of: </w:t>
            </w:r>
          </w:p>
          <w:p w14:paraId="2B6B0C6C" w14:textId="03EDA5B6" w:rsidR="00C766CF" w:rsidRDefault="00C766CF" w:rsidP="0009531C">
            <w:pPr>
              <w:pStyle w:val="Bulletindent1"/>
            </w:pPr>
            <w:r w:rsidRPr="00C766CF">
              <w:t>erythromycin 500mg/5mL sugar free oral suspension (or oral solution) x 100mL: no longer commercially available</w:t>
            </w:r>
          </w:p>
          <w:p w14:paraId="564B3495" w14:textId="77777777" w:rsidR="00C766CF" w:rsidRDefault="00C766CF" w:rsidP="0009531C">
            <w:pPr>
              <w:pStyle w:val="Bulletindent1"/>
            </w:pPr>
            <w:r w:rsidRPr="00C766CF">
              <w:t xml:space="preserve"> erythromycin 500mg/5mL oral suspension (or oral solution) x 100mL: no longer commercially available</w:t>
            </w:r>
          </w:p>
          <w:p w14:paraId="634E68B0" w14:textId="77777777" w:rsidR="00C766CF" w:rsidRDefault="00C766CF" w:rsidP="00076F6C">
            <w:pPr>
              <w:pStyle w:val="Tabletext"/>
            </w:pPr>
            <w:r w:rsidRPr="00C766CF">
              <w:t xml:space="preserve">Addition of: </w:t>
            </w:r>
          </w:p>
          <w:p w14:paraId="00D469F3" w14:textId="77777777" w:rsidR="00C766CF" w:rsidRDefault="00C766CF" w:rsidP="00076F6C">
            <w:pPr>
              <w:pStyle w:val="Bulletindent1"/>
            </w:pPr>
            <w:r w:rsidRPr="00C766CF">
              <w:t>“</w:t>
            </w:r>
            <w:proofErr w:type="spellStart"/>
            <w:r w:rsidRPr="00C766CF">
              <w:t>Lomitapide</w:t>
            </w:r>
            <w:proofErr w:type="spellEnd"/>
          </w:p>
          <w:p w14:paraId="7E45FDC1" w14:textId="77777777" w:rsidR="00CF40BF" w:rsidRDefault="00C766CF" w:rsidP="00076F6C">
            <w:pPr>
              <w:pStyle w:val="Bulletindent1"/>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076F6C">
            <w:pPr>
              <w:pStyle w:val="Bulletindent1"/>
              <w:numPr>
                <w:ilvl w:val="1"/>
                <w:numId w:val="15"/>
              </w:numPr>
            </w:pPr>
            <w:r w:rsidRPr="00C766CF">
              <w:lastRenderedPageBreak/>
              <w:t>Lercanidipine</w:t>
            </w:r>
          </w:p>
          <w:p w14:paraId="151213FA" w14:textId="77777777" w:rsidR="00CF40BF" w:rsidRDefault="00C766CF" w:rsidP="00076F6C">
            <w:pPr>
              <w:pStyle w:val="Bulletindent1"/>
              <w:numPr>
                <w:ilvl w:val="1"/>
                <w:numId w:val="15"/>
              </w:numPr>
            </w:pPr>
            <w:r w:rsidRPr="00C766CF">
              <w:t>Ivabradine</w:t>
            </w:r>
          </w:p>
          <w:p w14:paraId="6C7F05FD" w14:textId="77777777" w:rsidR="00CF40BF" w:rsidRDefault="00C766CF" w:rsidP="00076F6C">
            <w:pPr>
              <w:pStyle w:val="Bulletindent1"/>
              <w:numPr>
                <w:ilvl w:val="1"/>
                <w:numId w:val="15"/>
              </w:numPr>
            </w:pPr>
            <w:r w:rsidRPr="00C766CF">
              <w:t>Quetiapine)</w:t>
            </w:r>
          </w:p>
          <w:p w14:paraId="54BE377A" w14:textId="2891681E" w:rsidR="0041543B" w:rsidRPr="0009531C" w:rsidRDefault="00C766CF" w:rsidP="00076F6C">
            <w:pPr>
              <w:pStyle w:val="Bulletindent1"/>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45F08AF8" w14:textId="77777777" w:rsidR="00EB30CC" w:rsidRPr="00EB30CC" w:rsidRDefault="00EB30CC" w:rsidP="00EB30CC">
      <w:pPr>
        <w:pStyle w:val="PGDNormal"/>
      </w:pPr>
      <w:r w:rsidRPr="00EB30CC">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83D30" w:rsidRPr="00DF77C7" w14:paraId="42A294FB" w14:textId="77777777" w:rsidTr="00BC7F29">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145FC600" w14:textId="2045EEB7" w:rsidR="00083D30" w:rsidRPr="00105447" w:rsidRDefault="00083D30" w:rsidP="00083D30">
            <w:pPr>
              <w:pStyle w:val="Tabletext"/>
              <w:rPr>
                <w:rFonts w:cs="Arial"/>
                <w:bCs/>
                <w:szCs w:val="22"/>
              </w:rPr>
            </w:pPr>
            <w:r w:rsidRPr="00A56EF6">
              <w:rPr>
                <w:rFonts w:eastAsia="Calibri" w:cs="Arial"/>
                <w:szCs w:val="22"/>
              </w:rPr>
              <w:t>Dr Naomi Fleming*</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93BB52F" w14:textId="35E39A74" w:rsidR="00083D30" w:rsidRPr="00105447" w:rsidRDefault="00083D30" w:rsidP="00083D30">
            <w:pPr>
              <w:pStyle w:val="Tabletext"/>
              <w:rPr>
                <w:rFonts w:cs="Arial"/>
                <w:color w:val="000000"/>
                <w:szCs w:val="22"/>
                <w:shd w:val="clear" w:color="auto" w:fill="FFFFFF"/>
              </w:rPr>
            </w:pPr>
            <w:r w:rsidRPr="00A56EF6">
              <w:rPr>
                <w:rFonts w:eastAsia="Calibri" w:cs="Arial"/>
                <w:szCs w:val="22"/>
              </w:rPr>
              <w:t>NHS England Regional Antimicrobial Stewardship lead for the East of England region</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83D30" w:rsidRPr="00DF77C7" w14:paraId="6AF1CD19" w14:textId="77777777" w:rsidTr="000D46D9">
        <w:trPr>
          <w:trHeight w:val="451"/>
        </w:trPr>
        <w:tc>
          <w:tcPr>
            <w:tcW w:w="2297" w:type="dxa"/>
          </w:tcPr>
          <w:p w14:paraId="0B985DA1" w14:textId="2D44FE1F" w:rsidR="00083D30" w:rsidRPr="000B4A6E" w:rsidRDefault="00083D30" w:rsidP="00083D30">
            <w:pPr>
              <w:pStyle w:val="Tabletext"/>
            </w:pPr>
            <w:r w:rsidRPr="00A56EF6">
              <w:rPr>
                <w:rFonts w:cs="Arial"/>
                <w:szCs w:val="22"/>
              </w:rPr>
              <w:t>Dr Matthew Scorer</w:t>
            </w:r>
          </w:p>
        </w:tc>
        <w:tc>
          <w:tcPr>
            <w:tcW w:w="6912" w:type="dxa"/>
          </w:tcPr>
          <w:p w14:paraId="6F4CA8BA" w14:textId="4AD5C0D4" w:rsidR="00083D30" w:rsidRPr="000B4A6E" w:rsidRDefault="00083D30" w:rsidP="00083D30">
            <w:pPr>
              <w:pStyle w:val="Tabletext"/>
            </w:pPr>
            <w:r w:rsidRPr="00A56EF6">
              <w:rPr>
                <w:rFonts w:cs="Arial"/>
                <w:szCs w:val="22"/>
              </w:rPr>
              <w:t>Consultant Dermatologist</w:t>
            </w:r>
          </w:p>
        </w:tc>
      </w:tr>
      <w:tr w:rsidR="00083D30" w:rsidRPr="00DF77C7" w14:paraId="2FD10C31" w14:textId="77777777" w:rsidTr="000D46D9">
        <w:trPr>
          <w:trHeight w:val="451"/>
        </w:trPr>
        <w:tc>
          <w:tcPr>
            <w:tcW w:w="2297" w:type="dxa"/>
          </w:tcPr>
          <w:p w14:paraId="1255340C" w14:textId="05536F7E" w:rsidR="00083D30" w:rsidRPr="000B4A6E" w:rsidRDefault="00083D30" w:rsidP="00083D30">
            <w:pPr>
              <w:pStyle w:val="Tabletext"/>
            </w:pPr>
            <w:r w:rsidRPr="00A56EF6">
              <w:rPr>
                <w:rFonts w:cs="Arial"/>
                <w:szCs w:val="22"/>
              </w:rPr>
              <w:t xml:space="preserve">Dr Michelle Toleman </w:t>
            </w:r>
          </w:p>
        </w:tc>
        <w:tc>
          <w:tcPr>
            <w:tcW w:w="6912" w:type="dxa"/>
          </w:tcPr>
          <w:p w14:paraId="69BA6C13" w14:textId="6CE8EC85" w:rsidR="00083D30" w:rsidRPr="000B4A6E" w:rsidRDefault="00083D30" w:rsidP="00083D30">
            <w:pPr>
              <w:pStyle w:val="Tabletext"/>
            </w:pPr>
            <w:r w:rsidRPr="00A56EF6">
              <w:rPr>
                <w:rFonts w:cs="Arial"/>
                <w:szCs w:val="22"/>
              </w:rPr>
              <w:t>Consultant Microbiologist</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83D30" w:rsidRPr="00DF77C7" w14:paraId="791B2E1F" w14:textId="77777777" w:rsidTr="007A227A">
        <w:trPr>
          <w:trHeight w:val="415"/>
        </w:trPr>
        <w:tc>
          <w:tcPr>
            <w:tcW w:w="2297" w:type="dxa"/>
            <w:tcBorders>
              <w:top w:val="single" w:sz="4" w:space="0" w:color="auto"/>
              <w:left w:val="single" w:sz="4" w:space="0" w:color="auto"/>
              <w:bottom w:val="single" w:sz="4" w:space="0" w:color="auto"/>
              <w:right w:val="single" w:sz="4" w:space="0" w:color="auto"/>
            </w:tcBorders>
          </w:tcPr>
          <w:p w14:paraId="14EC8048" w14:textId="533DBED7" w:rsidR="00083D30" w:rsidRPr="00105447" w:rsidRDefault="00083D30" w:rsidP="00083D30">
            <w:pPr>
              <w:pStyle w:val="Tabletext"/>
              <w:rPr>
                <w:rFonts w:cs="Arial"/>
                <w:bCs/>
                <w:szCs w:val="22"/>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tcPr>
          <w:p w14:paraId="500208DF" w14:textId="02CF145A" w:rsidR="00083D30" w:rsidRPr="00105447" w:rsidRDefault="00083D30" w:rsidP="00083D30">
            <w:pPr>
              <w:pStyle w:val="Tabletext"/>
              <w:rPr>
                <w:rFonts w:cs="Arial"/>
                <w:bCs/>
                <w:szCs w:val="22"/>
              </w:rPr>
            </w:pPr>
            <w:r w:rsidRPr="00105447">
              <w:rPr>
                <w:rFonts w:cs="Arial"/>
                <w:szCs w:val="22"/>
              </w:rPr>
              <w:t>Specialist Pharmacist – Medicines Governance, Medicines Use and Safety Division, Specialist Pharmacy Service</w:t>
            </w:r>
          </w:p>
        </w:tc>
      </w:tr>
      <w:tr w:rsidR="00083D30"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83D30" w:rsidRPr="0023356D" w:rsidRDefault="00083D30" w:rsidP="00083D30">
            <w:pPr>
              <w:pStyle w:val="Tabletext"/>
              <w:rPr>
                <w:rFonts w:cs="Arial"/>
                <w:bCs/>
                <w:szCs w:val="22"/>
              </w:rPr>
            </w:pPr>
            <w:r w:rsidRPr="0023356D">
              <w:rPr>
                <w:rFonts w:cs="Arial"/>
                <w:bCs/>
                <w:szCs w:val="22"/>
              </w:rPr>
              <w:lastRenderedPageBreak/>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83D30" w:rsidRPr="0023356D" w:rsidRDefault="00083D30" w:rsidP="00083D30">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083D30" w:rsidRPr="00DF77C7" w14:paraId="4C01E258" w14:textId="77777777" w:rsidTr="00D1625C">
        <w:trPr>
          <w:trHeight w:val="396"/>
        </w:trPr>
        <w:tc>
          <w:tcPr>
            <w:tcW w:w="2297" w:type="dxa"/>
          </w:tcPr>
          <w:p w14:paraId="494AA640" w14:textId="2CE75844" w:rsidR="00083D30" w:rsidRPr="00DF59C5" w:rsidRDefault="00083D30" w:rsidP="00083D30">
            <w:pPr>
              <w:pStyle w:val="Tabletext"/>
              <w:rPr>
                <w:rFonts w:eastAsia="Calibri"/>
                <w:sz w:val="20"/>
                <w:szCs w:val="22"/>
                <w:lang w:val="en-GB"/>
              </w:rPr>
            </w:pPr>
            <w:r w:rsidRPr="00A56EF6">
              <w:rPr>
                <w:rFonts w:cs="Arial"/>
                <w:szCs w:val="22"/>
              </w:rPr>
              <w:t>Dr Stephanie Gallard</w:t>
            </w:r>
          </w:p>
        </w:tc>
        <w:tc>
          <w:tcPr>
            <w:tcW w:w="6912" w:type="dxa"/>
          </w:tcPr>
          <w:p w14:paraId="4FD8CBD4" w14:textId="4231F667" w:rsidR="00083D30" w:rsidRPr="002416AD" w:rsidRDefault="00083D30" w:rsidP="00083D30">
            <w:pPr>
              <w:pStyle w:val="Tabletext"/>
              <w:rPr>
                <w:rFonts w:eastAsia="Calibri"/>
                <w:sz w:val="20"/>
                <w:lang w:val="en-GB"/>
              </w:rPr>
            </w:pPr>
            <w:r w:rsidRPr="00A56EF6">
              <w:rPr>
                <w:rFonts w:cs="Arial"/>
                <w:szCs w:val="22"/>
              </w:rPr>
              <w:t xml:space="preserve">GP (Dermatology Special Interest) </w:t>
            </w:r>
          </w:p>
        </w:tc>
      </w:tr>
      <w:tr w:rsidR="00083D30" w:rsidRPr="0023356D" w14:paraId="69FDDB9F" w14:textId="77777777" w:rsidTr="00DC0100">
        <w:trPr>
          <w:trHeight w:val="275"/>
        </w:trPr>
        <w:tc>
          <w:tcPr>
            <w:tcW w:w="2297" w:type="dxa"/>
          </w:tcPr>
          <w:p w14:paraId="6496D79A" w14:textId="77777777" w:rsidR="00083D30" w:rsidRPr="00A56EF6" w:rsidRDefault="00083D30" w:rsidP="00083D30">
            <w:pPr>
              <w:rPr>
                <w:rFonts w:ascii="Arial" w:hAnsi="Arial" w:cs="Arial"/>
                <w:sz w:val="22"/>
                <w:szCs w:val="22"/>
              </w:rPr>
            </w:pPr>
            <w:r w:rsidRPr="00A56EF6">
              <w:rPr>
                <w:rFonts w:ascii="Arial" w:hAnsi="Arial" w:cs="Arial"/>
                <w:sz w:val="22"/>
                <w:szCs w:val="22"/>
              </w:rPr>
              <w:t xml:space="preserve">Rob Hebdon </w:t>
            </w:r>
          </w:p>
          <w:p w14:paraId="7F553184" w14:textId="7EFDAB05" w:rsidR="00083D30" w:rsidRPr="0023356D" w:rsidRDefault="00083D30" w:rsidP="00083D30">
            <w:pPr>
              <w:pStyle w:val="Tabletext"/>
              <w:rPr>
                <w:rFonts w:eastAsia="Calibri"/>
              </w:rPr>
            </w:pPr>
          </w:p>
        </w:tc>
        <w:tc>
          <w:tcPr>
            <w:tcW w:w="6912" w:type="dxa"/>
          </w:tcPr>
          <w:p w14:paraId="0D2B11B6" w14:textId="77777777" w:rsidR="00083D30" w:rsidRPr="00A56EF6" w:rsidRDefault="00083D30" w:rsidP="00083D30">
            <w:pPr>
              <w:rPr>
                <w:rFonts w:ascii="Arial" w:hAnsi="Arial" w:cs="Arial"/>
                <w:sz w:val="22"/>
                <w:szCs w:val="22"/>
              </w:rPr>
            </w:pPr>
            <w:r w:rsidRPr="00A56EF6">
              <w:rPr>
                <w:rFonts w:ascii="Arial" w:hAnsi="Arial" w:cs="Arial"/>
                <w:sz w:val="22"/>
                <w:szCs w:val="22"/>
              </w:rPr>
              <w:t>National Pharmacy Integration Lead</w:t>
            </w:r>
          </w:p>
          <w:p w14:paraId="02599635" w14:textId="48532DC9" w:rsidR="00083D30" w:rsidRPr="0023356D" w:rsidRDefault="00083D30" w:rsidP="00083D30">
            <w:pPr>
              <w:pStyle w:val="Tabletext"/>
              <w:rPr>
                <w:rFonts w:eastAsia="Calibri"/>
              </w:rPr>
            </w:pPr>
            <w:r w:rsidRPr="00A56EF6">
              <w:rPr>
                <w:rFonts w:cs="Arial"/>
                <w:szCs w:val="22"/>
              </w:rPr>
              <w:t>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w:t>
      </w:r>
      <w:r w:rsidRPr="00DF77C7">
        <w:rPr>
          <w:highlight w:val="yellow"/>
          <w:lang w:val="en-GB"/>
        </w:rPr>
        <w:lastRenderedPageBreak/>
        <w:t xml:space="preserve">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1AECCFB" w14:textId="77777777" w:rsidR="00076F6C" w:rsidRPr="001D40D5" w:rsidRDefault="00076F6C" w:rsidP="00076F6C">
            <w:pPr>
              <w:pStyle w:val="Bulletindent1"/>
              <w:numPr>
                <w:ilvl w:val="1"/>
                <w:numId w:val="15"/>
              </w:numPr>
              <w:rPr>
                <w:szCs w:val="23"/>
              </w:rPr>
            </w:pPr>
            <w:hyperlink r:id="rId13" w:history="1">
              <w:proofErr w:type="spellStart"/>
              <w:r w:rsidRPr="001D40D5">
                <w:rPr>
                  <w:rStyle w:val="Hyperlink"/>
                  <w:lang w:eastAsia="en-GB"/>
                </w:rPr>
                <w:t>DermNet</w:t>
              </w:r>
              <w:proofErr w:type="spellEnd"/>
              <w:r w:rsidRPr="001D40D5">
                <w:rPr>
                  <w:rStyle w:val="Hyperlink"/>
                  <w:lang w:eastAsia="en-GB"/>
                </w:rPr>
                <w:t xml:space="preserve"> impetigo resources</w:t>
              </w:r>
            </w:hyperlink>
            <w:r>
              <w:rPr>
                <w:rFonts w:cs="Arial"/>
                <w:szCs w:val="23"/>
                <w:lang w:eastAsia="en-GB"/>
              </w:rPr>
              <w:t xml:space="preserve"> </w:t>
            </w:r>
            <w:r w:rsidRPr="001D40D5">
              <w:t>(including images)</w:t>
            </w:r>
          </w:p>
          <w:p w14:paraId="59FAB93C" w14:textId="77777777" w:rsidR="00076F6C" w:rsidRPr="001D40D5" w:rsidRDefault="00076F6C" w:rsidP="00076F6C">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02A11CF9" w14:textId="77777777" w:rsidR="00076F6C" w:rsidRPr="001D40D5" w:rsidRDefault="00076F6C" w:rsidP="00076F6C">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9E13EB1" w14:textId="77777777" w:rsidR="00076F6C" w:rsidRPr="001D40D5" w:rsidRDefault="00076F6C" w:rsidP="00076F6C">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512EFC05" w14:textId="77777777" w:rsidR="00076F6C" w:rsidRPr="00E015AA" w:rsidRDefault="00076F6C" w:rsidP="00076F6C">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77D29475" w:rsidR="00E015AA" w:rsidRDefault="00076F6C" w:rsidP="00E015AA">
            <w:pPr>
              <w:pStyle w:val="Tabletext"/>
            </w:pPr>
            <w:r>
              <w:t xml:space="preserve">Clinicians </w:t>
            </w:r>
            <w:r w:rsidR="00E015AA" w:rsidRPr="00E015AA">
              <w:t xml:space="preserve">operating under this PGD must be assessed as competent or complete a self-declaration of competence to operate under this </w:t>
            </w:r>
            <w:proofErr w:type="gramStart"/>
            <w:r w:rsidR="00E015AA" w:rsidRPr="00E015AA">
              <w:t xml:space="preserve">PGD </w:t>
            </w:r>
            <w:r w:rsidR="00E015AA">
              <w:t>[</w:t>
            </w:r>
            <w:r w:rsidR="00E015AA" w:rsidRPr="00E015AA">
              <w:t>(</w:t>
            </w:r>
            <w:proofErr w:type="gramEnd"/>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5944C542" w14:textId="3E5050D7" w:rsidR="00076F6C" w:rsidRDefault="00076F6C" w:rsidP="00076F6C">
            <w:pPr>
              <w:pStyle w:val="Tabletext"/>
              <w:rPr>
                <w:lang w:val="en-GB"/>
              </w:rPr>
            </w:pPr>
            <w:r>
              <w:rPr>
                <w:lang w:val="en-GB"/>
              </w:rPr>
              <w:t>Clinicians</w:t>
            </w:r>
            <w:r w:rsidR="00E015AA" w:rsidRPr="00E015AA">
              <w:rPr>
                <w:lang w:val="en-GB"/>
              </w:rPr>
              <w:t xml:space="preserve"> operating under this PGD should follow</w:t>
            </w:r>
            <w:r>
              <w:rPr>
                <w:lang w:val="en-GB"/>
              </w:rPr>
              <w:t>:</w:t>
            </w:r>
            <w:r w:rsidR="00E015AA" w:rsidRPr="00E015AA">
              <w:rPr>
                <w:lang w:val="en-GB"/>
              </w:rPr>
              <w:t xml:space="preserve"> </w:t>
            </w:r>
          </w:p>
          <w:p w14:paraId="2E840762" w14:textId="1A12AB5D" w:rsidR="00076F6C" w:rsidRPr="00076F6C" w:rsidRDefault="00076F6C" w:rsidP="00076F6C">
            <w:pPr>
              <w:pStyle w:val="Tabletext"/>
              <w:rPr>
                <w:lang w:val="en-GB"/>
              </w:rPr>
            </w:pPr>
            <w:hyperlink r:id="rId25" w:history="1">
              <w:r w:rsidRPr="00076F6C">
                <w:rPr>
                  <w:rStyle w:val="Hyperlink"/>
                </w:rPr>
                <w:t>N</w:t>
              </w:r>
              <w:proofErr w:type="spellStart"/>
              <w:r w:rsidRPr="00076F6C">
                <w:rPr>
                  <w:rStyle w:val="Hyperlink"/>
                  <w:lang w:val="en-GB"/>
                </w:rPr>
                <w:t>ational</w:t>
              </w:r>
              <w:proofErr w:type="spellEnd"/>
              <w:r w:rsidRPr="00076F6C">
                <w:rPr>
                  <w:rStyle w:val="Hyperlink"/>
                  <w:lang w:val="en-GB"/>
                </w:rPr>
                <w:t xml:space="preserve"> guidance for the diagnosis of impetigo in the UK – NICE CKS – impetigo</w:t>
              </w:r>
            </w:hyperlink>
            <w:r w:rsidRPr="00076F6C">
              <w:rPr>
                <w:lang w:val="en-GB"/>
              </w:rPr>
              <w:t xml:space="preserve"> </w:t>
            </w:r>
          </w:p>
          <w:p w14:paraId="5719D930" w14:textId="1A1C042F" w:rsidR="00B81529" w:rsidRPr="00DF77C7" w:rsidRDefault="00076F6C" w:rsidP="00076F6C">
            <w:pPr>
              <w:pStyle w:val="Tabletext"/>
              <w:rPr>
                <w:lang w:val="en-GB"/>
              </w:rPr>
            </w:pPr>
            <w:hyperlink r:id="rId26" w:history="1">
              <w:r w:rsidRPr="00076F6C">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48CF4A9" w:rsidR="00D36D23" w:rsidRDefault="00076F6C" w:rsidP="00957B7C">
            <w:pPr>
              <w:pStyle w:val="Tabletext"/>
            </w:pPr>
            <w:r w:rsidRPr="00076F6C">
              <w:rPr>
                <w:iCs/>
                <w:lang w:val="en-GB"/>
              </w:rPr>
              <w:t>Widespread non-bullous impetigo in young people and adults aged 16 years and over who are pregnant, or where pregnancy is suspected and where flucloxacillin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076F6C">
            <w:pPr>
              <w:pStyle w:val="Bulletindent1"/>
            </w:pPr>
            <w:r w:rsidRPr="002561E8">
              <w:t>Informed consent</w:t>
            </w:r>
          </w:p>
          <w:p w14:paraId="4A978E89" w14:textId="0C5757B8" w:rsidR="006E1B84" w:rsidRDefault="006E1B84" w:rsidP="00076F6C">
            <w:pPr>
              <w:pStyle w:val="Bulletindent1"/>
            </w:pPr>
            <w:r w:rsidRPr="006E1B84">
              <w:t xml:space="preserve">Individuals aged </w:t>
            </w:r>
            <w:r w:rsidR="00F261DA">
              <w:t>16</w:t>
            </w:r>
            <w:r w:rsidRPr="006E1B84">
              <w:t xml:space="preserve"> years and over</w:t>
            </w:r>
          </w:p>
          <w:p w14:paraId="4A9C5BF2" w14:textId="77777777" w:rsidR="00076F6C" w:rsidRPr="00941F77" w:rsidRDefault="00076F6C" w:rsidP="00076F6C">
            <w:pPr>
              <w:pStyle w:val="Bulletindent1"/>
            </w:pPr>
            <w:r>
              <w:t xml:space="preserve">Signs </w:t>
            </w:r>
            <w:r w:rsidRPr="00C23691">
              <w:t xml:space="preserve">and symptoms of </w:t>
            </w:r>
            <w:r>
              <w:t>impetigo</w:t>
            </w:r>
            <w:r w:rsidRPr="00C23691">
              <w:t xml:space="preserve"> using the </w:t>
            </w:r>
            <w:hyperlink r:id="rId27" w:history="1">
              <w:r w:rsidRPr="00941F77">
                <w:rPr>
                  <w:rStyle w:val="Hyperlink"/>
                  <w:lang w:val="en-US"/>
                </w:rPr>
                <w:t>N</w:t>
              </w:r>
              <w:proofErr w:type="spellStart"/>
              <w:r w:rsidRPr="00941F77">
                <w:rPr>
                  <w:rStyle w:val="Hyperlink"/>
                </w:rPr>
                <w:t>ational</w:t>
              </w:r>
              <w:proofErr w:type="spellEnd"/>
              <w:r w:rsidRPr="00941F77">
                <w:rPr>
                  <w:rStyle w:val="Hyperlink"/>
                </w:rPr>
                <w:t xml:space="preserve"> guidance for the diagnosis of impetigo in the UK – NICE CKS – impetigo</w:t>
              </w:r>
            </w:hyperlink>
            <w:r w:rsidRPr="00941F77">
              <w:t xml:space="preserve"> </w:t>
            </w:r>
          </w:p>
          <w:p w14:paraId="6B802D0D" w14:textId="77777777" w:rsidR="00076F6C" w:rsidRDefault="00076F6C" w:rsidP="00076F6C">
            <w:pPr>
              <w:pStyle w:val="Bulletindent1"/>
            </w:pPr>
            <w:r w:rsidRPr="00BC6E78">
              <w:rPr>
                <w:lang w:bidi="en-GB"/>
              </w:rPr>
              <w:t xml:space="preserve">Widespread (4 or more lesions/clusters present) </w:t>
            </w:r>
            <w:r w:rsidRPr="00BC6E78">
              <w:t xml:space="preserve">non-bullous </w:t>
            </w:r>
            <w:r w:rsidRPr="00BC6E78">
              <w:rPr>
                <w:lang w:bidi="en-GB"/>
              </w:rPr>
              <w:t>impetigo</w:t>
            </w:r>
          </w:p>
          <w:p w14:paraId="117E8F1B" w14:textId="77777777" w:rsidR="00076F6C" w:rsidRDefault="00076F6C" w:rsidP="00076F6C">
            <w:pPr>
              <w:pStyle w:val="Bulletindent1"/>
            </w:pPr>
            <w:r>
              <w:t>Pregnancy</w:t>
            </w:r>
            <w:r w:rsidRPr="005636A7">
              <w:t xml:space="preserve"> or suspected pregnancy</w:t>
            </w:r>
          </w:p>
          <w:p w14:paraId="612252EA" w14:textId="77777777" w:rsidR="00076F6C" w:rsidRPr="00BC6E78" w:rsidRDefault="00076F6C" w:rsidP="00076F6C">
            <w:pPr>
              <w:pStyle w:val="Bulletindent1"/>
            </w:pPr>
            <w:r w:rsidRPr="00BC6E78">
              <w:t xml:space="preserve">Known hypersensitivity to flucloxacillin, any penicillin or any of the components within the formulation of flucloxacillin formulations - see </w:t>
            </w:r>
            <w:hyperlink r:id="rId28" w:history="1">
              <w:r>
                <w:rPr>
                  <w:rStyle w:val="Hyperlink"/>
                </w:rPr>
                <w:t>Summary of Product Characteristics which can be accessed on the EMC website</w:t>
              </w:r>
            </w:hyperlink>
            <w:r w:rsidRPr="00BC6E78">
              <w:t xml:space="preserve">. </w:t>
            </w:r>
            <w:r w:rsidRPr="00BC6E78">
              <w:rPr>
                <w:b/>
                <w:bCs/>
                <w:i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02A2FFD7" w14:textId="630BDAF7" w:rsidR="00AE4F4B" w:rsidRDefault="006E1B84" w:rsidP="00076F6C">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076F6C">
            <w:pPr>
              <w:pStyle w:val="Bulletindent1"/>
            </w:pPr>
            <w:r w:rsidRPr="00801F6A">
              <w:t xml:space="preserve">Consent refused and documented in the individual’s clinical notes </w:t>
            </w:r>
          </w:p>
          <w:p w14:paraId="1B665F4B" w14:textId="0D45F599" w:rsidR="00801F6A" w:rsidRDefault="00801F6A" w:rsidP="00076F6C">
            <w:pPr>
              <w:pStyle w:val="Bulletindent1"/>
            </w:pPr>
            <w:r w:rsidRPr="00801F6A">
              <w:t>Individuals under 1</w:t>
            </w:r>
            <w:r w:rsidR="00491ACA">
              <w:t>6</w:t>
            </w:r>
            <w:r w:rsidRPr="00801F6A">
              <w:t xml:space="preserve"> years of age</w:t>
            </w:r>
          </w:p>
          <w:p w14:paraId="4B965486" w14:textId="4A78C2F4" w:rsidR="00076F6C" w:rsidRPr="005636A7" w:rsidRDefault="00076F6C" w:rsidP="00076F6C">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076F6C">
            <w:pPr>
              <w:pStyle w:val="Bulletindent1"/>
              <w:rPr>
                <w:b/>
                <w:sz w:val="20"/>
              </w:rPr>
            </w:pPr>
            <w:bookmarkStart w:id="5" w:name="Severe"/>
            <w:bookmarkEnd w:id="5"/>
            <w:r w:rsidRPr="00903730">
              <w:t>Severely immunosuppressed individual</w:t>
            </w:r>
            <w:r>
              <w:t>s as defined i</w:t>
            </w:r>
            <w:r w:rsidRPr="00903730">
              <w:t xml:space="preserve">n </w:t>
            </w:r>
            <w:hyperlink r:id="rId29"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544D0BC0" w:rsidR="009A5C7D" w:rsidRPr="00903730" w:rsidRDefault="00EB30CC" w:rsidP="00076F6C">
            <w:pPr>
              <w:pStyle w:val="Bulletindent1"/>
            </w:pPr>
            <w:r w:rsidRPr="00903730">
              <w:t>Acute a</w:t>
            </w:r>
            <w:r w:rsidR="009A5C7D" w:rsidRPr="00903730">
              <w:t xml:space="preserve">nd chronic leukaemias, and clinically aggressive lymphomas (including Hodgkin’s </w:t>
            </w:r>
            <w:r w:rsidR="009A5C7D" w:rsidRPr="00903730">
              <w:lastRenderedPageBreak/>
              <w:t xml:space="preserve">lymphoma) who are less than 12 months since achieving cure </w:t>
            </w:r>
          </w:p>
          <w:p w14:paraId="07EE8B7B" w14:textId="70F11090" w:rsidR="009A5C7D" w:rsidRPr="00903730" w:rsidRDefault="00EB30CC" w:rsidP="00076F6C">
            <w:pPr>
              <w:pStyle w:val="Bulletindent1"/>
            </w:pPr>
            <w:r w:rsidRPr="00903730">
              <w:t xml:space="preserve">Individuals under follow </w:t>
            </w:r>
            <w:r w:rsidR="009A5C7D" w:rsidRPr="00903730">
              <w:t xml:space="preserve">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2D901B5B" w:rsidR="009A5C7D" w:rsidRPr="00903730" w:rsidRDefault="00EB30CC" w:rsidP="00076F6C">
            <w:pPr>
              <w:pStyle w:val="Bulletindent1"/>
            </w:pPr>
            <w:r w:rsidRPr="00903730">
              <w:t>Immunos</w:t>
            </w:r>
            <w:r w:rsidR="009A5C7D" w:rsidRPr="00903730">
              <w:t>uppression due to HIV/AIDS with a current CD4 count of below 200 cells/</w:t>
            </w:r>
            <w:proofErr w:type="spellStart"/>
            <w:r w:rsidR="009A5C7D" w:rsidRPr="00903730">
              <w:t>μl</w:t>
            </w:r>
            <w:proofErr w:type="spellEnd"/>
            <w:r w:rsidR="009A5C7D" w:rsidRPr="00903730">
              <w:t xml:space="preserve">. </w:t>
            </w:r>
          </w:p>
          <w:p w14:paraId="1F6F9E0B" w14:textId="2F2E208B" w:rsidR="009A5C7D" w:rsidRPr="00903730" w:rsidRDefault="00EB30CC" w:rsidP="00076F6C">
            <w:pPr>
              <w:pStyle w:val="Bulletindent1"/>
            </w:pPr>
            <w:r w:rsidRPr="00903730">
              <w:t xml:space="preserve">Primary or acquired cellular and combined immune deficiencies </w:t>
            </w:r>
            <w:r w:rsidR="009A5C7D" w:rsidRPr="00903730">
              <w:t xml:space="preserve">– those with </w:t>
            </w:r>
            <w:proofErr w:type="spellStart"/>
            <w:r w:rsidR="009A5C7D" w:rsidRPr="00903730">
              <w:t>lymphopaenia</w:t>
            </w:r>
            <w:proofErr w:type="spellEnd"/>
            <w:r w:rsidR="009A5C7D" w:rsidRPr="00903730">
              <w:t xml:space="preserve"> (&lt;1,000 lymphocytes/ul) or with a functional lymphocyte disorder</w:t>
            </w:r>
          </w:p>
          <w:p w14:paraId="180ED9ED" w14:textId="6A4F80F8" w:rsidR="009A5C7D" w:rsidRPr="00903730" w:rsidRDefault="00EB30CC" w:rsidP="00076F6C">
            <w:pPr>
              <w:pStyle w:val="Bulletindent1"/>
            </w:pPr>
            <w:r w:rsidRPr="00903730">
              <w:t xml:space="preserve">Those who have received an allogeneic (cells from a donor) or an autologous (using their own cells) stem cell transplant in the previous 24 months </w:t>
            </w:r>
          </w:p>
          <w:p w14:paraId="0CCB08FB" w14:textId="17D7FE87" w:rsidR="009A5C7D" w:rsidRPr="00903730" w:rsidRDefault="00EB30CC" w:rsidP="00076F6C">
            <w:pPr>
              <w:pStyle w:val="Bulletindent1"/>
            </w:pPr>
            <w:r w:rsidRPr="00903730">
              <w:t xml:space="preserve">Those who have received a stem cell transplant more than </w:t>
            </w:r>
            <w:r w:rsidR="009A5C7D" w:rsidRPr="00903730">
              <w:t>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0A8D63BC" w:rsidR="009A5C7D" w:rsidRPr="00903730" w:rsidRDefault="00EB30CC" w:rsidP="00076F6C">
            <w:pPr>
              <w:pStyle w:val="Bulletindent1"/>
            </w:pPr>
            <w:r w:rsidRPr="00903730">
              <w:t xml:space="preserve">Those who are receiving or have received in the past 6 months immunosuppressive chemotherapy or radiotherapy for any indication </w:t>
            </w:r>
          </w:p>
          <w:p w14:paraId="5AD148BD" w14:textId="10E9CA9B" w:rsidR="009A5C7D" w:rsidRPr="00903730" w:rsidRDefault="00EB30CC" w:rsidP="00076F6C">
            <w:pPr>
              <w:pStyle w:val="Bulletindent1"/>
            </w:pPr>
            <w:r w:rsidRPr="00903730">
              <w:t xml:space="preserve">Those who are receiving or have received in the previous 6 months immunosuppressive therapy for a solid organ transplant </w:t>
            </w:r>
          </w:p>
          <w:p w14:paraId="29E05600" w14:textId="66B285B0" w:rsidR="009A5C7D" w:rsidRPr="00903730" w:rsidRDefault="00EB30CC" w:rsidP="00076F6C">
            <w:pPr>
              <w:pStyle w:val="Bulletindent1"/>
            </w:pPr>
            <w:r w:rsidRPr="00903730">
              <w:t>Those who are receiving or have received in the pr</w:t>
            </w:r>
            <w:r w:rsidR="009A5C7D" w:rsidRPr="00903730">
              <w:t xml:space="preserve">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6AD8C7B" w:rsidR="009A5C7D" w:rsidRPr="00903730" w:rsidRDefault="003E6BD4" w:rsidP="00076F6C">
            <w:pPr>
              <w:pStyle w:val="Bulletindent1"/>
            </w:pPr>
            <w:r w:rsidRPr="00903730">
              <w:lastRenderedPageBreak/>
              <w:t xml:space="preserve">Moderate to high dose corticosteroids (equivalent ≥20mg prednisolone per day) for more than 10 days in the previous month </w:t>
            </w:r>
          </w:p>
          <w:p w14:paraId="51092628" w14:textId="5EAD1BD5" w:rsidR="009A5C7D" w:rsidRPr="00903730" w:rsidRDefault="003E6BD4" w:rsidP="00076F6C">
            <w:pPr>
              <w:pStyle w:val="Bulletindent1"/>
            </w:pPr>
            <w:r w:rsidRPr="00903730">
              <w:t xml:space="preserve">Long term moderate dose corticosteroids (equivalent to ≥10mg prednisolone per day for more than 4 weeks) in the previous 3 months </w:t>
            </w:r>
          </w:p>
          <w:p w14:paraId="67099E93" w14:textId="676A3A46" w:rsidR="009A5C7D" w:rsidRPr="00903730" w:rsidRDefault="003E6BD4" w:rsidP="00076F6C">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4FE0404A" w:rsidR="009A5C7D" w:rsidRPr="00903730" w:rsidRDefault="003E6BD4" w:rsidP="00076F6C">
            <w:pPr>
              <w:pStyle w:val="Bulletindent1"/>
            </w:pPr>
            <w:r w:rsidRPr="00903730">
              <w:t xml:space="preserve">Certain combination therapies at individual doses lower than stated above, including those on ≥7.5mg prednisolone </w:t>
            </w:r>
            <w:r w:rsidR="009A5C7D" w:rsidRPr="00903730">
              <w:t>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076F6C">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30"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076F6C">
            <w:pPr>
              <w:pStyle w:val="Bulletindent1"/>
              <w:numPr>
                <w:ilvl w:val="1"/>
                <w:numId w:val="15"/>
              </w:numPr>
            </w:pPr>
            <w:r w:rsidRPr="009A5C7D">
              <w:t>replacement corticosteroids for individuals with adrenal insufficiency</w:t>
            </w:r>
          </w:p>
          <w:p w14:paraId="6EB0C321" w14:textId="77777777" w:rsidR="009A5C7D" w:rsidRPr="009A5C7D" w:rsidRDefault="009A5C7D" w:rsidP="00076F6C">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076F6C">
            <w:pPr>
              <w:pStyle w:val="Bulletindent1"/>
              <w:numPr>
                <w:ilvl w:val="1"/>
                <w:numId w:val="15"/>
              </w:numPr>
            </w:pPr>
            <w:r w:rsidRPr="009A5C7D">
              <w:t>intra-articular, -bursal or -tendon corticosteroid injections.</w:t>
            </w:r>
          </w:p>
          <w:p w14:paraId="7B5D0722" w14:textId="6E4FD5D5" w:rsidR="009A5C7D" w:rsidRPr="009A5C7D" w:rsidRDefault="00FF5DA7" w:rsidP="00076F6C">
            <w:pPr>
              <w:pStyle w:val="Bulletindent1"/>
            </w:pPr>
            <w:r w:rsidRPr="00FF5DA7">
              <w:rPr>
                <w:iCs/>
              </w:rPr>
              <w:t xml:space="preserve">Known hypersensitivity to erythromycin, any macrolide or any of the components within the formulation </w:t>
            </w:r>
            <w:r w:rsidR="000311FF" w:rsidRPr="000311FF">
              <w:rPr>
                <w:iCs/>
              </w:rPr>
              <w:t xml:space="preserve">- </w:t>
            </w:r>
            <w:r w:rsidR="009A5C7D" w:rsidRPr="009A5C7D">
              <w:t xml:space="preserve">see </w:t>
            </w:r>
            <w:hyperlink r:id="rId31" w:anchor="gref" w:history="1">
              <w:hyperlink r:id="rId32"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076F6C">
            <w:pPr>
              <w:pStyle w:val="Bulletindent1"/>
              <w:rPr>
                <w:rFonts w:eastAsia="Calibri"/>
              </w:rPr>
            </w:pPr>
            <w:r>
              <w:rPr>
                <w:rFonts w:eastAsia="Calibri"/>
              </w:rPr>
              <w:lastRenderedPageBreak/>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076F6C">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076F6C">
            <w:pPr>
              <w:pStyle w:val="Bulletindent1"/>
            </w:pPr>
            <w:r>
              <w:t xml:space="preserve">Individuals following a </w:t>
            </w:r>
            <w:hyperlink r:id="rId33"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F7C2133" w14:textId="77777777" w:rsidR="00076F6C" w:rsidRPr="00B22CCE" w:rsidRDefault="00076F6C" w:rsidP="00076F6C">
            <w:pPr>
              <w:pStyle w:val="Bulletindent1"/>
            </w:pPr>
            <w:r w:rsidRPr="00CC1B72">
              <w:t xml:space="preserve">Failed </w:t>
            </w:r>
            <w:r>
              <w:t xml:space="preserve">previous oral antimicrobial treatment </w:t>
            </w:r>
            <w:r w:rsidRPr="00CC1B72">
              <w:t xml:space="preserve">for this episode of </w:t>
            </w:r>
            <w:r>
              <w:t>impetigo</w:t>
            </w:r>
          </w:p>
          <w:p w14:paraId="38127AD8" w14:textId="77777777" w:rsidR="00076F6C" w:rsidRPr="004D2245" w:rsidRDefault="00076F6C" w:rsidP="00076F6C">
            <w:pPr>
              <w:pStyle w:val="Bulletindent1"/>
            </w:pPr>
            <w:r w:rsidRPr="003B1CC0">
              <w:rPr>
                <w:rFonts w:eastAsia="Arial"/>
                <w:lang w:bidi="en-GB"/>
              </w:rPr>
              <w:t>Recurrent impetigo</w:t>
            </w:r>
            <w:r>
              <w:rPr>
                <w:rFonts w:eastAsia="Arial"/>
                <w:lang w:bidi="en-GB"/>
              </w:rPr>
              <w:t xml:space="preserve"> (defined as 2 or more episodes in the same year)</w:t>
            </w:r>
          </w:p>
          <w:p w14:paraId="4E3AA169" w14:textId="77777777" w:rsidR="00076F6C" w:rsidRPr="00BC6E78" w:rsidRDefault="00076F6C" w:rsidP="00076F6C">
            <w:pPr>
              <w:pStyle w:val="Bulletindent1"/>
              <w:rPr>
                <w:rFonts w:eastAsia="Calibri"/>
              </w:rPr>
            </w:pPr>
            <w:r w:rsidRPr="00BC6E78">
              <w:rPr>
                <w:rFonts w:eastAsia="Arial"/>
                <w:lang w:eastAsia="en-GB" w:bidi="en-GB"/>
              </w:rPr>
              <w:t xml:space="preserve">Currently active underlying skin condition (e.g. currently uncontrolled episode of </w:t>
            </w:r>
          </w:p>
          <w:p w14:paraId="3A4F20B2" w14:textId="77777777" w:rsidR="00076F6C" w:rsidRPr="00011FBD" w:rsidRDefault="00076F6C" w:rsidP="00076F6C">
            <w:pPr>
              <w:pStyle w:val="Bulletindent1"/>
              <w:numPr>
                <w:ilvl w:val="1"/>
                <w:numId w:val="15"/>
              </w:numPr>
              <w:rPr>
                <w:rFonts w:eastAsia="Calibri"/>
              </w:rPr>
            </w:pPr>
            <w:hyperlink r:id="rId34"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08A6278E" w14:textId="77777777" w:rsidR="00076F6C" w:rsidRPr="00076F6C" w:rsidRDefault="00076F6C" w:rsidP="00076F6C">
            <w:pPr>
              <w:pStyle w:val="Bulletindent1"/>
              <w:numPr>
                <w:ilvl w:val="0"/>
                <w:numId w:val="0"/>
              </w:numPr>
              <w:ind w:left="1080"/>
              <w:rPr>
                <w:rFonts w:eastAsia="Calibri"/>
                <w:b/>
                <w:bCs/>
              </w:rPr>
            </w:pPr>
            <w:r w:rsidRPr="00076F6C">
              <w:rPr>
                <w:rFonts w:eastAsia="Calibri"/>
                <w:b/>
                <w:bCs/>
              </w:rPr>
              <w:t>or</w:t>
            </w:r>
          </w:p>
          <w:p w14:paraId="694832B9" w14:textId="77777777" w:rsidR="00076F6C" w:rsidRPr="00BC6E78" w:rsidRDefault="00076F6C" w:rsidP="00076F6C">
            <w:pPr>
              <w:pStyle w:val="Bulletindent1"/>
              <w:numPr>
                <w:ilvl w:val="1"/>
                <w:numId w:val="15"/>
              </w:numPr>
              <w:rPr>
                <w:rFonts w:eastAsia="Calibri"/>
              </w:rPr>
            </w:pPr>
            <w:hyperlink r:id="rId35" w:history="1">
              <w:r>
                <w:rPr>
                  <w:rFonts w:eastAsia="Arial"/>
                  <w:color w:val="0000FF"/>
                  <w:u w:val="single"/>
                  <w:lang w:eastAsia="en-GB" w:bidi="en-GB"/>
                </w:rPr>
                <w:t>contact dermatitis as described on the NHS website</w:t>
              </w:r>
            </w:hyperlink>
          </w:p>
          <w:p w14:paraId="11CECFA2" w14:textId="77777777" w:rsidR="00076F6C" w:rsidRPr="00011FBD" w:rsidRDefault="00076F6C" w:rsidP="00076F6C">
            <w:pPr>
              <w:pStyle w:val="Bulletindent1"/>
              <w:rPr>
                <w:rFonts w:eastAsia="Calibri"/>
              </w:rPr>
            </w:pPr>
            <w:r>
              <w:rPr>
                <w:rFonts w:eastAsia="Arial"/>
                <w:lang w:eastAsia="en-GB" w:bidi="en-GB"/>
              </w:rPr>
              <w:t>Or c</w:t>
            </w:r>
            <w:r w:rsidRPr="00BC6E78">
              <w:rPr>
                <w:rFonts w:eastAsia="Arial"/>
                <w:lang w:eastAsia="en-GB" w:bidi="en-GB"/>
              </w:rPr>
              <w:t>urrent episode of</w:t>
            </w:r>
            <w:r>
              <w:rPr>
                <w:rFonts w:eastAsia="Arial"/>
                <w:lang w:eastAsia="en-GB" w:bidi="en-GB"/>
              </w:rPr>
              <w:t>:</w:t>
            </w:r>
          </w:p>
          <w:p w14:paraId="460026F5" w14:textId="77777777" w:rsidR="00076F6C" w:rsidRPr="00011FBD" w:rsidRDefault="00076F6C" w:rsidP="00076F6C">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EE36C2F" w14:textId="77777777" w:rsidR="00076F6C" w:rsidRPr="00011FBD" w:rsidRDefault="00076F6C" w:rsidP="00076F6C">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45B9FF1F" w14:textId="77777777" w:rsidR="00076F6C" w:rsidRPr="00076F6C" w:rsidRDefault="00076F6C" w:rsidP="00076F6C">
            <w:pPr>
              <w:pStyle w:val="Bulletindent1"/>
              <w:numPr>
                <w:ilvl w:val="0"/>
                <w:numId w:val="0"/>
              </w:numPr>
              <w:ind w:left="1080"/>
              <w:rPr>
                <w:rFonts w:eastAsia="Calibri"/>
                <w:b/>
                <w:bCs/>
              </w:rPr>
            </w:pPr>
            <w:r>
              <w:rPr>
                <w:rFonts w:eastAsia="Arial"/>
                <w:lang w:eastAsia="en-GB" w:bidi="en-GB"/>
              </w:rPr>
              <w:fldChar w:fldCharType="end"/>
            </w:r>
            <w:r w:rsidRPr="00BC6E78">
              <w:rPr>
                <w:rFonts w:eastAsia="Arial"/>
                <w:lang w:eastAsia="en-GB" w:bidi="en-GB"/>
              </w:rPr>
              <w:t xml:space="preserve"> </w:t>
            </w:r>
            <w:r w:rsidRPr="00076F6C">
              <w:rPr>
                <w:rFonts w:eastAsia="Arial"/>
                <w:b/>
                <w:bCs/>
                <w:lang w:eastAsia="en-GB" w:bidi="en-GB"/>
              </w:rPr>
              <w:t>Or</w:t>
            </w:r>
          </w:p>
          <w:p w14:paraId="0B7D1D02" w14:textId="77777777" w:rsidR="00076F6C" w:rsidRPr="00BC6E78" w:rsidRDefault="00076F6C" w:rsidP="00076F6C">
            <w:pPr>
              <w:pStyle w:val="Bulletindent1"/>
              <w:numPr>
                <w:ilvl w:val="1"/>
                <w:numId w:val="15"/>
              </w:numPr>
              <w:rPr>
                <w:rFonts w:eastAsia="Calibri"/>
              </w:rPr>
            </w:pPr>
            <w:hyperlink r:id="rId36" w:history="1">
              <w:r>
                <w:rPr>
                  <w:rStyle w:val="Hyperlink"/>
                  <w:rFonts w:eastAsia="Arial"/>
                  <w:lang w:eastAsia="en-GB" w:bidi="en-GB"/>
                </w:rPr>
                <w:t>eczema herpeticum as described in British Association of Dermatologists patient information leaflet)</w:t>
              </w:r>
            </w:hyperlink>
          </w:p>
          <w:p w14:paraId="5F354215" w14:textId="77777777" w:rsidR="00076F6C" w:rsidRPr="00A81CC2" w:rsidRDefault="00076F6C" w:rsidP="00076F6C">
            <w:pPr>
              <w:pStyle w:val="Bulletindent1"/>
            </w:pPr>
            <w:r>
              <w:t>Localised (3 or fewer lesions/clusters present) non-bullous impetigo: consider topical treatment</w:t>
            </w:r>
          </w:p>
          <w:p w14:paraId="19350276" w14:textId="77777777" w:rsidR="00076F6C" w:rsidRPr="000C0A05" w:rsidRDefault="00076F6C" w:rsidP="00076F6C">
            <w:pPr>
              <w:pStyle w:val="Bulletindent1"/>
            </w:pPr>
            <w:r w:rsidRPr="000C0A05">
              <w:rPr>
                <w:rFonts w:eastAsia="Arial"/>
                <w:lang w:bidi="en-GB"/>
              </w:rPr>
              <w:t>Bullous impetigo (characterised by flaccid fluid-filled vesicles and blisters (often with a diam</w:t>
            </w:r>
            <w:r>
              <w:rPr>
                <w:rFonts w:eastAsia="Arial"/>
                <w:lang w:bidi="en-GB"/>
              </w:rPr>
              <w:t>eter of 1-2cm) which can persis</w:t>
            </w:r>
            <w:r w:rsidRPr="000C0A05">
              <w:rPr>
                <w:rFonts w:eastAsia="Arial"/>
                <w:lang w:bidi="en-GB"/>
              </w:rPr>
              <w:t>t for 2-3 days. Lesions rupture, leaving a thin, flat, yellow-brown crust)</w:t>
            </w:r>
          </w:p>
          <w:p w14:paraId="21AC32C0" w14:textId="77777777" w:rsidR="00076F6C" w:rsidRDefault="00076F6C" w:rsidP="00076F6C">
            <w:pPr>
              <w:pStyle w:val="Bulletindent1"/>
            </w:pPr>
            <w:r w:rsidRPr="00C61FA0">
              <w:rPr>
                <w:rFonts w:eastAsia="Arial"/>
                <w:lang w:bidi="en-GB"/>
              </w:rPr>
              <w:t>Systemically unwell</w:t>
            </w:r>
          </w:p>
          <w:p w14:paraId="4FD8656B" w14:textId="77777777" w:rsidR="00076F6C" w:rsidRDefault="00076F6C" w:rsidP="00076F6C">
            <w:pPr>
              <w:pStyle w:val="Bulletindent1"/>
            </w:pPr>
            <w:r>
              <w:rPr>
                <w:iCs/>
              </w:rPr>
              <w:t>A</w:t>
            </w:r>
            <w:r w:rsidRPr="00793D7D">
              <w:rPr>
                <w:iCs/>
              </w:rPr>
              <w:t xml:space="preserve">ny individual identified with symptoms of </w:t>
            </w:r>
            <w:hyperlink r:id="rId37" w:history="1">
              <w:r>
                <w:rPr>
                  <w:rStyle w:val="Hyperlink"/>
                </w:rPr>
                <w:t>severe/life-threatening infection or systemic sepsis as detailed on the NHS website</w:t>
              </w:r>
            </w:hyperlink>
            <w:r>
              <w:t xml:space="preserve"> - </w:t>
            </w:r>
            <w:r w:rsidRPr="00793D7D">
              <w:t>refer urgently via ambulance.</w:t>
            </w:r>
          </w:p>
          <w:p w14:paraId="1E191FE6" w14:textId="77777777" w:rsidR="00076F6C" w:rsidRPr="00275CDB" w:rsidRDefault="00076F6C" w:rsidP="00076F6C">
            <w:pPr>
              <w:pStyle w:val="Bulletindent1"/>
            </w:pPr>
            <w:r>
              <w:rPr>
                <w:rFonts w:eastAsia="Arial"/>
                <w:lang w:bidi="en-GB"/>
              </w:rPr>
              <w:lastRenderedPageBreak/>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proofErr w:type="spellStart"/>
            <w:r w:rsidRPr="006A7EE3">
              <w:rPr>
                <w:iCs/>
              </w:rPr>
              <w:t>icillin</w:t>
            </w:r>
            <w:proofErr w:type="spellEnd"/>
            <w:r w:rsidRPr="006A7EE3">
              <w:rPr>
                <w:iCs/>
              </w:rPr>
              <w:t xml:space="preserve">-resistant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44E97A18" w14:textId="77777777" w:rsidR="00076F6C" w:rsidRPr="002065BA" w:rsidRDefault="00076F6C" w:rsidP="00076F6C">
            <w:pPr>
              <w:pStyle w:val="Bulletindent1"/>
            </w:pPr>
            <w:r w:rsidRPr="002065BA">
              <w:rPr>
                <w:lang w:eastAsia="en-GB"/>
              </w:rPr>
              <w:t xml:space="preserve">Known myasthenia gravis </w:t>
            </w:r>
          </w:p>
          <w:p w14:paraId="4BFDC5C2" w14:textId="77777777" w:rsidR="00076F6C" w:rsidRPr="00870315" w:rsidRDefault="00076F6C" w:rsidP="00076F6C">
            <w:pPr>
              <w:pStyle w:val="Bulletindent1"/>
            </w:pPr>
            <w:r w:rsidRPr="002065BA">
              <w:rPr>
                <w:lang w:eastAsia="en-GB"/>
              </w:rPr>
              <w:t xml:space="preserve">Known history of QT prolongation (congenital or acquired), or ventricular cardiac arrhythmia, including torsades de pointe </w:t>
            </w:r>
          </w:p>
          <w:p w14:paraId="0559690E" w14:textId="77777777" w:rsidR="00076F6C" w:rsidRPr="00A83E3B" w:rsidRDefault="00076F6C" w:rsidP="00076F6C">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38"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39" w:history="1">
              <w:r w:rsidRPr="0067742E">
                <w:rPr>
                  <w:rStyle w:val="Hyperlink"/>
                  <w:rFonts w:cs="Arial"/>
                  <w:lang w:eastAsia="en-GB"/>
                </w:rPr>
                <w:t>Sudden arrhythmic death syndrome (SADS) - Drugs to avoid</w:t>
              </w:r>
            </w:hyperlink>
            <w:r>
              <w:rPr>
                <w:lang w:eastAsia="en-GB"/>
              </w:rPr>
              <w:t>)</w:t>
            </w:r>
          </w:p>
          <w:p w14:paraId="26BEEA87" w14:textId="77777777" w:rsidR="009F4C18" w:rsidRPr="00870315" w:rsidRDefault="009F4C18" w:rsidP="00076F6C">
            <w:pPr>
              <w:pStyle w:val="Bulletindent1"/>
            </w:pPr>
            <w:r w:rsidRPr="002065BA">
              <w:rPr>
                <w:lang w:eastAsia="en-GB"/>
              </w:rPr>
              <w:t>Known electrolyte disturbances (hypokalaemia or hypomagnesaemia)</w:t>
            </w:r>
          </w:p>
          <w:p w14:paraId="05380B7F" w14:textId="77777777" w:rsidR="009F4C18" w:rsidRDefault="009F4C18" w:rsidP="00076F6C">
            <w:pPr>
              <w:pStyle w:val="Bulletindent1"/>
            </w:pPr>
            <w:r>
              <w:t>Known Chronic Kidney Disease (CKD) stage 5 (eGFR &lt;15mL/min/1.73m</w:t>
            </w:r>
            <w:r>
              <w:rPr>
                <w:vertAlign w:val="superscript"/>
              </w:rPr>
              <w:t>2</w:t>
            </w:r>
            <w:r>
              <w:t>)</w:t>
            </w:r>
          </w:p>
          <w:p w14:paraId="521DC16E" w14:textId="77777777" w:rsidR="009F4C18" w:rsidRDefault="009F4C18" w:rsidP="00076F6C">
            <w:pPr>
              <w:pStyle w:val="Bulletindent1"/>
            </w:pPr>
            <w:r w:rsidRPr="00745195">
              <w:t>Known or suspected liver disease</w:t>
            </w:r>
          </w:p>
          <w:p w14:paraId="5A927EF0" w14:textId="2C4A9F22" w:rsidR="009F4C18" w:rsidRPr="00E752ED" w:rsidRDefault="009F4C18" w:rsidP="00076F6C">
            <w:pPr>
              <w:pStyle w:val="Bulletindent1"/>
            </w:pPr>
            <w:r w:rsidRPr="00E752ED">
              <w:rPr>
                <w:lang w:eastAsia="en-GB"/>
              </w:rPr>
              <w:t xml:space="preserve">Concomitant use with a potentially hepatotoxic medicine (use information from the </w:t>
            </w:r>
            <w:hyperlink r:id="rId40" w:history="1">
              <w:r w:rsidRPr="00A163ED">
                <w:rPr>
                  <w:rStyle w:val="Hyperlink"/>
                </w:rPr>
                <w:t>Summary of Product Characteristics (SmPC) which can be accessed on the EMC website</w:t>
              </w:r>
            </w:hyperlink>
            <w:r w:rsidRPr="00E752ED">
              <w:rPr>
                <w:lang w:eastAsia="en-GB"/>
              </w:rPr>
              <w:t xml:space="preserve"> or individual monograph on </w:t>
            </w:r>
            <w:hyperlink r:id="rId41" w:history="1">
              <w:proofErr w:type="spellStart"/>
              <w:r w:rsidRPr="00E752ED">
                <w:rPr>
                  <w:rStyle w:val="Hyperlink"/>
                  <w:rFonts w:cs="Arial"/>
                  <w:lang w:eastAsia="en-GB"/>
                </w:rPr>
                <w:t>LiverTox</w:t>
              </w:r>
              <w:proofErr w:type="spellEnd"/>
            </w:hyperlink>
            <w:r w:rsidRPr="00E752ED">
              <w:rPr>
                <w:lang w:eastAsia="en-GB"/>
              </w:rPr>
              <w:t xml:space="preserve"> to determine if concomitant medicines(s) are hepatotoxic)</w:t>
            </w:r>
          </w:p>
          <w:p w14:paraId="411C9F32" w14:textId="77777777" w:rsidR="009F4C18" w:rsidRDefault="009F4C18" w:rsidP="00076F6C">
            <w:pPr>
              <w:pStyle w:val="Bulletindent1"/>
            </w:pPr>
            <w:r>
              <w:t xml:space="preserve">Known heart disease (e.g. coronary artery disease, severe cardiac insufficiency, conduction disturbances, bradycardia &lt; 50 beats per minute) </w:t>
            </w:r>
          </w:p>
          <w:p w14:paraId="3573C79D" w14:textId="77777777" w:rsidR="005D580E" w:rsidRDefault="005D580E" w:rsidP="00076F6C">
            <w:pPr>
              <w:pStyle w:val="Bulletindent1"/>
            </w:pPr>
            <w:r>
              <w:t xml:space="preserve">Known porphyria </w:t>
            </w:r>
          </w:p>
          <w:p w14:paraId="28409FF0" w14:textId="3139D728" w:rsidR="007210CD" w:rsidRPr="005273D0" w:rsidRDefault="007210CD" w:rsidP="00076F6C">
            <w:pPr>
              <w:pStyle w:val="Bulletindent1"/>
            </w:pPr>
            <w:r w:rsidRPr="007210CD">
              <w:t>Less than 3 days before receiving, or within 3 days after receiving, oral typhoid vaccine</w:t>
            </w:r>
          </w:p>
          <w:p w14:paraId="242D0FB3" w14:textId="3F164516" w:rsidR="00CB4A2B" w:rsidRDefault="00793D7D" w:rsidP="00076F6C">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27B3E5D7" w14:textId="77777777" w:rsidR="00076F6C" w:rsidRPr="003E6BD4" w:rsidRDefault="009F4C18" w:rsidP="003E6BD4">
            <w:pPr>
              <w:pStyle w:val="Tabletext"/>
              <w:rPr>
                <w:rFonts w:eastAsia="Calibri"/>
              </w:rPr>
            </w:pPr>
            <w:r w:rsidRPr="003E6BD4">
              <w:rPr>
                <w:rFonts w:eastAsia="Calibri"/>
                <w:b/>
                <w:bCs/>
              </w:rPr>
              <w:t>Breastfeeding individuals:</w:t>
            </w:r>
            <w:r w:rsidRPr="003E6BD4">
              <w:rPr>
                <w:rFonts w:eastAsia="Calibri"/>
              </w:rPr>
              <w:t xml:space="preserve"> </w:t>
            </w:r>
            <w:r w:rsidR="00076F6C" w:rsidRPr="003E6BD4">
              <w:rPr>
                <w:rFonts w:eastAsia="Calibri"/>
              </w:rPr>
              <w:t xml:space="preserve">avoid direct contact between infant and impetigo lesion(s).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3E6BD4" w:rsidRDefault="009F4C18" w:rsidP="003E6BD4">
            <w:pPr>
              <w:pStyle w:val="Tabletext"/>
              <w:rPr>
                <w:rFonts w:eastAsia="Calibri"/>
              </w:rPr>
            </w:pPr>
            <w:r w:rsidRPr="003E6BD4">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lastRenderedPageBreak/>
              <w:t>Lactose, sucrose, fructose and sorbitol:</w:t>
            </w:r>
          </w:p>
          <w:p w14:paraId="16544F96" w14:textId="497ABEBC" w:rsidR="00E12123" w:rsidRPr="000B32D0" w:rsidRDefault="00E12123" w:rsidP="003E6BD4">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2" w:history="1">
              <w:r w:rsidR="00A16080">
                <w:rPr>
                  <w:rStyle w:val="Hyperlink"/>
                  <w:rFonts w:cs="Arial"/>
                </w:rPr>
                <w:t>SmPC which can be accessed on the EMC website</w:t>
              </w:r>
            </w:hyperlink>
            <w:r w:rsidRPr="000B32D0">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43"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4"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Pr="003E6BD4" w:rsidRDefault="00A16080" w:rsidP="00E12123">
            <w:pPr>
              <w:rPr>
                <w:rStyle w:val="TableHeaderColumn"/>
              </w:rPr>
            </w:pPr>
            <w:r w:rsidRPr="003E6BD4">
              <w:rPr>
                <w:rFonts w:ascii="Arial" w:hAnsi="Arial"/>
                <w:b/>
                <w:bCs/>
                <w:sz w:val="22"/>
                <w:szCs w:val="22"/>
              </w:rPr>
              <w:lastRenderedPageBreak/>
              <w:t>Specific information for suspected infection to be provided</w:t>
            </w:r>
          </w:p>
        </w:tc>
        <w:tc>
          <w:tcPr>
            <w:tcW w:w="5953" w:type="dxa"/>
          </w:tcPr>
          <w:p w14:paraId="0AECE2F1" w14:textId="77777777" w:rsidR="003E6BD4" w:rsidRPr="003E6BD4" w:rsidRDefault="003E6BD4" w:rsidP="003E6BD4">
            <w:pPr>
              <w:pStyle w:val="Bulletindent1"/>
              <w:rPr>
                <w:u w:val="single"/>
              </w:rPr>
            </w:pPr>
            <w:hyperlink r:id="rId45" w:history="1">
              <w:r w:rsidRPr="003E6BD4">
                <w:rPr>
                  <w:rStyle w:val="Hyperlink"/>
                </w:rPr>
                <w:t>Provide information on impetigo (British Association of Dermatologists patient information leaflet)</w:t>
              </w:r>
            </w:hyperlink>
            <w:r w:rsidRPr="003E6BD4">
              <w:rPr>
                <w:u w:val="single"/>
              </w:rPr>
              <w:t xml:space="preserve"> </w:t>
            </w:r>
          </w:p>
          <w:p w14:paraId="51254FAC" w14:textId="769A1141" w:rsidR="00A16080" w:rsidRPr="003E6BD4" w:rsidRDefault="007B0AFE" w:rsidP="007B0AFE">
            <w:pPr>
              <w:pStyle w:val="Bulletindent1"/>
            </w:pPr>
            <w:hyperlink r:id="rId46" w:history="1">
              <w:r w:rsidRPr="003E6BD4">
                <w:rPr>
                  <w:rStyle w:val="Hyperlink"/>
                </w:rPr>
                <w:t xml:space="preserve">Provide information on impetigo </w:t>
              </w:r>
              <w:proofErr w:type="gramStart"/>
              <w:r w:rsidRPr="003E6BD4">
                <w:rPr>
                  <w:rStyle w:val="Hyperlink"/>
                </w:rPr>
                <w:t>( from</w:t>
              </w:r>
              <w:proofErr w:type="gramEnd"/>
              <w:r w:rsidRPr="003E6BD4">
                <w:rPr>
                  <w:rStyle w:val="Hyperlink"/>
                </w:rPr>
                <w:t xml:space="preserve">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E2016F0" w14:textId="77777777" w:rsidR="007B0AFE" w:rsidRPr="00D76227" w:rsidRDefault="007B0AFE" w:rsidP="007B0AFE">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47"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6942A969" w14:textId="77777777" w:rsidR="007B0AFE" w:rsidRPr="00D76227" w:rsidRDefault="007B0AFE" w:rsidP="007B0AFE">
            <w:pPr>
              <w:pStyle w:val="Bulletindent1"/>
              <w:rPr>
                <w:rFonts w:eastAsia="Calibri"/>
              </w:rPr>
            </w:pPr>
            <w:r w:rsidRPr="00D76227">
              <w:rPr>
                <w:rFonts w:eastAsia="Calibri"/>
                <w:lang w:val="en-US"/>
              </w:rPr>
              <w:t>Advise individual/carer/parent guardian to seek medical advice if:</w:t>
            </w:r>
          </w:p>
          <w:p w14:paraId="3D6A09F8" w14:textId="77777777" w:rsidR="007B0AFE" w:rsidRPr="00D76227" w:rsidRDefault="007B0AFE" w:rsidP="007B0AFE">
            <w:pPr>
              <w:pStyle w:val="Bulletindent1"/>
              <w:numPr>
                <w:ilvl w:val="1"/>
                <w:numId w:val="15"/>
              </w:numPr>
              <w:rPr>
                <w:rFonts w:eastAsia="Calibri"/>
              </w:rPr>
            </w:pPr>
            <w:r w:rsidRPr="00D76227">
              <w:rPr>
                <w:rFonts w:eastAsia="Calibri"/>
                <w:lang w:val="en-US"/>
              </w:rPr>
              <w:t xml:space="preserve">Symptoms worsen rapidly or  </w:t>
            </w:r>
          </w:p>
          <w:p w14:paraId="280D4D5B" w14:textId="77777777" w:rsidR="007B0AFE" w:rsidRPr="00D76227" w:rsidRDefault="007B0AFE" w:rsidP="007B0AFE">
            <w:pPr>
              <w:pStyle w:val="Bulletindent1"/>
              <w:numPr>
                <w:ilvl w:val="1"/>
                <w:numId w:val="15"/>
              </w:numPr>
              <w:rPr>
                <w:rFonts w:eastAsia="Calibri"/>
                <w:b/>
              </w:rPr>
            </w:pPr>
            <w:r w:rsidRPr="00D76227">
              <w:rPr>
                <w:rFonts w:eastAsia="Calibri"/>
              </w:rPr>
              <w:t xml:space="preserve">Symptoms worsen significantly </w:t>
            </w:r>
          </w:p>
          <w:p w14:paraId="1993F808" w14:textId="77777777" w:rsidR="007B0AFE" w:rsidRDefault="007B0AFE" w:rsidP="007F1BF9">
            <w:pPr>
              <w:pStyle w:val="Tabletext"/>
              <w:rPr>
                <w:b/>
                <w:bCs/>
              </w:rPr>
            </w:pPr>
          </w:p>
          <w:p w14:paraId="0D432801" w14:textId="77777777" w:rsidR="007B0AFE" w:rsidRPr="007B0AFE" w:rsidRDefault="007B0AFE" w:rsidP="007B0AFE">
            <w:pPr>
              <w:pStyle w:val="Tabletext"/>
              <w:rPr>
                <w:b/>
                <w:bCs/>
                <w:lang w:val="en-GB"/>
              </w:rPr>
            </w:pPr>
            <w:r w:rsidRPr="007B0AFE">
              <w:rPr>
                <w:b/>
                <w:bCs/>
                <w:lang w:val="en-GB"/>
              </w:rPr>
              <w:t>Refer to a local health protection team (or a consultant in Communicable Disease Control) for further assessment if:</w:t>
            </w:r>
          </w:p>
          <w:p w14:paraId="64625673" w14:textId="77777777" w:rsidR="007B0AFE" w:rsidRPr="007B0AFE" w:rsidRDefault="007B0AFE" w:rsidP="007B0AFE">
            <w:pPr>
              <w:pStyle w:val="Bulletindent1"/>
            </w:pPr>
            <w:r w:rsidRPr="007B0AFE">
              <w:t>Suspect a significant local outbreak (e.g. in a nursing home, crèche, school etc.)</w:t>
            </w:r>
          </w:p>
          <w:p w14:paraId="2B9B5A70" w14:textId="77777777" w:rsidR="007B0AFE" w:rsidRPr="007B0AFE" w:rsidRDefault="007B0AFE" w:rsidP="007B0AFE">
            <w:pPr>
              <w:pStyle w:val="Tabletext"/>
              <w:rPr>
                <w:b/>
                <w:bCs/>
              </w:rPr>
            </w:pPr>
          </w:p>
          <w:p w14:paraId="01E93A4E" w14:textId="77777777" w:rsidR="007B0AFE" w:rsidRPr="007B0AFE" w:rsidRDefault="007B0AFE" w:rsidP="007B0AFE">
            <w:pPr>
              <w:pStyle w:val="Tabletext"/>
              <w:rPr>
                <w:b/>
                <w:bCs/>
              </w:rPr>
            </w:pPr>
            <w:r w:rsidRPr="007B0AFE">
              <w:rPr>
                <w:b/>
                <w:bCs/>
              </w:rPr>
              <w:t xml:space="preserve">Refer urgently to a prescriber for further assessment if:  </w:t>
            </w:r>
          </w:p>
          <w:p w14:paraId="6B6E7DFA" w14:textId="77777777" w:rsidR="007B0AFE" w:rsidRPr="007B0AFE" w:rsidRDefault="007B0AFE" w:rsidP="007B0AFE">
            <w:pPr>
              <w:pStyle w:val="Bulletindent1"/>
            </w:pPr>
            <w:r w:rsidRPr="007B0AFE">
              <w:t>Bullous impetigo (characterised by flaccid fluid-filled vesicles and blisters (often with a diameter of 1-2cm) which can persist for 2-3 days. Lesions rupture, leaving a thin, flat, yellow-brown crust)</w:t>
            </w:r>
          </w:p>
          <w:p w14:paraId="08E3D025" w14:textId="6EA42651" w:rsidR="007B0AFE" w:rsidRPr="007B0AFE" w:rsidRDefault="007B0AFE" w:rsidP="007B0AFE">
            <w:pPr>
              <w:pStyle w:val="Bulletindent1"/>
            </w:pPr>
            <w:r w:rsidRPr="007B0AFE">
              <w:t>Individual is systemically unwell</w:t>
            </w:r>
            <w:r>
              <w:t>,</w:t>
            </w:r>
            <w:r w:rsidRPr="007B0AFE">
              <w:t xml:space="preserve"> but not showing signs or symptoms of sepsis</w:t>
            </w:r>
          </w:p>
          <w:p w14:paraId="26B4CA46" w14:textId="77777777" w:rsidR="007B0AFE" w:rsidRPr="007B0AFE" w:rsidRDefault="007B0AFE" w:rsidP="007B0AFE">
            <w:pPr>
              <w:pStyle w:val="Bulletindent1"/>
            </w:pPr>
            <w:r w:rsidRPr="007B0AFE">
              <w:t>Individuals considered to be clinically at high risk of complications (e.g. severely immunosuppressed or immunosuppressed and infection is localised)</w:t>
            </w:r>
          </w:p>
          <w:p w14:paraId="00C0A711" w14:textId="77777777" w:rsidR="007B0AFE" w:rsidRPr="007B0AFE" w:rsidRDefault="007B0AFE" w:rsidP="007B0AFE">
            <w:pPr>
              <w:pStyle w:val="Bulletindent1"/>
            </w:pPr>
            <w:r w:rsidRPr="007B0AFE">
              <w:t xml:space="preserve">Recurrent impetigo </w:t>
            </w:r>
            <w:r w:rsidRPr="007B0AFE">
              <w:rPr>
                <w:lang w:val="en-US" w:bidi="en-GB"/>
              </w:rPr>
              <w:t>(defined as 2 or more episodes in the same year)</w:t>
            </w:r>
          </w:p>
          <w:p w14:paraId="79D5DD29" w14:textId="77777777" w:rsidR="007B0AFE" w:rsidRPr="007B0AFE" w:rsidRDefault="007B0AFE" w:rsidP="007B0AFE">
            <w:pPr>
              <w:pStyle w:val="Bulletindent1"/>
            </w:pPr>
            <w:r w:rsidRPr="007B0AFE">
              <w:t>Individuals where treatment under this PGD is not indicated/permitted but dermatological symptoms are present and require further assessment</w:t>
            </w:r>
          </w:p>
          <w:p w14:paraId="1C92719F" w14:textId="77777777" w:rsidR="007B0AFE" w:rsidRPr="007B0AFE" w:rsidRDefault="007B0AFE" w:rsidP="007B0AFE">
            <w:pPr>
              <w:pStyle w:val="Tabletext"/>
              <w:rPr>
                <w:b/>
                <w:bCs/>
                <w:lang w:val="en-GB"/>
              </w:rPr>
            </w:pPr>
          </w:p>
          <w:p w14:paraId="391DAC37" w14:textId="77777777" w:rsidR="007B0AFE" w:rsidRPr="007B0AFE" w:rsidRDefault="007B0AFE" w:rsidP="007B0AFE">
            <w:pPr>
              <w:pStyle w:val="Tabletext"/>
              <w:rPr>
                <w:b/>
                <w:bCs/>
                <w:lang w:val="en-GB"/>
              </w:rPr>
            </w:pPr>
            <w:r w:rsidRPr="007B0AFE">
              <w:rPr>
                <w:b/>
                <w:bCs/>
                <w:lang w:val="en-GB"/>
              </w:rPr>
              <w:t>Refer urgently to A&amp;E for further assessment if:</w:t>
            </w:r>
          </w:p>
          <w:p w14:paraId="42649073" w14:textId="77777777" w:rsidR="007B0AFE" w:rsidRPr="007B0AFE" w:rsidRDefault="007B0AFE" w:rsidP="007B0AFE">
            <w:pPr>
              <w:pStyle w:val="Bulletindent1"/>
            </w:pPr>
            <w:r w:rsidRPr="007B0AFE">
              <w:t xml:space="preserve">Individual is severely immunosuppressed </w:t>
            </w:r>
            <w:proofErr w:type="gramStart"/>
            <w:r w:rsidRPr="007B0AFE">
              <w:t>or  immunosuppressed</w:t>
            </w:r>
            <w:proofErr w:type="gramEnd"/>
            <w:r w:rsidRPr="007B0AFE">
              <w:t xml:space="preserve"> and infection is widespread</w:t>
            </w:r>
          </w:p>
          <w:p w14:paraId="270656C8" w14:textId="77777777" w:rsidR="007B0AFE" w:rsidRPr="007B0AFE" w:rsidRDefault="007B0AFE" w:rsidP="007B0AFE">
            <w:pPr>
              <w:pStyle w:val="Bulletindent1"/>
            </w:pPr>
            <w:r w:rsidRPr="007B0AFE">
              <w:rPr>
                <w:lang w:val="en-US" w:bidi="en-GB"/>
              </w:rPr>
              <w:t xml:space="preserve">Signs/symptoms of a more serious condition/illness (e.g. swelling, large blisters, pain, pus or spreading redness) are present and </w:t>
            </w:r>
            <w:hyperlink r:id="rId48" w:history="1">
              <w:r w:rsidRPr="007B0AFE">
                <w:rPr>
                  <w:rStyle w:val="Hyperlink"/>
                </w:rPr>
                <w:t>complications of impetigo as described in NICE CKS - impetigo</w:t>
              </w:r>
            </w:hyperlink>
            <w:r w:rsidRPr="007B0AFE">
              <w:t xml:space="preserve"> (e.g. cellulitis, Staphylococcal scalded skin syndrome, or other deep soft tissue infection) are suspected.</w:t>
            </w:r>
          </w:p>
          <w:p w14:paraId="1480C254" w14:textId="77777777" w:rsidR="007B0AFE" w:rsidRDefault="007B0AFE" w:rsidP="007F1BF9">
            <w:pPr>
              <w:pStyle w:val="Tabletext"/>
              <w:rPr>
                <w:b/>
                <w:bCs/>
              </w:rPr>
            </w:pPr>
          </w:p>
          <w:p w14:paraId="1ACA62F4" w14:textId="59D29F19" w:rsidR="00C3283F" w:rsidRPr="00A16080" w:rsidRDefault="00A16080" w:rsidP="00012301">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174D0B5D" w14:textId="3A601A9D" w:rsidR="007B0AFE" w:rsidRPr="003E6BD4" w:rsidRDefault="007B0AFE" w:rsidP="007B0AFE">
            <w:pPr>
              <w:pStyle w:val="Bulletindent1"/>
              <w:rPr>
                <w:rStyle w:val="Hyperlink"/>
              </w:rPr>
            </w:pPr>
            <w:r w:rsidRPr="00A16080">
              <w:t xml:space="preserve">Provide safety netting advice and advise individual/carer/parent/guardian of alternative treatment available using </w:t>
            </w:r>
            <w:hyperlink r:id="rId49" w:history="1">
              <w:r w:rsidRPr="003E6BD4">
                <w:rPr>
                  <w:rStyle w:val="Hyperlink"/>
                </w:rPr>
                <w:t xml:space="preserve"> information on impetigo </w:t>
              </w:r>
              <w:r w:rsidR="003E6BD4" w:rsidRPr="003E6BD4">
                <w:rPr>
                  <w:rStyle w:val="Hyperlink"/>
                </w:rPr>
                <w:t>(from</w:t>
              </w:r>
              <w:r w:rsidRPr="003E6BD4">
                <w:rPr>
                  <w:rStyle w:val="Hyperlink"/>
                </w:rPr>
                <w:t xml:space="preserve">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7C54D66A"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66271FE" w14:textId="77777777" w:rsidR="003E6BD4" w:rsidRDefault="003E6BD4" w:rsidP="00012301">
            <w:pPr>
              <w:pStyle w:val="Tabletext"/>
              <w:rPr>
                <w:lang w:val="en-GB"/>
              </w:rPr>
            </w:pPr>
          </w:p>
          <w:p w14:paraId="2F80A7E2" w14:textId="77777777" w:rsidR="00012301" w:rsidRPr="00012301" w:rsidRDefault="00012301" w:rsidP="00012301">
            <w:pPr>
              <w:pStyle w:val="Tabletext"/>
              <w:rPr>
                <w:bCs/>
                <w:iCs/>
                <w:u w:val="single"/>
              </w:rPr>
            </w:pPr>
            <w:hyperlink r:id="rId50" w:history="1">
              <w:r w:rsidRPr="00012301">
                <w:rPr>
                  <w:rStyle w:val="Hyperlink"/>
                  <w:bCs/>
                  <w:iCs/>
                </w:rPr>
                <w:t>Manipulating solid dosage forms</w:t>
              </w:r>
            </w:hyperlink>
            <w:r w:rsidRPr="00012301">
              <w:rPr>
                <w:bCs/>
                <w:iCs/>
                <w:u w:val="single"/>
              </w:rPr>
              <w:t xml:space="preserve"> </w:t>
            </w:r>
          </w:p>
          <w:p w14:paraId="75B562A3" w14:textId="7592EF12" w:rsid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r w:rsidR="003E6BD4">
              <w:t>.</w:t>
            </w:r>
          </w:p>
          <w:p w14:paraId="7E5E22C9" w14:textId="77777777" w:rsidR="003E6BD4" w:rsidRPr="00012301" w:rsidRDefault="003E6BD4" w:rsidP="00012301">
            <w:pPr>
              <w:pStyle w:val="Tabletext"/>
            </w:pP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w:t>
            </w:r>
            <w:r w:rsidRPr="00012301">
              <w:lastRenderedPageBreak/>
              <w:t>undertaken by anyone with, or in the vicinity of someone with a macrolide allergy. Enteric coated 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Note: some generic products advise to give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77777777" w:rsidR="00090695" w:rsidRPr="00090695" w:rsidRDefault="00090695" w:rsidP="00090695">
            <w:pPr>
              <w:pStyle w:val="Tabletext"/>
              <w:rPr>
                <w:b/>
                <w:bCs/>
              </w:rPr>
            </w:pPr>
            <w:r w:rsidRPr="00090695">
              <w:rPr>
                <w:b/>
                <w:bCs/>
              </w:rPr>
              <w:t xml:space="preserve">Young people and adults aged 16 years and over: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77777777" w:rsidR="00090695" w:rsidRPr="00090695" w:rsidRDefault="00090695" w:rsidP="00090695">
            <w:pPr>
              <w:pStyle w:val="Tabletext"/>
              <w:rPr>
                <w:b/>
                <w:bCs/>
              </w:rPr>
            </w:pPr>
            <w:r w:rsidRPr="00090695">
              <w:rPr>
                <w:b/>
                <w:bCs/>
              </w:rPr>
              <w:t xml:space="preserve">Young people and adults aged 16 years and over: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lastRenderedPageBreak/>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lastRenderedPageBreak/>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3D20020E"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51" w:history="1">
              <w:r>
                <w:rPr>
                  <w:rStyle w:val="Hyperlink"/>
                  <w:rFonts w:ascii="Arial" w:eastAsia="Times New Roman" w:hAnsi="Arial" w:cs="Arial"/>
                  <w:kern w:val="0"/>
                  <w:sz w:val="22"/>
                  <w14:ligatures w14:val="none"/>
                </w:rPr>
                <w:t xml:space="preserve"> </w:t>
              </w:r>
              <w:r w:rsidR="003E6BD4">
                <w:rPr>
                  <w:rStyle w:val="Hyperlink"/>
                  <w:rFonts w:ascii="Arial" w:eastAsia="Times New Roman" w:hAnsi="Arial" w:cs="Arial"/>
                  <w:kern w:val="0"/>
                  <w:sz w:val="22"/>
                  <w:lang w:val="en-US"/>
                  <w14:ligatures w14:val="none"/>
                </w:rPr>
                <w:t>p</w:t>
              </w:r>
              <w:r w:rsidR="003E6BD4">
                <w:rPr>
                  <w:rStyle w:val="Hyperlink"/>
                  <w:rFonts w:ascii="Arial" w:eastAsia="Times New Roman" w:hAnsi="Arial" w:cs="Arial"/>
                  <w:sz w:val="22"/>
                  <w:lang w:val="en-US"/>
                </w:rPr>
                <w:t xml:space="preserve">roduct </w:t>
              </w:r>
              <w:r w:rsidR="003E6BD4" w:rsidRPr="0018109D">
                <w:rPr>
                  <w:rStyle w:val="Hyperlink"/>
                  <w:rFonts w:ascii="Arial" w:eastAsia="Times New Roman" w:hAnsi="Arial" w:cs="Arial"/>
                  <w:kern w:val="0"/>
                  <w:sz w:val="22"/>
                  <w:lang w:val="en-US"/>
                  <w14:ligatures w14:val="none"/>
                </w:rPr>
                <w:t>SmPC</w:t>
              </w:r>
              <w:r w:rsidRPr="0018109D">
                <w:rPr>
                  <w:rStyle w:val="Hyperlink"/>
                  <w:rFonts w:ascii="Arial" w:eastAsia="Times New Roman" w:hAnsi="Arial" w:cs="Arial"/>
                  <w:kern w:val="0"/>
                  <w:sz w:val="22"/>
                  <w:lang w:val="en-US"/>
                  <w14:ligatures w14:val="none"/>
                </w:rPr>
                <w:t xml:space="preserve"> which is available on the EMC website</w:t>
              </w:r>
            </w:hyperlink>
            <w:r w:rsidR="003E6BD4">
              <w:t>.</w:t>
            </w:r>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8" w:name="Interactions"/>
            <w:bookmarkEnd w:id="8"/>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proofErr w:type="spellStart"/>
            <w:r w:rsidRPr="00F1623B">
              <w:t>Astemizole</w:t>
            </w:r>
            <w:proofErr w:type="spellEnd"/>
            <w:r w:rsidRPr="00F1623B">
              <w:t xml:space="preserve">, </w:t>
            </w:r>
            <w:proofErr w:type="spellStart"/>
            <w:r w:rsidRPr="00F1623B">
              <w:rPr>
                <w:i/>
              </w:rPr>
              <w:t>cisapride</w:t>
            </w:r>
            <w:proofErr w:type="spellEnd"/>
            <w:r>
              <w:rPr>
                <w:i/>
              </w:rPr>
              <w:t>*</w:t>
            </w:r>
            <w:r w:rsidRPr="00F1623B">
              <w:t xml:space="preserve">, </w:t>
            </w:r>
            <w:proofErr w:type="spellStart"/>
            <w:r w:rsidRPr="00F1623B">
              <w:rPr>
                <w:i/>
              </w:rPr>
              <w:t>mizolastine</w:t>
            </w:r>
            <w:proofErr w:type="spellEnd"/>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proofErr w:type="spellStart"/>
            <w:r>
              <w:t>Lomitapide</w:t>
            </w:r>
            <w:proofErr w:type="spellEnd"/>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52"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53"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w:t>
            </w:r>
            <w:r w:rsidRPr="00517A11">
              <w:rPr>
                <w:rFonts w:ascii="Arial" w:hAnsi="Arial" w:cs="Arial"/>
                <w:lang w:val="en-GB"/>
              </w:rPr>
              <w:lastRenderedPageBreak/>
              <w:t xml:space="preserve">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4"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55A1944A" w14:textId="77777777" w:rsidR="00090695" w:rsidRPr="00090695" w:rsidRDefault="00090695" w:rsidP="00090695">
            <w:pPr>
              <w:pStyle w:val="Tabletext"/>
              <w:rPr>
                <w:rFonts w:eastAsia="Calibri"/>
              </w:rPr>
            </w:pPr>
            <w:r w:rsidRPr="00090695">
              <w:rPr>
                <w:lang w:eastAsia="en-GB"/>
              </w:rPr>
              <w:t>Where it is known an individual is concurrently taking one of the following medicines,</w:t>
            </w:r>
            <w:r w:rsidRPr="00090695">
              <w:rPr>
                <w:rFonts w:eastAsia="Calibri"/>
              </w:rPr>
              <w:t xml:space="preserve"> that are known or suspected to be affected by erythromycin,</w:t>
            </w:r>
            <w:r w:rsidRPr="00090695">
              <w:rPr>
                <w:lang w:eastAsia="en-GB"/>
              </w:rPr>
              <w:t xml:space="preserve"> erythromycin must not be supplied under this PGD and the individual referred to a prescriber:</w:t>
            </w:r>
          </w:p>
          <w:p w14:paraId="32C2CA61" w14:textId="77777777" w:rsidR="00090695" w:rsidRPr="00090695" w:rsidRDefault="00090695" w:rsidP="00090695">
            <w:pPr>
              <w:widowControl w:val="0"/>
              <w:spacing w:after="0" w:line="240" w:lineRule="auto"/>
              <w:rPr>
                <w:rFonts w:ascii="Arial" w:eastAsia="Calibri" w:hAnsi="Arial" w:cs="Arial"/>
                <w:kern w:val="0"/>
                <w:sz w:val="22"/>
                <w:szCs w:val="22"/>
                <w14:ligatures w14:val="none"/>
              </w:rPr>
            </w:pPr>
          </w:p>
          <w:p w14:paraId="75DAA980" w14:textId="77777777" w:rsidR="00090695" w:rsidRPr="00090695" w:rsidRDefault="00090695" w:rsidP="00090695">
            <w:pPr>
              <w:pStyle w:val="Bulletindent1"/>
              <w:rPr>
                <w:rFonts w:eastAsia="Calibri"/>
              </w:rPr>
            </w:pPr>
            <w:r w:rsidRPr="00090695">
              <w:rPr>
                <w:rFonts w:eastAsia="Calibri"/>
                <w:bCs/>
                <w:color w:val="000000"/>
              </w:rPr>
              <w:t>Direct oral anticoagulants (DOACs)</w:t>
            </w:r>
            <w:r w:rsidRPr="00090695">
              <w:rPr>
                <w:rFonts w:eastAsia="Calibri"/>
                <w:color w:val="000000"/>
              </w:rPr>
              <w:t xml:space="preserve"> (e.g. apixaban, dabigatran, </w:t>
            </w:r>
            <w:proofErr w:type="spellStart"/>
            <w:r w:rsidRPr="00090695">
              <w:rPr>
                <w:rFonts w:eastAsia="Calibri"/>
                <w:color w:val="000000"/>
              </w:rPr>
              <w:t>edoxaban</w:t>
            </w:r>
            <w:proofErr w:type="spellEnd"/>
            <w:r w:rsidRPr="00090695">
              <w:rPr>
                <w:rFonts w:eastAsia="Calibri"/>
                <w:color w:val="000000"/>
              </w:rPr>
              <w:t xml:space="preserve">, rivaroxaban) </w:t>
            </w:r>
            <w:r w:rsidRPr="00090695">
              <w:rPr>
                <w:rFonts w:eastAsia="Calibri"/>
              </w:rPr>
              <w:t xml:space="preserve">(see: </w:t>
            </w:r>
            <w:hyperlink r:id="rId55" w:history="1">
              <w:r w:rsidRPr="00090695">
                <w:rPr>
                  <w:rFonts w:eastAsia="Calibri"/>
                  <w:color w:val="0000FF"/>
                  <w:u w:val="single"/>
                </w:rPr>
                <w:t>MHRA/CHM advice</w:t>
              </w:r>
            </w:hyperlink>
            <w:r w:rsidRPr="00090695">
              <w:rPr>
                <w:rFonts w:eastAsia="Calibri"/>
              </w:rPr>
              <w:t>).</w:t>
            </w:r>
          </w:p>
          <w:p w14:paraId="60A59187" w14:textId="77777777" w:rsidR="00090695" w:rsidRPr="00DD21A7" w:rsidRDefault="00090695" w:rsidP="00DD21A7">
            <w:pPr>
              <w:pStyle w:val="Bulletindent1"/>
            </w:pPr>
            <w:r w:rsidRPr="00DD21A7">
              <w:t xml:space="preserve">Statins </w:t>
            </w:r>
          </w:p>
          <w:p w14:paraId="4ACCD5F6" w14:textId="77777777" w:rsidR="00090695" w:rsidRPr="00DD21A7" w:rsidRDefault="00090695" w:rsidP="00DD21A7">
            <w:pPr>
              <w:pStyle w:val="Bulletindent1"/>
            </w:pPr>
            <w:r w:rsidRPr="00DD21A7">
              <w:t>Calcium channel blockers (amlodipine, diltiazem, felodipine, lercanidipine, nifedipine or verapamil)</w:t>
            </w:r>
          </w:p>
          <w:p w14:paraId="2F392A1E" w14:textId="77777777" w:rsidR="00090695" w:rsidRPr="00DD21A7" w:rsidRDefault="00090695" w:rsidP="00DD21A7">
            <w:pPr>
              <w:pStyle w:val="Bulletindent1"/>
            </w:pPr>
            <w:r w:rsidRPr="00DD21A7">
              <w:t xml:space="preserve">Digoxin </w:t>
            </w:r>
          </w:p>
          <w:p w14:paraId="3F117C04" w14:textId="77777777" w:rsidR="00090695" w:rsidRPr="00DD21A7" w:rsidRDefault="00090695" w:rsidP="00DD21A7">
            <w:pPr>
              <w:pStyle w:val="Bulletindent1"/>
            </w:pPr>
            <w:r w:rsidRPr="00DD21A7">
              <w:t xml:space="preserve">Medicines known to cause hypokalaemia (e.g. diuretics, corticosteroids, xanthines). </w:t>
            </w:r>
          </w:p>
          <w:p w14:paraId="48934A98" w14:textId="77777777" w:rsidR="00090695" w:rsidRDefault="00090695" w:rsidP="00090695">
            <w:pPr>
              <w:pStyle w:val="TableParagraph"/>
              <w:ind w:left="360"/>
              <w:rPr>
                <w:rFonts w:ascii="Arial" w:eastAsia="Times New Roman" w:hAnsi="Arial" w:cs="Arial"/>
                <w:i/>
                <w:lang w:val="en-GB" w:eastAsia="en-GB"/>
              </w:rPr>
            </w:pPr>
          </w:p>
          <w:p w14:paraId="43E86100" w14:textId="2DDD6EC4" w:rsidR="00012301" w:rsidRDefault="00012301" w:rsidP="00012301">
            <w:pPr>
              <w:pStyle w:val="Tabletext"/>
              <w:rPr>
                <w:rFonts w:cs="Arial"/>
              </w:rPr>
            </w:pPr>
            <w:r w:rsidRPr="00FA5C07">
              <w:t xml:space="preserve">See </w:t>
            </w:r>
            <w:hyperlink r:id="rId56"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7" w:history="1">
              <w:r>
                <w:rPr>
                  <w:rStyle w:val="Hyperlink"/>
                  <w:lang w:val="en-GB"/>
                </w:rPr>
                <w:t>SmPC which is available on the EMC website</w:t>
              </w:r>
            </w:hyperlink>
            <w:r>
              <w:rPr>
                <w:rFonts w:cs="Arial"/>
                <w:color w:val="000000"/>
                <w:lang w:val="en-GB"/>
              </w:rPr>
              <w:t xml:space="preserve"> </w:t>
            </w:r>
            <w:r w:rsidRPr="00D54EC6">
              <w:t xml:space="preserve">or </w:t>
            </w:r>
            <w:hyperlink r:id="rId58"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9" w:history="1">
              <w:r>
                <w:rPr>
                  <w:rStyle w:val="Hyperlink"/>
                  <w:lang w:val="en-GB"/>
                </w:rPr>
                <w:t>SmPC which is available on the EMC website</w:t>
              </w:r>
            </w:hyperlink>
            <w:r w:rsidRPr="00E82744">
              <w:rPr>
                <w:lang w:val="en-GB"/>
              </w:rPr>
              <w:t xml:space="preserve"> or </w:t>
            </w:r>
            <w:hyperlink r:id="rId60"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Pr="00A60B50">
              <w:rPr>
                <w:rFonts w:eastAsia="Calibri"/>
              </w:rPr>
              <w:lastRenderedPageBreak/>
              <w:t xml:space="preserve">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6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7CB8E0D8" w14:textId="77777777" w:rsidR="00645035" w:rsidRDefault="00645035" w:rsidP="00645035">
            <w:pPr>
              <w:pStyle w:val="Bulletindent1"/>
            </w:pPr>
            <w:r w:rsidRPr="00AF3EB7">
              <w:rPr>
                <w:rFonts w:cs="Arial"/>
                <w:iCs/>
              </w:rPr>
              <w:t>Signpost</w:t>
            </w:r>
            <w:r w:rsidRPr="00734C35">
              <w:t xml:space="preserve"> individual/carer/parent/guardian to </w:t>
            </w:r>
            <w:hyperlink r:id="rId63" w:history="1">
              <w:r w:rsidRPr="0070537E">
                <w:rPr>
                  <w:rStyle w:val="Hyperlink"/>
                </w:rPr>
                <w:t xml:space="preserve"> information on impetigo ( from the NHS website)</w:t>
              </w:r>
            </w:hyperlink>
            <w:r w:rsidRPr="00734C35">
              <w:t xml:space="preserve"> </w:t>
            </w:r>
            <w:r w:rsidRPr="00734C35">
              <w:lastRenderedPageBreak/>
              <w:t>re: transmission and the importance of good hygiene to prevent onward transmission.</w:t>
            </w:r>
          </w:p>
          <w:p w14:paraId="7DACADA5" w14:textId="77777777" w:rsidR="00012301" w:rsidRPr="006767D3" w:rsidRDefault="00012301" w:rsidP="00012301">
            <w:pPr>
              <w:pStyle w:val="Bulletindent1"/>
            </w:pPr>
            <w:r>
              <w:t xml:space="preserve">Utilise </w:t>
            </w:r>
            <w:hyperlink r:id="rId64" w:history="1">
              <w:r w:rsidRPr="00936DA7">
                <w:rPr>
                  <w:rStyle w:val="Hyperlink"/>
                  <w:rFonts w:cs="Arial"/>
                  <w:iCs/>
                </w:rPr>
                <w:t>TARGET antibiotic checklist</w:t>
              </w:r>
            </w:hyperlink>
            <w:r>
              <w:t xml:space="preserve"> for counselling individuals/carers/parents/guardians. </w:t>
            </w:r>
          </w:p>
          <w:p w14:paraId="72AB3536" w14:textId="5D6CFE5E" w:rsidR="00012301" w:rsidRDefault="00012301" w:rsidP="00012301">
            <w:pPr>
              <w:pStyle w:val="Bulletindent1"/>
            </w:pPr>
            <w:r w:rsidRPr="00A16080">
              <w:t>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lastRenderedPageBreak/>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4149AC"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5"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5635DA75" w14:textId="3F0F724F" w:rsidR="00012301" w:rsidRPr="00D37A41" w:rsidRDefault="00012301" w:rsidP="00864F3B">
            <w:pPr>
              <w:pStyle w:val="Bulletindent1"/>
              <w:rPr>
                <w:rFonts w:eastAsia="Calibri"/>
              </w:rPr>
            </w:pPr>
            <w:r w:rsidRPr="00D37A41">
              <w:rPr>
                <w:rFonts w:eastAsia="Calibri"/>
              </w:rPr>
              <w:t>Advise individual/carer/parent/guardian to seek medical help if symptoms worsen rapidly or significantly or do not improve after completion of treatment course.</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6"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645035"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5D22EF58" w14:textId="77777777" w:rsidR="00645035" w:rsidRPr="00AF3EB7" w:rsidRDefault="00645035" w:rsidP="00645035">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2044E221" w14:textId="77777777" w:rsidR="00645035" w:rsidRPr="00AF3EB7" w:rsidRDefault="00645035" w:rsidP="00645035">
            <w:pPr>
              <w:widowControl w:val="0"/>
              <w:spacing w:after="0" w:line="240" w:lineRule="auto"/>
              <w:rPr>
                <w:rFonts w:ascii="Arial" w:eastAsia="Calibri" w:hAnsi="Arial" w:cs="Arial"/>
                <w:iCs/>
                <w:kern w:val="0"/>
                <w:sz w:val="22"/>
                <w:szCs w:val="22"/>
                <w14:ligatures w14:val="none"/>
              </w:rPr>
            </w:pPr>
          </w:p>
          <w:p w14:paraId="0DA3D9B1" w14:textId="77777777" w:rsidR="00645035" w:rsidRPr="00AF3EB7" w:rsidRDefault="00645035" w:rsidP="00645035">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61E31CA3" w14:textId="77777777" w:rsidR="00645035" w:rsidRPr="00AF3EB7" w:rsidRDefault="00645035" w:rsidP="00645035">
            <w:pPr>
              <w:spacing w:after="0" w:line="240" w:lineRule="auto"/>
              <w:rPr>
                <w:rFonts w:ascii="Arial" w:eastAsia="Times New Roman" w:hAnsi="Arial" w:cs="Arial"/>
                <w:kern w:val="0"/>
                <w:sz w:val="22"/>
                <w:szCs w:val="22"/>
                <w:shd w:val="clear" w:color="auto" w:fill="FBFAF8"/>
                <w:lang w:eastAsia="en-GB"/>
                <w14:ligatures w14:val="none"/>
              </w:rPr>
            </w:pPr>
          </w:p>
          <w:p w14:paraId="60CE820A" w14:textId="77777777" w:rsidR="00645035" w:rsidRPr="00AF3EB7" w:rsidRDefault="00645035" w:rsidP="00645035">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6D5F97E4" w14:textId="77777777" w:rsidR="00645035" w:rsidRPr="00857E82" w:rsidRDefault="00645035" w:rsidP="00645035">
            <w:pPr>
              <w:pStyle w:val="NormalWeb"/>
              <w:shd w:val="clear" w:color="auto" w:fill="FFFFFF"/>
              <w:spacing w:before="0" w:beforeAutospacing="0" w:after="0" w:afterAutospacing="0"/>
              <w:rPr>
                <w:rFonts w:ascii="Arial" w:hAnsi="Arial" w:cs="Arial"/>
                <w:sz w:val="22"/>
                <w:szCs w:val="22"/>
                <w:shd w:val="clear" w:color="auto" w:fill="FBFAF8"/>
              </w:rPr>
            </w:pPr>
          </w:p>
          <w:p w14:paraId="0752F301" w14:textId="77777777" w:rsidR="00645035" w:rsidRPr="00857E82" w:rsidRDefault="00645035" w:rsidP="00645035">
            <w:pPr>
              <w:pStyle w:val="Bulletindent1"/>
            </w:pPr>
            <w:r w:rsidRPr="00857E82">
              <w:t xml:space="preserve">To help stop impetigo spreading or getting worse (while it’s still contagious), the following advice can be given to affected </w:t>
            </w:r>
            <w:r>
              <w:t>individuals</w:t>
            </w:r>
            <w:r w:rsidRPr="00857E82">
              <w:t>:</w:t>
            </w:r>
          </w:p>
          <w:p w14:paraId="14411381" w14:textId="77777777" w:rsidR="00645035" w:rsidRPr="00857E82" w:rsidRDefault="00645035" w:rsidP="00645035">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1F9600CD" w14:textId="77777777" w:rsidR="00645035" w:rsidRPr="00645035" w:rsidRDefault="00645035" w:rsidP="00645035">
            <w:pPr>
              <w:pStyle w:val="Bulletindent1"/>
              <w:numPr>
                <w:ilvl w:val="1"/>
                <w:numId w:val="15"/>
              </w:numPr>
              <w:rPr>
                <w:b/>
                <w:bCs/>
              </w:rPr>
            </w:pPr>
            <w:r w:rsidRPr="00645035">
              <w:rPr>
                <w:b/>
                <w:bCs/>
              </w:rPr>
              <w:t>Food handlers are required by law to inform employers immediately if they have impetigo</w:t>
            </w:r>
          </w:p>
          <w:p w14:paraId="58A97025" w14:textId="77777777" w:rsidR="00645035" w:rsidRPr="00857E82" w:rsidRDefault="00645035" w:rsidP="00645035">
            <w:pPr>
              <w:pStyle w:val="Bulletindent1"/>
              <w:numPr>
                <w:ilvl w:val="1"/>
                <w:numId w:val="15"/>
              </w:numPr>
            </w:pPr>
            <w:r>
              <w:t>W</w:t>
            </w:r>
            <w:r w:rsidRPr="00857E82">
              <w:t xml:space="preserve">ash hands with soap and warm water before and after applying the cream </w:t>
            </w:r>
          </w:p>
          <w:p w14:paraId="774013B4" w14:textId="77777777" w:rsidR="00645035" w:rsidRPr="00857E82" w:rsidRDefault="00645035" w:rsidP="00645035">
            <w:pPr>
              <w:pStyle w:val="Bulletindent1"/>
              <w:numPr>
                <w:ilvl w:val="1"/>
                <w:numId w:val="15"/>
              </w:numPr>
            </w:pPr>
            <w:r>
              <w:t>W</w:t>
            </w:r>
            <w:r w:rsidRPr="00857E82">
              <w:t>ash flannels, sheets and towels at a high temperature</w:t>
            </w:r>
          </w:p>
          <w:p w14:paraId="7040DF8B" w14:textId="77777777" w:rsidR="00645035" w:rsidRPr="0087390B" w:rsidRDefault="00645035" w:rsidP="00645035">
            <w:pPr>
              <w:pStyle w:val="Bulletindent1"/>
              <w:numPr>
                <w:ilvl w:val="1"/>
                <w:numId w:val="15"/>
              </w:numPr>
            </w:pPr>
            <w:r>
              <w:t>W</w:t>
            </w:r>
            <w:r w:rsidRPr="00857E82">
              <w:t xml:space="preserve">ash or wipe down toys with detergent and warm water. </w:t>
            </w:r>
            <w:r w:rsidRPr="00857E82">
              <w:rPr>
                <w:b/>
                <w:iCs/>
              </w:rPr>
              <w:t xml:space="preserve"> </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lastRenderedPageBreak/>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7"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lastRenderedPageBreak/>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2B4FE0B1" w14:textId="16E88227" w:rsidR="00645035" w:rsidRPr="00645035" w:rsidRDefault="00645035" w:rsidP="00920B43">
      <w:pPr>
        <w:pStyle w:val="Bulletindent1"/>
        <w:rPr>
          <w:rStyle w:val="Hyperlink"/>
        </w:rPr>
      </w:pPr>
      <w:hyperlink r:id="rId68" w:history="1">
        <w:r w:rsidRPr="00645035">
          <w:rPr>
            <w:rStyle w:val="Hyperlink"/>
          </w:rPr>
          <w:t>British Association of Dermatologists. Impetigo Patient Information Leaflet (PIL).</w:t>
        </w:r>
      </w:hyperlink>
    </w:p>
    <w:p w14:paraId="7D34D896" w14:textId="117AB3C9" w:rsidR="009B77E7" w:rsidRPr="00645035" w:rsidRDefault="009B77E7" w:rsidP="00920B43">
      <w:pPr>
        <w:pStyle w:val="Bulletindent1"/>
        <w:rPr>
          <w:rStyle w:val="Hyperlink"/>
        </w:rPr>
      </w:pPr>
      <w:hyperlink r:id="rId69" w:history="1">
        <w:r w:rsidRPr="00645035">
          <w:rPr>
            <w:rStyle w:val="Hyperlink"/>
          </w:rPr>
          <w:t>Electronic Medicines Compendium</w:t>
        </w:r>
      </w:hyperlink>
    </w:p>
    <w:p w14:paraId="62E7904D" w14:textId="7C52DA4A" w:rsidR="009B77E7" w:rsidRPr="00645035" w:rsidRDefault="009B77E7" w:rsidP="00877396">
      <w:pPr>
        <w:pStyle w:val="Bulletindent1"/>
        <w:rPr>
          <w:rStyle w:val="Hyperlink"/>
        </w:rPr>
      </w:pPr>
      <w:hyperlink r:id="rId70" w:history="1">
        <w:r w:rsidRPr="00645035">
          <w:rPr>
            <w:rStyle w:val="Hyperlink"/>
          </w:rPr>
          <w:t>Electronic BNF</w:t>
        </w:r>
      </w:hyperlink>
    </w:p>
    <w:p w14:paraId="738D2A7F" w14:textId="08F60911" w:rsidR="009B77E7" w:rsidRPr="00645035" w:rsidRDefault="009B77E7" w:rsidP="00877396">
      <w:pPr>
        <w:pStyle w:val="Bulletindent1"/>
        <w:rPr>
          <w:rStyle w:val="Hyperlink"/>
        </w:rPr>
      </w:pPr>
      <w:hyperlink r:id="rId71" w:history="1">
        <w:r w:rsidRPr="00645035">
          <w:rPr>
            <w:rStyle w:val="Hyperlink"/>
          </w:rPr>
          <w:t>Reference guide to consent for examination or treatment</w:t>
        </w:r>
      </w:hyperlink>
    </w:p>
    <w:p w14:paraId="3BD7766D" w14:textId="79F0699F" w:rsidR="00AF0367" w:rsidRPr="00645035" w:rsidRDefault="00AF0367" w:rsidP="00720435">
      <w:pPr>
        <w:pStyle w:val="Bulletindent1"/>
        <w:rPr>
          <w:rStyle w:val="Hyperlink"/>
        </w:rPr>
      </w:pPr>
      <w:hyperlink r:id="rId72" w:history="1">
        <w:r w:rsidRPr="00645035">
          <w:rPr>
            <w:rStyle w:val="Hyperlink"/>
          </w:rPr>
          <w:t>NICE Medicines practice guideline MPG2 - Patient Group Directions - Last Updated 27 March 2017</w:t>
        </w:r>
      </w:hyperlink>
    </w:p>
    <w:p w14:paraId="405C6631" w14:textId="35BA7076" w:rsidR="00864F3B" w:rsidRPr="00645035" w:rsidRDefault="00864F3B" w:rsidP="00720435">
      <w:pPr>
        <w:pStyle w:val="Bulletindent1"/>
        <w:rPr>
          <w:rStyle w:val="Hyperlink"/>
        </w:rPr>
      </w:pPr>
      <w:hyperlink r:id="rId73" w:history="1">
        <w:r w:rsidRPr="00645035">
          <w:rPr>
            <w:rStyle w:val="Hyperlink"/>
          </w:rPr>
          <w:t>NHS Specialist Pharmacy Service. Using solid oral dosage form antibiotics in children</w:t>
        </w:r>
      </w:hyperlink>
    </w:p>
    <w:p w14:paraId="6B56058C" w14:textId="5B02637B" w:rsidR="00AF0367" w:rsidRPr="00645035" w:rsidRDefault="00AF0367" w:rsidP="00720435">
      <w:pPr>
        <w:pStyle w:val="Bulletindent1"/>
        <w:rPr>
          <w:rStyle w:val="Hyperlink"/>
        </w:rPr>
      </w:pPr>
      <w:hyperlink r:id="rId74" w:history="1">
        <w:r w:rsidRPr="00645035">
          <w:rPr>
            <w:rStyle w:val="Hyperlink"/>
          </w:rPr>
          <w:t>UK Sepsis Trust. Sepsis e-learning resources</w:t>
        </w:r>
      </w:hyperlink>
    </w:p>
    <w:p w14:paraId="67A6AC0C" w14:textId="77777777" w:rsidR="00645035" w:rsidRPr="00645035" w:rsidRDefault="00645035" w:rsidP="00645035">
      <w:pPr>
        <w:pStyle w:val="Bulletindent1"/>
        <w:rPr>
          <w:rStyle w:val="Hyperlink"/>
        </w:rPr>
      </w:pPr>
      <w:hyperlink r:id="rId75" w:history="1">
        <w:r w:rsidRPr="00645035">
          <w:rPr>
            <w:rStyle w:val="Hyperlink"/>
          </w:rPr>
          <w:t>National Health Service. Impetigo.</w:t>
        </w:r>
      </w:hyperlink>
    </w:p>
    <w:p w14:paraId="00234592" w14:textId="77777777" w:rsidR="00645035" w:rsidRPr="00645035" w:rsidRDefault="00645035" w:rsidP="00645035">
      <w:pPr>
        <w:pStyle w:val="Bulletindent1"/>
        <w:rPr>
          <w:rStyle w:val="Hyperlink"/>
        </w:rPr>
      </w:pPr>
      <w:hyperlink r:id="rId76" w:history="1">
        <w:r w:rsidRPr="00645035">
          <w:rPr>
            <w:rStyle w:val="Hyperlink"/>
          </w:rPr>
          <w:t>National Institute of Health and Clinical Excellence Clinical Knowledge Summary. Impetigo.</w:t>
        </w:r>
      </w:hyperlink>
    </w:p>
    <w:p w14:paraId="64309328" w14:textId="77777777" w:rsidR="00645035" w:rsidRPr="00645035" w:rsidRDefault="00645035" w:rsidP="00645035">
      <w:pPr>
        <w:pStyle w:val="Bulletindent1"/>
        <w:rPr>
          <w:rStyle w:val="Hyperlink"/>
        </w:rPr>
      </w:pPr>
      <w:hyperlink r:id="rId77" w:history="1">
        <w:r w:rsidRPr="00645035">
          <w:rPr>
            <w:rStyle w:val="Hyperlink"/>
          </w:rPr>
          <w:t>National Institute of Health and Clinical Excellence guideline 153 (NG153). Impetigo: antimicrobial prescribing,</w:t>
        </w:r>
      </w:hyperlink>
    </w:p>
    <w:p w14:paraId="368A4A50" w14:textId="77777777" w:rsidR="00645035" w:rsidRPr="00AF3EB7" w:rsidRDefault="00645035" w:rsidP="00645035">
      <w:pPr>
        <w:pStyle w:val="Bulletindent1"/>
        <w:rPr>
          <w:rStyle w:val="Hyperlink"/>
        </w:rPr>
      </w:pPr>
      <w:hyperlink r:id="rId78" w:history="1">
        <w:proofErr w:type="spellStart"/>
        <w:r w:rsidRPr="00645035">
          <w:rPr>
            <w:rStyle w:val="Hyperlink"/>
          </w:rPr>
          <w:t>Loadsman</w:t>
        </w:r>
        <w:proofErr w:type="spellEnd"/>
        <w:r w:rsidRPr="00645035">
          <w:rPr>
            <w:rStyle w:val="Hyperlink"/>
          </w:rPr>
          <w:t xml:space="preserve"> MEN, </w:t>
        </w:r>
        <w:proofErr w:type="spellStart"/>
        <w:r w:rsidRPr="00645035">
          <w:rPr>
            <w:rStyle w:val="Hyperlink"/>
          </w:rPr>
          <w:t>Verheji</w:t>
        </w:r>
        <w:proofErr w:type="spellEnd"/>
        <w:r w:rsidRPr="00645035">
          <w:rPr>
            <w:rStyle w:val="Hyperlink"/>
          </w:rPr>
          <w:t xml:space="preserve"> TJM, van der Velden AW. (Aug 2019) Impetigo incidence and treatment: a retrospective study of Dutch routine primary care data. Family Practice.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9"/>
      <w:headerReference w:type="default" r:id="rId80"/>
      <w:footerReference w:type="default" r:id="rId81"/>
      <w:headerReference w:type="first" r:id="rId8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2952D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2952D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2952D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51B030B6"/>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DA4E56"/>
    <w:multiLevelType w:val="hybridMultilevel"/>
    <w:tmpl w:val="278EFD40"/>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7"/>
  </w:num>
  <w:num w:numId="2" w16cid:durableId="460340545">
    <w:abstractNumId w:val="7"/>
  </w:num>
  <w:num w:numId="3" w16cid:durableId="862549155">
    <w:abstractNumId w:val="21"/>
  </w:num>
  <w:num w:numId="4" w16cid:durableId="1902785077">
    <w:abstractNumId w:val="22"/>
  </w:num>
  <w:num w:numId="5" w16cid:durableId="1400252542">
    <w:abstractNumId w:val="13"/>
  </w:num>
  <w:num w:numId="6" w16cid:durableId="585113440">
    <w:abstractNumId w:val="6"/>
  </w:num>
  <w:num w:numId="7" w16cid:durableId="1512915418">
    <w:abstractNumId w:val="19"/>
  </w:num>
  <w:num w:numId="8" w16cid:durableId="759831936">
    <w:abstractNumId w:val="25"/>
  </w:num>
  <w:num w:numId="9" w16cid:durableId="1747412429">
    <w:abstractNumId w:val="2"/>
  </w:num>
  <w:num w:numId="10" w16cid:durableId="1297833641">
    <w:abstractNumId w:val="0"/>
  </w:num>
  <w:num w:numId="11" w16cid:durableId="1684160055">
    <w:abstractNumId w:val="24"/>
  </w:num>
  <w:num w:numId="12" w16cid:durableId="1610894224">
    <w:abstractNumId w:val="26"/>
  </w:num>
  <w:num w:numId="13" w16cid:durableId="1880973297">
    <w:abstractNumId w:val="10"/>
  </w:num>
  <w:num w:numId="14" w16cid:durableId="77676389">
    <w:abstractNumId w:val="3"/>
  </w:num>
  <w:num w:numId="15" w16cid:durableId="1496384920">
    <w:abstractNumId w:val="9"/>
  </w:num>
  <w:num w:numId="16" w16cid:durableId="441388192">
    <w:abstractNumId w:val="18"/>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3"/>
  </w:num>
  <w:num w:numId="21" w16cid:durableId="80179218">
    <w:abstractNumId w:val="11"/>
  </w:num>
  <w:num w:numId="22" w16cid:durableId="1890923172">
    <w:abstractNumId w:val="20"/>
  </w:num>
  <w:num w:numId="23" w16cid:durableId="507064187">
    <w:abstractNumId w:val="8"/>
  </w:num>
  <w:num w:numId="24" w16cid:durableId="59132308">
    <w:abstractNumId w:val="15"/>
  </w:num>
  <w:num w:numId="25" w16cid:durableId="14994190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26DD6"/>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6F6C"/>
    <w:rsid w:val="00081B91"/>
    <w:rsid w:val="00083D30"/>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52D7"/>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355B"/>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BD4"/>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0D22"/>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0912"/>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45035"/>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0AFE"/>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24E"/>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B30CC"/>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D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2952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52D7"/>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impetigo/" TargetMode="External"/><Relationship Id="rId63" Type="http://schemas.openxmlformats.org/officeDocument/2006/relationships/hyperlink" Target="https://www.nhs.uk/conditions/impetigo/" TargetMode="External"/><Relationship Id="rId68" Type="http://schemas.openxmlformats.org/officeDocument/2006/relationships/hyperlink" Target="https://www.bad.org.uk/pils/impetigo/" TargetMode="External"/><Relationship Id="rId84" Type="http://schemas.openxmlformats.org/officeDocument/2006/relationships/theme" Target="theme/theme1.xml"/><Relationship Id="rId16" Type="http://schemas.openxmlformats.org/officeDocument/2006/relationships/hyperlink" Target="https://www.blackandbrownskin.co.uk/campaign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medicines.org.uk/emc" TargetMode="External"/><Relationship Id="rId37" Type="http://schemas.openxmlformats.org/officeDocument/2006/relationships/hyperlink" Target="https://www.nhs.uk/conditions/sepsis/" TargetMode="External"/><Relationship Id="rId53" Type="http://schemas.openxmlformats.org/officeDocument/2006/relationships/hyperlink" Target="https://www.sads.org.uk/drugs-to-avoid/?doing_wp_cron=1676975888.9472379684448242187500" TargetMode="External"/><Relationship Id="rId58" Type="http://schemas.openxmlformats.org/officeDocument/2006/relationships/hyperlink" Target="https://bnfc.nice.org.uk/" TargetMode="External"/><Relationship Id="rId74" Type="http://schemas.openxmlformats.org/officeDocument/2006/relationships/hyperlink" Target="https://sepsistrust.org/professional-resources/sepsis-e-learning/"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hs.uk/health-a-to-z/conditions/" TargetMode="External"/><Relationship Id="rId82" Type="http://schemas.openxmlformats.org/officeDocument/2006/relationships/header" Target="header3.xm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assets.publishing.service.gov.uk/media/5a82ce28e5274a2e8ab5970f/Greenbook_chapter_6.pdf" TargetMode="External"/><Relationship Id="rId35" Type="http://schemas.openxmlformats.org/officeDocument/2006/relationships/hyperlink" Target="https://www.nhs.uk/conditions/contact-dermatitis/" TargetMode="External"/><Relationship Id="rId43" Type="http://schemas.openxmlformats.org/officeDocument/2006/relationships/hyperlink" Target="https://www.nhs.uk/conditions/phenylketonuria/" TargetMode="External"/><Relationship Id="rId48" Type="http://schemas.openxmlformats.org/officeDocument/2006/relationships/hyperlink" Target="https://cks.nice.org.uk/topics/impetigo/background-information/complications/" TargetMode="External"/><Relationship Id="rId56" Type="http://schemas.openxmlformats.org/officeDocument/2006/relationships/hyperlink" Target="https://bnf.nice.org.uk/" TargetMode="External"/><Relationship Id="rId64" Type="http://schemas.openxmlformats.org/officeDocument/2006/relationships/hyperlink" Target="https://elearning.rcgp.org.uk/mod/book/view.php?id=13511&amp;chapterid=784" TargetMode="External"/><Relationship Id="rId69" Type="http://schemas.openxmlformats.org/officeDocument/2006/relationships/hyperlink" Target="https://www.medicines.org.uk/emc" TargetMode="External"/><Relationship Id="rId77" Type="http://schemas.openxmlformats.org/officeDocument/2006/relationships/hyperlink" Target="https://www.nice.org.uk/guidance/ng153"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yperlink" Target="https://www.nice.org.uk/guidance/mpg2"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cuh.nhs.uk/patient-information/ketogenic-dietary-therapy-kdt-for-children-who-are-eating-orally-and-their-carers/" TargetMode="External"/><Relationship Id="rId38" Type="http://schemas.openxmlformats.org/officeDocument/2006/relationships/hyperlink" Target="https://www.crediblemeds.org/" TargetMode="External"/><Relationship Id="rId46" Type="http://schemas.openxmlformats.org/officeDocument/2006/relationships/hyperlink" Target="https://www.nhs.uk/conditions/impetigo/" TargetMode="External"/><Relationship Id="rId59" Type="http://schemas.openxmlformats.org/officeDocument/2006/relationships/hyperlink" Target="https://www.medicines.org.uk/emc"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www.cppe.ac.uk/gateway/sepsis" TargetMode="External"/><Relationship Id="rId41" Type="http://schemas.openxmlformats.org/officeDocument/2006/relationships/hyperlink" Target="https://www.ncbi.nlm.nih.gov/books/NBK547852/" TargetMode="External"/><Relationship Id="rId54" Type="http://schemas.openxmlformats.org/officeDocument/2006/relationships/hyperlink" Target="https://www.mayocliniclabs.com/en/-/media/it-mmfiles/Special%20Instructions/B/7/4/Pharmacogenomic_Associations_Tables" TargetMode="External"/><Relationship Id="rId62" Type="http://schemas.openxmlformats.org/officeDocument/2006/relationships/hyperlink" Target="https://yellowcard.mhra.gov.uk/" TargetMode="External"/><Relationship Id="rId70" Type="http://schemas.openxmlformats.org/officeDocument/2006/relationships/hyperlink" Target="https://bnf.nice.org.uk/" TargetMode="External"/><Relationship Id="rId75" Type="http://schemas.openxmlformats.org/officeDocument/2006/relationships/hyperlink" Target="https://www.nhs.uk/conditions/impetigo/"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medicines.org.uk/emc/" TargetMode="External"/><Relationship Id="rId36" Type="http://schemas.openxmlformats.org/officeDocument/2006/relationships/hyperlink" Target="https://www.bad.org.uk/pils/eczema-herpeticum/" TargetMode="External"/><Relationship Id="rId49" Type="http://schemas.openxmlformats.org/officeDocument/2006/relationships/hyperlink" Target="https://www.nhs.uk/conditions/impetigo/"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www.medicines.org.uk/emc" TargetMode="External"/><Relationship Id="rId52" Type="http://schemas.openxmlformats.org/officeDocument/2006/relationships/hyperlink" Target="https://www.crediblemeds.org/" TargetMode="External"/><Relationship Id="rId60" Type="http://schemas.openxmlformats.org/officeDocument/2006/relationships/hyperlink" Target="https://bnf.nice.org.uk/" TargetMode="External"/><Relationship Id="rId65" Type="http://schemas.openxmlformats.org/officeDocument/2006/relationships/hyperlink" Target="https://www.medicines.org.uk/emc" TargetMode="External"/><Relationship Id="rId73" Type="http://schemas.openxmlformats.org/officeDocument/2006/relationships/hyperlink" Target="https://www.sps.nhs.uk/articles/using-solid-oral-dosage-form-antibiotics-in-children/" TargetMode="External"/><Relationship Id="rId78" Type="http://schemas.openxmlformats.org/officeDocument/2006/relationships/hyperlink" Target="https://doi.org/10.1093/fampra/cmy104"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sads.org.uk/drugs-to-avoid/?doing_wp_cron=1676975888.9472379684448242187500" TargetMode="External"/><Relationship Id="rId34" Type="http://schemas.openxmlformats.org/officeDocument/2006/relationships/hyperlink" Target="https://www.nhs.uk/conditions/atopic-eczema/" TargetMode="External"/><Relationship Id="rId50" Type="http://schemas.openxmlformats.org/officeDocument/2006/relationships/hyperlink" Target="https://www.sps.nhs.uk/articles/using-solid-oral-dosage-form-antibiotics-in-children/" TargetMode="External"/><Relationship Id="rId55" Type="http://schemas.openxmlformats.org/officeDocument/2006/relationships/hyperlink" Target="https://www.gov.uk/drug-safety-update/erythromycin-caution-required-due-to-cardiac-risks-qt-interval-prolongation-drug-interaction-with-rivaroxaban" TargetMode="External"/><Relationship Id="rId76" Type="http://schemas.openxmlformats.org/officeDocument/2006/relationships/hyperlink" Target="https://cks.nice.org.uk/topics/impetigo/"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138296/dh_103653__1_.pdf"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012943/Green_book_of_immunisation_28a_Shingles.pdf"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medicines.org.uk/emc" TargetMode="External"/><Relationship Id="rId45" Type="http://schemas.openxmlformats.org/officeDocument/2006/relationships/hyperlink" Target="https://www.bad.org.uk/pils/impetigo/" TargetMode="External"/><Relationship Id="rId66"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1EA9-94D5-47F9-AE44-98FADAFE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5311</Words>
  <Characters>32119</Characters>
  <Application>Microsoft Office Word</Application>
  <DocSecurity>0</DocSecurity>
  <Lines>1063</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37329</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2026-04-01T08:20:00Z</dcterms:created>
  <dcterms:modified xsi:type="dcterms:W3CDTF">2026-04-02T14:59:00Z</dcterms:modified>
</cp:coreProperties>
</file>