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230F51D2" w:rsidR="007A1448" w:rsidRPr="00DF77C7" w:rsidRDefault="00C766CF" w:rsidP="006529F3">
      <w:pPr>
        <w:pStyle w:val="PGDTitle2"/>
      </w:pPr>
      <w:r w:rsidRPr="00C766CF">
        <w:rPr>
          <w:bCs/>
        </w:rPr>
        <w:t xml:space="preserve">Supply of erythromycin tablets/oral suspension/oral solution for the treatment of </w:t>
      </w:r>
      <w:r w:rsidR="00B44F52" w:rsidRPr="00B44F52">
        <w:rPr>
          <w:bCs/>
        </w:rPr>
        <w:t xml:space="preserve">acute otitis media (AOM) </w:t>
      </w:r>
      <w:r w:rsidR="008E601E" w:rsidRPr="008E601E">
        <w:rPr>
          <w:bCs/>
        </w:rPr>
        <w:t xml:space="preserve">in pregnant individuals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40B82FC8" w14:textId="4BD68698" w:rsidR="00C766CF" w:rsidRDefault="00C766CF" w:rsidP="008E601E">
            <w:pPr>
              <w:pStyle w:val="Bulletindent1"/>
            </w:pPr>
            <w:r w:rsidRPr="00C766CF">
              <w:t xml:space="preserve">Removal of: </w:t>
            </w:r>
          </w:p>
          <w:p w14:paraId="2B6B0C6C" w14:textId="77777777" w:rsidR="00C766CF" w:rsidRDefault="00C766CF" w:rsidP="008E601E">
            <w:pPr>
              <w:pStyle w:val="Bulletindent1"/>
              <w:numPr>
                <w:ilvl w:val="1"/>
                <w:numId w:val="15"/>
              </w:numPr>
            </w:pPr>
            <w:r w:rsidRPr="00C766CF">
              <w:t xml:space="preserve"> erythromycin 500mg/5mL sugar free oral suspension (or oral solution) x 100mL: no longer commercially available</w:t>
            </w:r>
          </w:p>
          <w:p w14:paraId="564B3495" w14:textId="77777777" w:rsidR="00C766CF" w:rsidRDefault="00C766CF" w:rsidP="008E601E">
            <w:pPr>
              <w:pStyle w:val="Bulletindent1"/>
              <w:numPr>
                <w:ilvl w:val="1"/>
                <w:numId w:val="15"/>
              </w:numPr>
            </w:pPr>
            <w:r w:rsidRPr="00C766CF">
              <w:t xml:space="preserve"> erythromycin 500mg/5mL oral suspension (or oral solution) x 100mL: no longer commercially available</w:t>
            </w:r>
          </w:p>
          <w:p w14:paraId="232DB12E" w14:textId="77777777" w:rsidR="00C766CF" w:rsidRDefault="00C766CF" w:rsidP="008E601E">
            <w:pPr>
              <w:pStyle w:val="Bulletindent1"/>
            </w:pPr>
            <w:r w:rsidRPr="00C766CF">
              <w:t xml:space="preserve">Removal of ibuprofen from “Specific information for suspected infection to be provided” section </w:t>
            </w:r>
          </w:p>
          <w:p w14:paraId="634E68B0" w14:textId="77777777" w:rsidR="00C766CF" w:rsidRDefault="00C766CF" w:rsidP="008E601E">
            <w:pPr>
              <w:pStyle w:val="Bulletindent1"/>
            </w:pPr>
            <w:r w:rsidRPr="00C766CF">
              <w:t xml:space="preserve">Addition of: </w:t>
            </w:r>
          </w:p>
          <w:p w14:paraId="00D469F3" w14:textId="77777777" w:rsidR="00C766CF" w:rsidRDefault="00C766CF" w:rsidP="008E601E">
            <w:pPr>
              <w:pStyle w:val="Bulletindent1"/>
              <w:numPr>
                <w:ilvl w:val="1"/>
                <w:numId w:val="15"/>
              </w:numPr>
            </w:pPr>
            <w:r w:rsidRPr="00C766CF">
              <w:lastRenderedPageBreak/>
              <w:t>“</w:t>
            </w:r>
            <w:proofErr w:type="spellStart"/>
            <w:r w:rsidRPr="00C766CF">
              <w:t>Lomitapide</w:t>
            </w:r>
            <w:proofErr w:type="spellEnd"/>
          </w:p>
          <w:p w14:paraId="7E45FDC1" w14:textId="77777777" w:rsidR="00CF40BF" w:rsidRDefault="00C766CF" w:rsidP="008E601E">
            <w:pPr>
              <w:pStyle w:val="Bulletindent1"/>
              <w:numPr>
                <w:ilvl w:val="1"/>
                <w:numId w:val="15"/>
              </w:numPr>
            </w:pPr>
            <w:r w:rsidRPr="00C766CF">
              <w:t xml:space="preserve">Medicines where concomitant use with a moderate CYP 3A4 </w:t>
            </w:r>
            <w:r w:rsidRPr="00CF40BF">
              <w:t>inhibitor (i.e. erythromycin)</w:t>
            </w:r>
            <w:r w:rsidRPr="00C766CF">
              <w:t xml:space="preserve"> is contraindicated (e.g.</w:t>
            </w:r>
          </w:p>
          <w:p w14:paraId="49680BC4" w14:textId="77777777" w:rsidR="00CF40BF" w:rsidRDefault="00C766CF" w:rsidP="008E601E">
            <w:pPr>
              <w:pStyle w:val="Bulletindent1"/>
              <w:numPr>
                <w:ilvl w:val="2"/>
                <w:numId w:val="15"/>
              </w:numPr>
            </w:pPr>
            <w:r w:rsidRPr="00C766CF">
              <w:t>Lercanidipine</w:t>
            </w:r>
          </w:p>
          <w:p w14:paraId="151213FA" w14:textId="77777777" w:rsidR="00CF40BF" w:rsidRDefault="00C766CF" w:rsidP="008E601E">
            <w:pPr>
              <w:pStyle w:val="Bulletindent1"/>
              <w:numPr>
                <w:ilvl w:val="2"/>
                <w:numId w:val="15"/>
              </w:numPr>
            </w:pPr>
            <w:r w:rsidRPr="00C766CF">
              <w:t>Ivabradine</w:t>
            </w:r>
          </w:p>
          <w:p w14:paraId="6C7F05FD" w14:textId="77777777" w:rsidR="00CF40BF" w:rsidRDefault="00C766CF" w:rsidP="008E601E">
            <w:pPr>
              <w:pStyle w:val="Bulletindent1"/>
              <w:numPr>
                <w:ilvl w:val="2"/>
                <w:numId w:val="15"/>
              </w:numPr>
            </w:pPr>
            <w:r w:rsidRPr="00C766CF">
              <w:t>Quetiapine)</w:t>
            </w:r>
          </w:p>
          <w:p w14:paraId="54BE377A" w14:textId="2891681E" w:rsidR="0041543B" w:rsidRPr="0009531C" w:rsidRDefault="00C766CF" w:rsidP="008E601E">
            <w:pPr>
              <w:pStyle w:val="Bulletindent1"/>
              <w:numPr>
                <w:ilvl w:val="1"/>
                <w:numId w:val="15"/>
              </w:numPr>
            </w:pPr>
            <w:r w:rsidRPr="00C766CF">
              <w:t>Any other medicine where concomitant use with</w:t>
            </w:r>
            <w:r w:rsidR="00CF40BF" w:rsidRPr="00CF40BF">
              <w:rPr>
                <w:rFonts w:cs="Arial"/>
                <w:color w:val="000000"/>
                <w:sz w:val="20"/>
                <w:lang w:eastAsia="en-GB"/>
              </w:rPr>
              <w:t xml:space="preserve"> </w:t>
            </w:r>
            <w:r w:rsidR="00CF40BF" w:rsidRPr="00CF40BF">
              <w:t>erythromycin is contraindicated” to “Drug Interactions” section</w:t>
            </w:r>
          </w:p>
        </w:tc>
      </w:tr>
    </w:tbl>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B44F52" w:rsidRPr="00094B2C" w14:paraId="08B5770F"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005D6305" w14:textId="1BED088F" w:rsidR="00B44F52" w:rsidRPr="0023356D" w:rsidRDefault="00B44F52" w:rsidP="00B44F52">
            <w:pPr>
              <w:pStyle w:val="Tabletext"/>
            </w:pPr>
            <w:proofErr w:type="spellStart"/>
            <w:r w:rsidRPr="00A46C26">
              <w:rPr>
                <w:rFonts w:cs="Arial"/>
                <w:szCs w:val="22"/>
              </w:rPr>
              <w:t>Ravijyot</w:t>
            </w:r>
            <w:proofErr w:type="spellEnd"/>
            <w:r w:rsidRPr="00A46C26">
              <w:rPr>
                <w:rFonts w:cs="Arial"/>
                <w:szCs w:val="22"/>
              </w:rPr>
              <w:t xml:space="preserve"> Saggu</w:t>
            </w:r>
          </w:p>
        </w:tc>
        <w:tc>
          <w:tcPr>
            <w:tcW w:w="6912" w:type="dxa"/>
            <w:tcBorders>
              <w:top w:val="single" w:sz="4" w:space="0" w:color="auto"/>
              <w:left w:val="single" w:sz="4" w:space="0" w:color="auto"/>
              <w:bottom w:val="single" w:sz="4" w:space="0" w:color="auto"/>
              <w:right w:val="single" w:sz="4" w:space="0" w:color="auto"/>
            </w:tcBorders>
          </w:tcPr>
          <w:p w14:paraId="19AC7948" w14:textId="6F6E1C4E" w:rsidR="00B44F52" w:rsidRPr="0023356D" w:rsidRDefault="00B44F52" w:rsidP="00B44F52">
            <w:pPr>
              <w:pStyle w:val="Tabletext"/>
            </w:pPr>
            <w:r w:rsidRPr="00A46C26">
              <w:rPr>
                <w:rFonts w:cs="Arial"/>
                <w:szCs w:val="22"/>
              </w:rPr>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0"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1"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2"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3"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14" w:history="1">
              <w:r w:rsidRPr="00E015AA">
                <w:rPr>
                  <w:rStyle w:val="Hyperlink"/>
                  <w:rFonts w:cs="Arial"/>
                  <w:szCs w:val="23"/>
                </w:rPr>
                <w:t>Clinical examination skills training for community pharmacists</w:t>
              </w:r>
            </w:hyperlink>
            <w:r w:rsidRPr="00E015AA">
              <w:rPr>
                <w:szCs w:val="23"/>
              </w:rPr>
              <w:t xml:space="preserve"> (</w:t>
            </w:r>
            <w:hyperlink r:id="rId15"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6"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7"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8"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6B564F99" w14:textId="77777777" w:rsidR="008E601E" w:rsidRDefault="008E601E" w:rsidP="008E601E">
            <w:pPr>
              <w:pStyle w:val="Bulletindent1"/>
              <w:numPr>
                <w:ilvl w:val="1"/>
                <w:numId w:val="15"/>
              </w:numPr>
            </w:pPr>
            <w:hyperlink r:id="rId19" w:history="1">
              <w:r>
                <w:rPr>
                  <w:rStyle w:val="Hyperlink"/>
                </w:rPr>
                <w:t>The UK Sepsis Trust e-learning programme (note: this is not a free resource)</w:t>
              </w:r>
            </w:hyperlink>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0"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2DFFF687" w:rsidR="00E015AA" w:rsidRDefault="00B44F52" w:rsidP="00E015AA">
            <w:pPr>
              <w:pStyle w:val="Tabletext"/>
            </w:pPr>
            <w:r>
              <w:t xml:space="preserve">Staff </w:t>
            </w:r>
            <w:r w:rsidR="00E015AA" w:rsidRPr="00E015AA">
              <w:t xml:space="preserve">operating under this PGD must be assessed as competent or complete a self-declaration of competence to operate under this PGD </w:t>
            </w:r>
            <w:r w:rsidR="00E015AA">
              <w:t>[</w:t>
            </w:r>
            <w:r w:rsidR="00E015AA" w:rsidRPr="00E015AA">
              <w:t>(</w:t>
            </w:r>
            <w:r w:rsidR="00E015AA" w:rsidRPr="00E015AA">
              <w:rPr>
                <w:highlight w:val="cyan"/>
              </w:rPr>
              <w:t>see an example authorisation record sheet in Appendix A).</w:t>
            </w:r>
            <w:r w:rsidR="00E015AA">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1"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1ACB228C" w14:textId="77777777" w:rsidR="00B44F52" w:rsidRDefault="00B44F52" w:rsidP="00B44F52">
            <w:pPr>
              <w:pStyle w:val="Tabletext"/>
              <w:rPr>
                <w:rStyle w:val="Hyperlink"/>
              </w:rPr>
            </w:pPr>
          </w:p>
          <w:p w14:paraId="7DF9275A" w14:textId="77777777" w:rsidR="00B44F52" w:rsidRDefault="00B44F52" w:rsidP="00B44F52">
            <w:pPr>
              <w:pStyle w:val="Tabletext"/>
              <w:rPr>
                <w:lang w:val="en-GB"/>
              </w:rPr>
            </w:pPr>
            <w:r>
              <w:rPr>
                <w:lang w:val="en-GB"/>
              </w:rPr>
              <w:t>Staff</w:t>
            </w:r>
            <w:r w:rsidRPr="00E015AA">
              <w:rPr>
                <w:lang w:val="en-GB"/>
              </w:rPr>
              <w:t xml:space="preserve"> operating under this PGD should follow</w:t>
            </w:r>
            <w:r>
              <w:rPr>
                <w:lang w:val="en-GB"/>
              </w:rPr>
              <w:t>:</w:t>
            </w:r>
          </w:p>
          <w:p w14:paraId="5A67A75F" w14:textId="77777777" w:rsidR="00B44F52" w:rsidRDefault="00B44F52" w:rsidP="00B44F52">
            <w:pPr>
              <w:pStyle w:val="Bulletindent1"/>
            </w:pPr>
            <w:hyperlink r:id="rId22" w:history="1">
              <w:r w:rsidRPr="00AC08E4">
                <w:rPr>
                  <w:rStyle w:val="Hyperlink"/>
                </w:rPr>
                <w:t>NICE CKS – Otitis media - acute: diagnosis</w:t>
              </w:r>
            </w:hyperlink>
          </w:p>
          <w:p w14:paraId="558CD521" w14:textId="77777777" w:rsidR="00B44F52" w:rsidRDefault="00B44F52" w:rsidP="00B44F52">
            <w:pPr>
              <w:pStyle w:val="Bulletindent1"/>
            </w:pPr>
            <w:hyperlink r:id="rId23" w:history="1">
              <w:r w:rsidRPr="00AC08E4">
                <w:rPr>
                  <w:rStyle w:val="Hyperlink"/>
                </w:rPr>
                <w:t>NICE guideline – NG91 – Otitis media (acute</w:t>
              </w:r>
              <w:proofErr w:type="gramStart"/>
              <w:r w:rsidRPr="00AC08E4">
                <w:rPr>
                  <w:rStyle w:val="Hyperlink"/>
                </w:rPr>
                <w:t>) :antimicrobial</w:t>
              </w:r>
              <w:proofErr w:type="gramEnd"/>
              <w:r w:rsidRPr="00AC08E4">
                <w:rPr>
                  <w:rStyle w:val="Hyperlink"/>
                </w:rPr>
                <w:t xml:space="preserve"> prescribing</w:t>
              </w:r>
            </w:hyperlink>
          </w:p>
          <w:p w14:paraId="5719D930" w14:textId="1EC2307E" w:rsidR="00B81529" w:rsidRPr="00DF77C7" w:rsidRDefault="00A74987" w:rsidP="00E015AA">
            <w:pPr>
              <w:pStyle w:val="Tabletext"/>
              <w:rPr>
                <w:lang w:val="en-GB"/>
              </w:rPr>
            </w:pPr>
            <w:r w:rsidRPr="00A74987">
              <w:rPr>
                <w:lang w:val="en-GB"/>
              </w:rPr>
              <w:t>.</w:t>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35C41E86" w:rsidR="00D36D23" w:rsidRDefault="00B44F52" w:rsidP="00957B7C">
            <w:pPr>
              <w:pStyle w:val="Tabletext"/>
            </w:pPr>
            <w:r w:rsidRPr="00B44F52">
              <w:rPr>
                <w:rFonts w:cs="Arial"/>
                <w:iCs/>
                <w:szCs w:val="22"/>
                <w:lang w:val="en-GB"/>
              </w:rPr>
              <w:t>Acute otitis media in young people aged 16 or 17 years of age who are pregnant or where pregnancy is suspected and where amoxicillin is not appropriate due to hypersensitivity.</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B44F52">
            <w:pPr>
              <w:pStyle w:val="Bulletindent1"/>
            </w:pPr>
            <w:r w:rsidRPr="002561E8">
              <w:t>Informed consent</w:t>
            </w:r>
          </w:p>
          <w:p w14:paraId="3CCD0903" w14:textId="77777777" w:rsidR="00B44F52" w:rsidRPr="00860E94" w:rsidRDefault="00B44F52" w:rsidP="00B44F52">
            <w:pPr>
              <w:pStyle w:val="Bulletindent1"/>
            </w:pPr>
            <w:r w:rsidRPr="000F1114">
              <w:t xml:space="preserve">Individuals aged </w:t>
            </w:r>
            <w:r>
              <w:rPr>
                <w:iCs/>
              </w:rPr>
              <w:t xml:space="preserve">16 or 17 years </w:t>
            </w:r>
            <w:r>
              <w:t xml:space="preserve">of age </w:t>
            </w:r>
            <w:r w:rsidRPr="00860E94">
              <w:t xml:space="preserve">with acute otitis media and otorrhea (discharge after eardrum perforation) </w:t>
            </w:r>
          </w:p>
          <w:p w14:paraId="689FCD43" w14:textId="77777777" w:rsidR="00B44F52" w:rsidRPr="00B44F52" w:rsidRDefault="00B44F52" w:rsidP="00B44F52">
            <w:pPr>
              <w:pStyle w:val="Bulletindent1"/>
              <w:rPr>
                <w:iCs/>
              </w:rPr>
            </w:pPr>
            <w:r w:rsidRPr="00B44F52">
              <w:t xml:space="preserve">Signs and symptoms of acute otitis media using the appropriate </w:t>
            </w:r>
            <w:hyperlink r:id="rId24" w:history="1">
              <w:r w:rsidRPr="00B44F52">
                <w:rPr>
                  <w:rStyle w:val="Hyperlink"/>
                </w:rPr>
                <w:t>NICE CKS guidance - Otitis media - acute :diagnosis</w:t>
              </w:r>
            </w:hyperlink>
            <w:r w:rsidR="008E601E">
              <w:t xml:space="preserve"> </w:t>
            </w:r>
          </w:p>
          <w:p w14:paraId="4F686F07" w14:textId="77777777" w:rsidR="00B44F52" w:rsidRPr="00B44F52" w:rsidRDefault="00B44F52" w:rsidP="00B44F52">
            <w:pPr>
              <w:pStyle w:val="Bulletindent1"/>
              <w:numPr>
                <w:ilvl w:val="1"/>
                <w:numId w:val="15"/>
              </w:numPr>
              <w:rPr>
                <w:iCs/>
              </w:rPr>
            </w:pPr>
            <w:r w:rsidRPr="00B44F52">
              <w:rPr>
                <w:iCs/>
              </w:rPr>
              <w:t>In young people: earache</w:t>
            </w:r>
          </w:p>
          <w:p w14:paraId="74782FF0" w14:textId="77777777" w:rsidR="00B44F52" w:rsidRPr="00B44F52" w:rsidRDefault="00B44F52" w:rsidP="00B44F52">
            <w:pPr>
              <w:pStyle w:val="Bulletindent1"/>
              <w:numPr>
                <w:ilvl w:val="0"/>
                <w:numId w:val="0"/>
              </w:numPr>
              <w:ind w:left="360"/>
              <w:rPr>
                <w:iCs/>
              </w:rPr>
            </w:pPr>
            <w:r w:rsidRPr="00B44F52">
              <w:rPr>
                <w:b/>
                <w:iCs/>
              </w:rPr>
              <w:t>AND</w:t>
            </w:r>
            <w:r w:rsidRPr="00B44F52">
              <w:rPr>
                <w:iCs/>
              </w:rPr>
              <w:t xml:space="preserve"> (on otoscopic examination): </w:t>
            </w:r>
          </w:p>
          <w:p w14:paraId="41D40692" w14:textId="77777777" w:rsidR="00B44F52" w:rsidRPr="00B44F52" w:rsidRDefault="00B44F52" w:rsidP="00B44F52">
            <w:pPr>
              <w:pStyle w:val="Bulletindent1"/>
              <w:numPr>
                <w:ilvl w:val="1"/>
                <w:numId w:val="15"/>
              </w:numPr>
              <w:rPr>
                <w:iCs/>
              </w:rPr>
            </w:pPr>
            <w:r w:rsidRPr="00B44F52">
              <w:rPr>
                <w:iCs/>
              </w:rPr>
              <w:t xml:space="preserve">Perforation of the tympanic membrane and/or sticky discharge in the external auditory canal. </w:t>
            </w:r>
          </w:p>
          <w:p w14:paraId="3CCAF454" w14:textId="77777777" w:rsidR="00B44F52" w:rsidRPr="009B5972" w:rsidRDefault="00B44F52" w:rsidP="00B44F52">
            <w:pPr>
              <w:pStyle w:val="Bulletindent1"/>
            </w:pPr>
            <w:r>
              <w:rPr>
                <w:lang w:eastAsia="en-GB"/>
              </w:rPr>
              <w:t xml:space="preserve">Pregnancy or suspected pregnancy </w:t>
            </w:r>
          </w:p>
          <w:p w14:paraId="510BFC14" w14:textId="77777777" w:rsidR="00B44F52" w:rsidRPr="00FA6DAA" w:rsidRDefault="00B44F52" w:rsidP="00B44F52">
            <w:pPr>
              <w:pStyle w:val="Bulletindent1"/>
            </w:pPr>
            <w:r>
              <w:t>Known hypersensitivity to amoxicillin</w:t>
            </w:r>
            <w:r w:rsidRPr="00870315">
              <w:t>, a</w:t>
            </w:r>
            <w:r>
              <w:t>ny</w:t>
            </w:r>
            <w:r w:rsidRPr="00870315">
              <w:t xml:space="preserve"> penicillin or any of the components within the formulation </w:t>
            </w:r>
            <w:r>
              <w:t xml:space="preserve">of amoxicillin </w:t>
            </w:r>
            <w:r w:rsidRPr="00870315">
              <w:rPr>
                <w:lang w:eastAsia="en-GB"/>
              </w:rPr>
              <w:t xml:space="preserve">- see </w:t>
            </w:r>
            <w:hyperlink r:id="rId25" w:history="1">
              <w:r w:rsidRPr="00870315">
                <w:rPr>
                  <w:lang w:eastAsia="en-GB"/>
                </w:rPr>
                <w:t>Summary of Product Characteristics</w:t>
              </w:r>
            </w:hyperlink>
            <w:r w:rsidRPr="00F85538">
              <w:rPr>
                <w:lang w:eastAsia="en-GB"/>
              </w:rPr>
              <w:t xml:space="preserve">. </w:t>
            </w:r>
            <w:r w:rsidRPr="009924F9">
              <w:rPr>
                <w:b/>
                <w:bCs/>
                <w:iCs/>
                <w:lang w:eastAsia="en-GB"/>
              </w:rPr>
              <w:t>Acceptable sources of allergy</w:t>
            </w:r>
            <w:r>
              <w:rPr>
                <w:b/>
                <w:bCs/>
                <w:iCs/>
                <w:lang w:eastAsia="en-GB"/>
              </w:rPr>
              <w:t xml:space="preserve"> information include individual/carer/parent/guardian or National Care Record</w:t>
            </w:r>
            <w:r>
              <w:rPr>
                <w:iCs/>
              </w:rPr>
              <w:t>.</w:t>
            </w:r>
          </w:p>
          <w:p w14:paraId="53D262A2" w14:textId="77777777" w:rsidR="00B44F52" w:rsidRPr="00F85538" w:rsidRDefault="00B44F52" w:rsidP="00B44F52">
            <w:pPr>
              <w:pStyle w:val="TableParagraph"/>
              <w:ind w:left="398"/>
              <w:rPr>
                <w:rFonts w:ascii="Arial" w:hAnsi="Arial" w:cs="Arial"/>
                <w:lang w:val="en-GB"/>
              </w:rPr>
            </w:pPr>
            <w:r>
              <w:rPr>
                <w:rFonts w:ascii="Arial" w:eastAsia="Times New Roman" w:hAnsi="Arial" w:cs="Arial"/>
                <w:b/>
                <w:bCs/>
                <w:iCs/>
                <w:lang w:val="en-GB" w:eastAsia="en-GB"/>
              </w:rPr>
              <w:t>OR</w:t>
            </w:r>
          </w:p>
          <w:p w14:paraId="02A2FFD7" w14:textId="7383BD9C" w:rsidR="00AE4F4B" w:rsidRDefault="00B44F52" w:rsidP="00B44F52">
            <w:pPr>
              <w:pStyle w:val="Bulletindent1"/>
            </w:pPr>
            <w:r w:rsidRPr="00870315">
              <w:rPr>
                <w:lang w:eastAsia="en-GB"/>
              </w:rPr>
              <w:t xml:space="preserve">History of severe immediate hypersensitivity reaction (e.g. anaphylaxis) to another beta-lactam antibiotic (e.g. cephalosporin, carbapenem or monobactam). </w:t>
            </w:r>
            <w:r w:rsidRPr="009924F9">
              <w:rPr>
                <w:b/>
                <w:bCs/>
                <w:iCs/>
                <w:lang w:eastAsia="en-GB"/>
              </w:rPr>
              <w:t>Acceptable sources of allergy</w:t>
            </w:r>
            <w:r>
              <w:rPr>
                <w:b/>
                <w:bCs/>
                <w:iCs/>
                <w:lang w:eastAsia="en-GB"/>
              </w:rPr>
              <w:t xml:space="preserve"> information include individual/carer/parent/guardian or National Care Record</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E15395">
            <w:pPr>
              <w:pStyle w:val="Bulletindent1"/>
            </w:pPr>
            <w:r w:rsidRPr="00801F6A">
              <w:t xml:space="preserve">Consent refused and documented in the individual’s clinical notes </w:t>
            </w:r>
          </w:p>
          <w:p w14:paraId="1B665F4B" w14:textId="7715BFDC" w:rsidR="00801F6A" w:rsidRPr="00801F6A" w:rsidRDefault="00801F6A" w:rsidP="00E15395">
            <w:pPr>
              <w:pStyle w:val="Bulletindent1"/>
            </w:pPr>
            <w:r w:rsidRPr="00801F6A">
              <w:t xml:space="preserve">Individuals </w:t>
            </w:r>
            <w:r w:rsidR="00B44F52">
              <w:t xml:space="preserve">not </w:t>
            </w:r>
            <w:r w:rsidRPr="00801F6A">
              <w:t>1</w:t>
            </w:r>
            <w:r w:rsidR="00491ACA">
              <w:t>6</w:t>
            </w:r>
            <w:r w:rsidRPr="00801F6A">
              <w:t xml:space="preserve"> </w:t>
            </w:r>
            <w:r w:rsidR="00B44F52">
              <w:t xml:space="preserve">or 17 </w:t>
            </w:r>
            <w:r w:rsidRPr="00801F6A">
              <w:t>years of age</w:t>
            </w:r>
          </w:p>
          <w:p w14:paraId="1B6F58C0" w14:textId="6A570918" w:rsidR="00801F6A" w:rsidRPr="00903730" w:rsidRDefault="00801F6A" w:rsidP="00E15395">
            <w:pPr>
              <w:pStyle w:val="Bulletindent1"/>
              <w:rPr>
                <w:b/>
                <w:sz w:val="20"/>
              </w:rPr>
            </w:pPr>
            <w:bookmarkStart w:id="5" w:name="Severe"/>
            <w:bookmarkEnd w:id="5"/>
            <w:r w:rsidRPr="00903730">
              <w:t>Severely immunosuppressed individual</w:t>
            </w:r>
            <w:r>
              <w:t>s as defined i</w:t>
            </w:r>
            <w:r w:rsidRPr="00903730">
              <w:t xml:space="preserve">n </w:t>
            </w:r>
            <w:hyperlink r:id="rId26" w:history="1">
              <w:r w:rsidR="008E601E" w:rsidRPr="008E601E">
                <w:rPr>
                  <w:rStyle w:val="Hyperlink"/>
                </w:rPr>
                <w:t>Chapter 28a Green book</w:t>
              </w:r>
            </w:hyperlink>
          </w:p>
          <w:p w14:paraId="56725395" w14:textId="77777777" w:rsidR="009A5C7D" w:rsidRPr="00A26C77" w:rsidRDefault="009A5C7D" w:rsidP="00A26C77">
            <w:pPr>
              <w:pStyle w:val="Tabletext"/>
              <w:rPr>
                <w:b/>
                <w:bCs/>
              </w:rPr>
            </w:pPr>
            <w:r w:rsidRPr="00A26C77">
              <w:rPr>
                <w:b/>
                <w:bCs/>
              </w:rPr>
              <w:lastRenderedPageBreak/>
              <w:t xml:space="preserve">Individuals with primary or acquired immunodeficiency states due to conditions including: </w:t>
            </w:r>
          </w:p>
          <w:p w14:paraId="5C321222" w14:textId="77777777" w:rsidR="009A5C7D" w:rsidRPr="00903730" w:rsidRDefault="009A5C7D" w:rsidP="00E15395">
            <w:pPr>
              <w:pStyle w:val="Bulletindent1"/>
            </w:pPr>
            <w:r w:rsidRPr="00903730">
              <w:t xml:space="preserve">acute and chronic leukaemias, and clinically aggressive lymphomas (including Hodgkin’s lymphoma) who are less than 12 months since achieving cure </w:t>
            </w:r>
          </w:p>
          <w:p w14:paraId="07EE8B7B" w14:textId="77777777" w:rsidR="009A5C7D" w:rsidRPr="00903730" w:rsidRDefault="009A5C7D" w:rsidP="00E15395">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E15395">
            <w:pPr>
              <w:pStyle w:val="Bulletindent1"/>
            </w:pPr>
            <w:r w:rsidRPr="00903730">
              <w:t>immunosuppression due to HIV/AIDS with a current CD4 count of below 200 cells/</w:t>
            </w:r>
            <w:proofErr w:type="spellStart"/>
            <w:r w:rsidRPr="00903730">
              <w:t>μl</w:t>
            </w:r>
            <w:proofErr w:type="spellEnd"/>
            <w:r w:rsidRPr="00903730">
              <w:t xml:space="preserve">. </w:t>
            </w:r>
          </w:p>
          <w:p w14:paraId="1F6F9E0B" w14:textId="77777777" w:rsidR="009A5C7D" w:rsidRPr="00903730" w:rsidRDefault="009A5C7D" w:rsidP="00E15395">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E15395">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E15395">
            <w:pPr>
              <w:pStyle w:val="Bulletindent1"/>
            </w:pPr>
            <w:r w:rsidRPr="00903730">
              <w:t>those who have received a stem cell transplant more than 24 months ago but have ongoing immunosuppression or graft versus host disease (GVHD)</w:t>
            </w:r>
          </w:p>
          <w:p w14:paraId="64243B48" w14:textId="77777777" w:rsidR="009A5C7D" w:rsidRPr="00A26C77" w:rsidRDefault="009A5C7D" w:rsidP="00A26C77">
            <w:pPr>
              <w:pStyle w:val="Tabletext"/>
              <w:rPr>
                <w:b/>
                <w:bCs/>
              </w:rPr>
            </w:pPr>
            <w:r w:rsidRPr="00A26C77">
              <w:rPr>
                <w:b/>
                <w:bCs/>
              </w:rPr>
              <w:t xml:space="preserve">Individuals on immunosuppressive or immunomodulating therapy including: </w:t>
            </w:r>
          </w:p>
          <w:p w14:paraId="5D03188A" w14:textId="77777777" w:rsidR="009A5C7D" w:rsidRPr="00903730" w:rsidRDefault="009A5C7D" w:rsidP="00E15395">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E15395">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E15395">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xml:space="preserve">), T-cell co-stimulation modulators, soluble TNF receptors, interleukin (IL)-6 receptor inhibitors., IL-17 inhibitors, IL 12/23 </w:t>
            </w:r>
            <w:r w:rsidRPr="00903730">
              <w:lastRenderedPageBreak/>
              <w:t>inhibitors, IL 23 inhibitors (N.B: this list is not exhaustive)</w:t>
            </w:r>
          </w:p>
          <w:p w14:paraId="1E500196" w14:textId="4D121911" w:rsidR="009A5C7D" w:rsidRPr="00A26C77" w:rsidRDefault="009A5C7D" w:rsidP="00A26C77">
            <w:pPr>
              <w:pStyle w:val="Tabletext"/>
              <w:rPr>
                <w:b/>
                <w:bCs/>
              </w:rPr>
            </w:pPr>
            <w:r w:rsidRPr="00A26C77">
              <w:rPr>
                <w:b/>
                <w:bCs/>
              </w:rPr>
              <w:t>Individuals with chronic immune mediated inflammatory disease who are receiving or have received immunosuppressive therapy:</w:t>
            </w:r>
          </w:p>
          <w:p w14:paraId="7E59AB2F" w14:textId="77777777" w:rsidR="009A5C7D" w:rsidRPr="00903730" w:rsidRDefault="009A5C7D" w:rsidP="00E15395">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E15395">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E15395">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E15395">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A26C77" w:rsidRDefault="009A5C7D" w:rsidP="00A26C77">
            <w:pPr>
              <w:pStyle w:val="Tabletext"/>
              <w:rPr>
                <w:b/>
                <w:bCs/>
              </w:rPr>
            </w:pPr>
            <w:r w:rsidRPr="00A26C77">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E15395">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7"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E15395">
            <w:pPr>
              <w:pStyle w:val="Bulletindent1"/>
              <w:numPr>
                <w:ilvl w:val="1"/>
                <w:numId w:val="15"/>
              </w:numPr>
            </w:pPr>
            <w:r w:rsidRPr="009A5C7D">
              <w:t>replacement corticosteroids for individuals with adrenal insufficiency</w:t>
            </w:r>
          </w:p>
          <w:p w14:paraId="6EB0C321" w14:textId="77777777" w:rsidR="009A5C7D" w:rsidRPr="009A5C7D" w:rsidRDefault="009A5C7D" w:rsidP="00E15395">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E15395">
            <w:pPr>
              <w:pStyle w:val="Bulletindent1"/>
              <w:numPr>
                <w:ilvl w:val="1"/>
                <w:numId w:val="15"/>
              </w:numPr>
            </w:pPr>
            <w:r w:rsidRPr="009A5C7D">
              <w:t>intra-articular, -bursal or -tendon corticosteroid injections.</w:t>
            </w:r>
          </w:p>
          <w:p w14:paraId="7B5D0722" w14:textId="532C8CB6" w:rsidR="009A5C7D" w:rsidRPr="009A5C7D" w:rsidRDefault="00B44F52" w:rsidP="00E15395">
            <w:pPr>
              <w:pStyle w:val="Bulletindent1"/>
            </w:pPr>
            <w:r w:rsidRPr="00B44F52">
              <w:rPr>
                <w:iCs/>
              </w:rPr>
              <w:t xml:space="preserve">Known hypersensitivity to erythromycin, any macrolide or any of the components within the </w:t>
            </w:r>
            <w:r w:rsidRPr="00B44F52">
              <w:rPr>
                <w:iCs/>
              </w:rPr>
              <w:lastRenderedPageBreak/>
              <w:t xml:space="preserve">formulation </w:t>
            </w:r>
            <w:r w:rsidR="000311FF" w:rsidRPr="000311FF">
              <w:rPr>
                <w:iCs/>
              </w:rPr>
              <w:t xml:space="preserve">- </w:t>
            </w:r>
            <w:r w:rsidR="009A5C7D" w:rsidRPr="009A5C7D">
              <w:t xml:space="preserve">see </w:t>
            </w:r>
            <w:hyperlink r:id="rId28" w:anchor="gref" w:history="1">
              <w:hyperlink r:id="rId29"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3CD041B9" w14:textId="77777777" w:rsidR="00BF613A" w:rsidRDefault="00BF613A" w:rsidP="00E15395">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 or oral suspension (or oral solution))</w:t>
            </w:r>
          </w:p>
          <w:p w14:paraId="0C0ACC3A" w14:textId="77777777" w:rsidR="009F4C18" w:rsidRPr="0012383A" w:rsidRDefault="009F4C18" w:rsidP="00E15395">
            <w:pPr>
              <w:pStyle w:val="Bulletindent1"/>
              <w:rPr>
                <w:iCs/>
              </w:rPr>
            </w:pPr>
            <w:r>
              <w:t xml:space="preserve">Current long-term use of erythromycin or another macrolide antibiotic (e.g. erythromycin for prophylaxis in asplenia, </w:t>
            </w:r>
            <w:r w:rsidRPr="0012383A">
              <w:t xml:space="preserve">azithromycin for prophylaxis in individuals with COPD or bronchiectasis etc.) </w:t>
            </w:r>
          </w:p>
          <w:p w14:paraId="7A6E849F" w14:textId="4E16F9D5" w:rsidR="00B45C68" w:rsidRDefault="00B45C68" w:rsidP="00E15395">
            <w:pPr>
              <w:pStyle w:val="Bulletindent1"/>
            </w:pPr>
            <w:r>
              <w:t xml:space="preserve">Individuals following a </w:t>
            </w:r>
            <w:hyperlink r:id="rId30"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475E50E7" w14:textId="77777777" w:rsidR="00E15395" w:rsidRPr="00860E94" w:rsidRDefault="00E15395" w:rsidP="00E15395">
            <w:pPr>
              <w:pStyle w:val="Bulletindent1"/>
            </w:pPr>
            <w:r>
              <w:t>Failed previous antibiotic for this episode of acute otitis media</w:t>
            </w:r>
          </w:p>
          <w:p w14:paraId="085282E4" w14:textId="77777777" w:rsidR="00E15395" w:rsidRPr="00C541AE" w:rsidRDefault="00E15395" w:rsidP="00E15395">
            <w:pPr>
              <w:pStyle w:val="Bulletindent1"/>
              <w:rPr>
                <w:color w:val="000000"/>
              </w:rPr>
            </w:pPr>
            <w:r w:rsidRPr="00C541AE">
              <w:t>Individuals with evidence of, or suspected, foreign body in the ear canal</w:t>
            </w:r>
          </w:p>
          <w:p w14:paraId="6074178E" w14:textId="77777777" w:rsidR="00E15395" w:rsidRDefault="00E15395" w:rsidP="00E15395">
            <w:pPr>
              <w:pStyle w:val="Bulletindent1"/>
            </w:pPr>
            <w:r w:rsidRPr="00C541AE">
              <w:t xml:space="preserve">Individuals with recurrent infection - defined as three or more documented and separate acute otitis media episodes (with an absence of middle ear disease between episodes) in the preceding 6 months, or four or more episodes in the preceding 12 months with at least one </w:t>
            </w:r>
            <w:r w:rsidRPr="007B48B0">
              <w:t>episode in the past 6 months</w:t>
            </w:r>
          </w:p>
          <w:p w14:paraId="7C53E244" w14:textId="77777777" w:rsidR="00E15395" w:rsidRDefault="00E15395" w:rsidP="00E15395">
            <w:pPr>
              <w:pStyle w:val="Bulletindent1"/>
            </w:pPr>
            <w:r>
              <w:t xml:space="preserve">Individual is at high risk of complications due to pre-existing co-morbidity (e.g. children with significant heart, lung, kidney, liver or neuromuscular disease, severe immunosuppression or immunosuppression, cystic fibrosis and </w:t>
            </w:r>
            <w:r w:rsidRPr="00B75DD8">
              <w:rPr>
                <w:color w:val="000000"/>
              </w:rPr>
              <w:t>young children</w:t>
            </w:r>
            <w:r>
              <w:t xml:space="preserve"> who were born prematurely) </w:t>
            </w:r>
          </w:p>
          <w:p w14:paraId="43CAA465" w14:textId="77777777" w:rsidR="00E15395" w:rsidRPr="00C541AE" w:rsidRDefault="00E15395" w:rsidP="00E15395">
            <w:pPr>
              <w:pStyle w:val="Bulletindent1"/>
              <w:rPr>
                <w:color w:val="000000"/>
              </w:rPr>
            </w:pPr>
            <w:hyperlink r:id="rId31" w:history="1">
              <w:r>
                <w:rPr>
                  <w:rStyle w:val="Hyperlink"/>
                  <w:rFonts w:cs="Arial"/>
                  <w:szCs w:val="22"/>
                </w:rPr>
                <w:t>Otitis Media with visible effusion (glue ear) as described in NICE CKS</w:t>
              </w:r>
            </w:hyperlink>
            <w:r w:rsidRPr="00C541AE">
              <w:t xml:space="preserve">) </w:t>
            </w:r>
          </w:p>
          <w:p w14:paraId="5011951A" w14:textId="77777777" w:rsidR="00E15395" w:rsidRPr="00C541AE" w:rsidRDefault="00E15395" w:rsidP="00E15395">
            <w:pPr>
              <w:pStyle w:val="Bulletindent1"/>
              <w:rPr>
                <w:color w:val="000000"/>
              </w:rPr>
            </w:pPr>
            <w:r w:rsidRPr="00C541AE">
              <w:t>Individuals with a temperature over 39°C</w:t>
            </w:r>
          </w:p>
          <w:p w14:paraId="4D91DB30" w14:textId="77777777" w:rsidR="00E15395" w:rsidRPr="00F34276" w:rsidRDefault="00E15395" w:rsidP="00E15395">
            <w:pPr>
              <w:pStyle w:val="Bulletindent1"/>
              <w:rPr>
                <w:color w:val="000000"/>
              </w:rPr>
            </w:pPr>
            <w:r w:rsidRPr="00F34276">
              <w:t xml:space="preserve">Individuals with </w:t>
            </w:r>
            <w:r w:rsidRPr="00FF4B7E">
              <w:t xml:space="preserve">suspected </w:t>
            </w:r>
            <w:hyperlink r:id="rId32" w:history="1">
              <w:r>
                <w:rPr>
                  <w:rStyle w:val="Hyperlink"/>
                  <w:rFonts w:cs="Arial"/>
                  <w:szCs w:val="22"/>
                </w:rPr>
                <w:t>meningitis as described on the NHS website</w:t>
              </w:r>
            </w:hyperlink>
            <w:r w:rsidRPr="00F34276">
              <w:t xml:space="preserve"> </w:t>
            </w:r>
            <w:r>
              <w:t>(neck stiffness, photophobia, mottled skin)</w:t>
            </w:r>
          </w:p>
          <w:p w14:paraId="6F92AAFC" w14:textId="77777777" w:rsidR="00E15395" w:rsidRPr="00FF4B7E" w:rsidRDefault="00E15395" w:rsidP="00E15395">
            <w:pPr>
              <w:pStyle w:val="Bulletindent1"/>
              <w:rPr>
                <w:color w:val="000000"/>
              </w:rPr>
            </w:pPr>
            <w:r w:rsidRPr="00F34276">
              <w:t xml:space="preserve">Individuals with </w:t>
            </w:r>
            <w:r>
              <w:t xml:space="preserve">suspected </w:t>
            </w:r>
            <w:hyperlink r:id="rId33" w:history="1">
              <w:r>
                <w:rPr>
                  <w:rStyle w:val="Hyperlink"/>
                  <w:rFonts w:cs="Arial"/>
                  <w:szCs w:val="22"/>
                </w:rPr>
                <w:t>mastoiditis as described on the NHS website</w:t>
              </w:r>
            </w:hyperlink>
            <w:r w:rsidRPr="00F34276">
              <w:t xml:space="preserve"> </w:t>
            </w:r>
            <w:r>
              <w:t>(pain, soreness, swelling, tenderness behind the affected ear(s))</w:t>
            </w:r>
          </w:p>
          <w:p w14:paraId="68B66A9F" w14:textId="77777777" w:rsidR="00E15395" w:rsidRPr="00FF4B7E" w:rsidRDefault="00E15395" w:rsidP="00E15395">
            <w:pPr>
              <w:pStyle w:val="Bulletindent1"/>
              <w:rPr>
                <w:color w:val="000000"/>
              </w:rPr>
            </w:pPr>
            <w:r>
              <w:lastRenderedPageBreak/>
              <w:t xml:space="preserve">Individuals with suspected </w:t>
            </w:r>
            <w:hyperlink r:id="rId34" w:history="1">
              <w:r>
                <w:rPr>
                  <w:rStyle w:val="Hyperlink"/>
                  <w:rFonts w:cs="Arial"/>
                  <w:szCs w:val="22"/>
                </w:rPr>
                <w:t>intracranial (brain) abscess as described on the NHS website</w:t>
              </w:r>
            </w:hyperlink>
            <w:r>
              <w:t xml:space="preserve"> (severe headache, confusion or irritability, muscle weakness)</w:t>
            </w:r>
          </w:p>
          <w:p w14:paraId="39255750" w14:textId="77777777" w:rsidR="00E15395" w:rsidRPr="00FF4B7E" w:rsidRDefault="00E15395" w:rsidP="00E15395">
            <w:pPr>
              <w:pStyle w:val="Bulletindent1"/>
              <w:rPr>
                <w:color w:val="000000"/>
              </w:rPr>
            </w:pPr>
            <w:r>
              <w:t xml:space="preserve">Individuals with suspected </w:t>
            </w:r>
            <w:hyperlink r:id="rId35" w:history="1">
              <w:r>
                <w:rPr>
                  <w:rStyle w:val="Hyperlink"/>
                  <w:rFonts w:cs="Arial"/>
                  <w:szCs w:val="22"/>
                </w:rPr>
                <w:t>sinus thrombosis as described on the NHS website</w:t>
              </w:r>
            </w:hyperlink>
            <w:r>
              <w:t xml:space="preserve"> (headache behind or around the eye(s))</w:t>
            </w:r>
          </w:p>
          <w:p w14:paraId="68937413" w14:textId="77777777" w:rsidR="00E15395" w:rsidRPr="00FF4B7E" w:rsidRDefault="00E15395" w:rsidP="00E15395">
            <w:pPr>
              <w:pStyle w:val="Bulletindent1"/>
              <w:rPr>
                <w:color w:val="000000"/>
              </w:rPr>
            </w:pPr>
            <w:r w:rsidRPr="00F34276">
              <w:t>Individuals with facial nerve paralysis (drooping of the face)</w:t>
            </w:r>
          </w:p>
          <w:p w14:paraId="7BD8D8D6" w14:textId="77777777" w:rsidR="00E15395" w:rsidRPr="00C723B6" w:rsidRDefault="00E15395" w:rsidP="00E15395">
            <w:pPr>
              <w:pStyle w:val="Bulletindent1"/>
              <w:rPr>
                <w:color w:val="000000"/>
              </w:rPr>
            </w:pPr>
            <w:r w:rsidRPr="00C541AE">
              <w:t xml:space="preserve">Individuals with </w:t>
            </w:r>
            <w:hyperlink r:id="rId36" w:history="1">
              <w:r>
                <w:rPr>
                  <w:rStyle w:val="Hyperlink"/>
                  <w:rFonts w:cs="Arial"/>
                  <w:szCs w:val="22"/>
                </w:rPr>
                <w:t>cholesteatoma as described on the NHS website</w:t>
              </w:r>
            </w:hyperlink>
            <w:r w:rsidRPr="00C541AE">
              <w:t xml:space="preserve"> </w:t>
            </w:r>
          </w:p>
          <w:p w14:paraId="05A1F443" w14:textId="77777777" w:rsidR="008E601E" w:rsidRPr="0070739C" w:rsidRDefault="008E601E" w:rsidP="00E15395">
            <w:pPr>
              <w:pStyle w:val="Bulletindent1"/>
              <w:rPr>
                <w:iCs/>
              </w:rPr>
            </w:pPr>
            <w:r w:rsidRPr="00CC1B72">
              <w:rPr>
                <w:iCs/>
              </w:rPr>
              <w:t xml:space="preserve">Any individual identified with symptoms of </w:t>
            </w:r>
            <w:hyperlink r:id="rId37" w:history="1">
              <w:r>
                <w:rPr>
                  <w:rStyle w:val="Hyperlink"/>
                  <w:rFonts w:cs="Arial"/>
                </w:rPr>
                <w:t>severe/life-threatening infection or systemic sepsis as described on the NHS website</w:t>
              </w:r>
            </w:hyperlink>
            <w:r>
              <w:t>: refer</w:t>
            </w:r>
            <w:r w:rsidRPr="00CC1B72">
              <w:t xml:space="preserve"> urgently via ambulance.</w:t>
            </w:r>
          </w:p>
          <w:p w14:paraId="3124657D" w14:textId="77777777" w:rsidR="008E601E" w:rsidRDefault="008E601E" w:rsidP="00E15395">
            <w:pPr>
              <w:pStyle w:val="Bulletindent1"/>
            </w:pPr>
            <w:r>
              <w:t>Possible cancer:</w:t>
            </w:r>
          </w:p>
          <w:p w14:paraId="0FAFCB46" w14:textId="77777777" w:rsidR="00E15395" w:rsidRPr="005857C4" w:rsidRDefault="00E15395" w:rsidP="00E15395">
            <w:pPr>
              <w:pStyle w:val="TableParagraph"/>
              <w:numPr>
                <w:ilvl w:val="1"/>
                <w:numId w:val="15"/>
              </w:numPr>
              <w:spacing w:after="0" w:line="240" w:lineRule="auto"/>
              <w:rPr>
                <w:rFonts w:ascii="Arial" w:hAnsi="Arial" w:cs="Arial"/>
                <w:iCs/>
                <w:color w:val="000000"/>
                <w:lang w:val="en-GB"/>
              </w:rPr>
            </w:pPr>
            <w:r w:rsidRPr="00960A62">
              <w:rPr>
                <w:rFonts w:ascii="Arial" w:hAnsi="Arial" w:cs="Arial"/>
                <w:color w:val="000000"/>
                <w:lang w:val="en-GB"/>
              </w:rPr>
              <w:t>Bloody/blood stained discharge from ear(s)</w:t>
            </w:r>
            <w:r w:rsidRPr="00960A62">
              <w:rPr>
                <w:rFonts w:ascii="Arial" w:hAnsi="Arial" w:cs="Arial"/>
                <w:iCs/>
                <w:color w:val="000000"/>
                <w:lang w:val="en-GB"/>
              </w:rPr>
              <w:t xml:space="preserve"> </w:t>
            </w:r>
          </w:p>
          <w:p w14:paraId="6D8966EE" w14:textId="77777777" w:rsidR="008E601E" w:rsidRPr="002065BA" w:rsidRDefault="008E601E" w:rsidP="00E15395">
            <w:pPr>
              <w:pStyle w:val="Bulletindent1"/>
            </w:pPr>
            <w:r w:rsidRPr="002065BA">
              <w:rPr>
                <w:lang w:eastAsia="en-GB"/>
              </w:rPr>
              <w:t xml:space="preserve">Known myasthenia gravis </w:t>
            </w:r>
          </w:p>
          <w:p w14:paraId="4B3EB5E4" w14:textId="77777777" w:rsidR="008E601E" w:rsidRPr="00870315" w:rsidRDefault="008E601E" w:rsidP="00E15395">
            <w:pPr>
              <w:pStyle w:val="Bulletindent1"/>
            </w:pPr>
            <w:r w:rsidRPr="002065BA">
              <w:rPr>
                <w:lang w:eastAsia="en-GB"/>
              </w:rPr>
              <w:t xml:space="preserve">Known history of QT prolongation (congenital or acquired), or ventricular cardiac arrhythmia, including torsades de pointe </w:t>
            </w:r>
          </w:p>
          <w:p w14:paraId="3FD4C85D" w14:textId="77777777" w:rsidR="008E601E" w:rsidRPr="00A83E3B" w:rsidRDefault="008E601E" w:rsidP="00E15395">
            <w:pPr>
              <w:pStyle w:val="Bulletindent1"/>
            </w:pPr>
            <w:r>
              <w:rPr>
                <w:lang w:eastAsia="en-GB"/>
              </w:rPr>
              <w:t xml:space="preserve">Concomitant use of another medication known to cause QT prolongation (e.g. see </w:t>
            </w:r>
            <w:hyperlink w:anchor="Interactions" w:history="1">
              <w:r w:rsidRPr="00A37508">
                <w:rPr>
                  <w:rStyle w:val="Hyperlink"/>
                  <w:rFonts w:cs="Arial"/>
                </w:rPr>
                <w:t>Drug interactions</w:t>
              </w:r>
            </w:hyperlink>
            <w:r>
              <w:rPr>
                <w:lang w:eastAsia="en-GB"/>
              </w:rPr>
              <w:t xml:space="preserve"> section for further information or recommended resources include: </w:t>
            </w:r>
            <w:hyperlink r:id="rId38"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39" w:history="1">
              <w:r w:rsidRPr="0067742E">
                <w:rPr>
                  <w:rStyle w:val="Hyperlink"/>
                  <w:rFonts w:cs="Arial"/>
                  <w:lang w:eastAsia="en-GB"/>
                </w:rPr>
                <w:t>Sudden arrhythmic death syndrome (SADS) - Drugs to avoid</w:t>
              </w:r>
            </w:hyperlink>
            <w:r>
              <w:rPr>
                <w:lang w:eastAsia="en-GB"/>
              </w:rPr>
              <w:t>)</w:t>
            </w:r>
          </w:p>
          <w:p w14:paraId="61177E23" w14:textId="77777777" w:rsidR="008E601E" w:rsidRPr="00870315" w:rsidRDefault="008E601E" w:rsidP="00E15395">
            <w:pPr>
              <w:pStyle w:val="Bulletindent1"/>
            </w:pPr>
            <w:r w:rsidRPr="002065BA">
              <w:rPr>
                <w:lang w:eastAsia="en-GB"/>
              </w:rPr>
              <w:t>Known electrolyte disturbances (hypokalaemia or hypomagnesaemia)</w:t>
            </w:r>
          </w:p>
          <w:p w14:paraId="09895434" w14:textId="7BC1E26F" w:rsidR="008E601E" w:rsidRPr="008B373C" w:rsidRDefault="008E601E" w:rsidP="00E15395">
            <w:pPr>
              <w:pStyle w:val="Bulletindent1"/>
            </w:pPr>
            <w:r w:rsidRPr="00CC1B72">
              <w:t>Known Chronic Kidney Disease (CKD) stage 5 (eGFR &lt;</w:t>
            </w:r>
            <w:r>
              <w:t>15</w:t>
            </w:r>
            <w:r w:rsidRPr="00CC1B72">
              <w:t>ml/min/1.73m²)</w:t>
            </w:r>
          </w:p>
          <w:p w14:paraId="4BE9789A" w14:textId="77777777" w:rsidR="008E601E" w:rsidRDefault="008E601E" w:rsidP="00E15395">
            <w:pPr>
              <w:pStyle w:val="Bulletindent1"/>
            </w:pPr>
            <w:r w:rsidRPr="00745195">
              <w:t>Known or suspected liver disease</w:t>
            </w:r>
          </w:p>
          <w:p w14:paraId="56C48569" w14:textId="2FBF3FAD" w:rsidR="008E601E" w:rsidRPr="00E752ED" w:rsidRDefault="008E601E" w:rsidP="00E15395">
            <w:pPr>
              <w:pStyle w:val="Bulletindent1"/>
            </w:pPr>
            <w:r w:rsidRPr="00E752ED">
              <w:rPr>
                <w:lang w:eastAsia="en-GB"/>
              </w:rPr>
              <w:t xml:space="preserve">Concomitant use with a potentially hepatotoxic medicine (use information from the </w:t>
            </w:r>
            <w:hyperlink r:id="rId40" w:history="1">
              <w:r>
                <w:rPr>
                  <w:rStyle w:val="Hyperlink"/>
                  <w:rFonts w:cs="Arial"/>
                  <w:lang w:eastAsia="en-GB"/>
                </w:rPr>
                <w:t>SPC which can be accessed on the EMC website</w:t>
              </w:r>
            </w:hyperlink>
            <w:r w:rsidRPr="00E752ED">
              <w:rPr>
                <w:lang w:eastAsia="en-GB"/>
              </w:rPr>
              <w:t xml:space="preserve"> or individual monograph on </w:t>
            </w:r>
            <w:hyperlink r:id="rId41" w:history="1">
              <w:proofErr w:type="spellStart"/>
              <w:r w:rsidRPr="00E752ED">
                <w:rPr>
                  <w:rStyle w:val="Hyperlink"/>
                  <w:rFonts w:cs="Arial"/>
                  <w:lang w:eastAsia="en-GB"/>
                </w:rPr>
                <w:t>LiverTox</w:t>
              </w:r>
              <w:proofErr w:type="spellEnd"/>
            </w:hyperlink>
            <w:r w:rsidRPr="00E752ED">
              <w:rPr>
                <w:lang w:eastAsia="en-GB"/>
              </w:rPr>
              <w:t xml:space="preserve"> to determine if concomitant medicines(s) are hepatotoxic)</w:t>
            </w:r>
          </w:p>
          <w:p w14:paraId="4C3EE256" w14:textId="77777777" w:rsidR="008E601E" w:rsidRDefault="008E601E" w:rsidP="00E15395">
            <w:pPr>
              <w:pStyle w:val="Bulletindent1"/>
            </w:pPr>
            <w:r>
              <w:t xml:space="preserve">Known heart disease (e.g. coronary artery disease, severe cardiac insufficiency, conduction disturbances, bradycardia &lt; 50 beats per minute) </w:t>
            </w:r>
          </w:p>
          <w:p w14:paraId="237DEB3D" w14:textId="77777777" w:rsidR="008E601E" w:rsidRPr="00C8572B" w:rsidRDefault="008E601E" w:rsidP="00E15395">
            <w:pPr>
              <w:pStyle w:val="Bulletindent1"/>
            </w:pPr>
            <w:r>
              <w:t xml:space="preserve">Known porphyria </w:t>
            </w:r>
          </w:p>
          <w:p w14:paraId="30B64F83" w14:textId="77777777" w:rsidR="008E601E" w:rsidRPr="00C8572B" w:rsidRDefault="008E601E" w:rsidP="00E15395">
            <w:pPr>
              <w:pStyle w:val="Bulletindent1"/>
            </w:pPr>
            <w:r w:rsidRPr="00870315">
              <w:lastRenderedPageBreak/>
              <w:t>Less than 3 days before receiving, or within 3 days after receiving, oral typhoid vaccine</w:t>
            </w:r>
          </w:p>
          <w:p w14:paraId="242D0FB3" w14:textId="32EE056E" w:rsidR="00CB4A2B" w:rsidRDefault="00793D7D" w:rsidP="00E15395">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1C65E04A" w14:textId="77777777" w:rsidR="009F4C18" w:rsidRPr="009F4C18" w:rsidRDefault="009F4C18" w:rsidP="009F4C18">
            <w:pPr>
              <w:pStyle w:val="Tabletext"/>
              <w:rPr>
                <w:rFonts w:eastAsia="Calibri"/>
              </w:rPr>
            </w:pPr>
            <w:r w:rsidRPr="009F4C18">
              <w:rPr>
                <w:rFonts w:eastAsia="Calibri"/>
                <w:b/>
              </w:rPr>
              <w:t>Breastfeeding individuals:</w:t>
            </w:r>
            <w:r w:rsidRPr="009F4C18">
              <w:rPr>
                <w:rFonts w:eastAsia="Calibri"/>
              </w:rPr>
              <w:t xml:space="preserve"> Erythromycin can be used in breastfeeding individuals: monitor nursing infant for gastro-intestinal disturbances, oral candida infection, rashes, drowsiness, irritability, sweating and loss of appetite. </w:t>
            </w:r>
          </w:p>
          <w:p w14:paraId="7CE355A4" w14:textId="77777777" w:rsidR="005D580E" w:rsidRPr="005D580E" w:rsidRDefault="005D580E" w:rsidP="005D580E">
            <w:pPr>
              <w:pStyle w:val="Tabletext"/>
              <w:rPr>
                <w:lang w:val="en-GB"/>
              </w:rPr>
            </w:pPr>
          </w:p>
          <w:p w14:paraId="7769638A" w14:textId="3A3489D0" w:rsidR="001F2113" w:rsidRPr="005D580E" w:rsidRDefault="005D580E" w:rsidP="001F2113">
            <w:pPr>
              <w:pStyle w:val="Tabletext"/>
              <w:rPr>
                <w:iCs/>
                <w:lang w:val="en-GB"/>
              </w:rPr>
            </w:pPr>
            <w:r w:rsidRPr="005D580E">
              <w:rPr>
                <w:iCs/>
                <w:lang w:val="en-GB"/>
              </w:rPr>
              <w:t>*******************************************************************</w:t>
            </w:r>
          </w:p>
          <w:p w14:paraId="44AC9894" w14:textId="77777777" w:rsidR="009F4C18" w:rsidRPr="009F4C18" w:rsidRDefault="009F4C18" w:rsidP="009F4C18">
            <w:pPr>
              <w:pStyle w:val="Tabletext"/>
              <w:rPr>
                <w:rFonts w:eastAsia="Calibri"/>
              </w:rPr>
            </w:pPr>
            <w:r w:rsidRPr="009F4C18">
              <w:rPr>
                <w:rFonts w:eastAsia="Calibri"/>
              </w:rPr>
              <w:t>Caution should be exercised when supplying erythromycin tablets or oral suspension (or oral solution) to individuals who should avoid the following excipients:</w:t>
            </w:r>
          </w:p>
          <w:p w14:paraId="2C6636EA" w14:textId="77777777" w:rsidR="009F4C18" w:rsidRPr="009F4C18" w:rsidRDefault="009F4C18" w:rsidP="009F4C18">
            <w:pPr>
              <w:widowControl w:val="0"/>
              <w:spacing w:after="0" w:line="240" w:lineRule="auto"/>
              <w:rPr>
                <w:rFonts w:ascii="Arial" w:eastAsia="Calibri" w:hAnsi="Arial" w:cs="Arial"/>
                <w:kern w:val="0"/>
                <w:sz w:val="22"/>
                <w:szCs w:val="22"/>
                <w14:ligatures w14:val="none"/>
              </w:rPr>
            </w:pPr>
          </w:p>
          <w:p w14:paraId="516477CA" w14:textId="77777777" w:rsidR="00E12123" w:rsidRPr="008E601E" w:rsidRDefault="00E12123" w:rsidP="008E601E">
            <w:pPr>
              <w:pStyle w:val="Tabletext"/>
              <w:rPr>
                <w:b/>
                <w:bCs/>
              </w:rPr>
            </w:pPr>
            <w:r w:rsidRPr="008E601E">
              <w:rPr>
                <w:b/>
                <w:bCs/>
              </w:rPr>
              <w:t>Lactose, sucrose, fructose and sorbitol:</w:t>
            </w:r>
          </w:p>
          <w:p w14:paraId="16544F96" w14:textId="497ABEBC" w:rsidR="00E12123" w:rsidRPr="000B32D0" w:rsidRDefault="00E12123" w:rsidP="008E601E">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2" w:history="1">
              <w:r w:rsidR="00A16080">
                <w:rPr>
                  <w:rStyle w:val="Hyperlink"/>
                  <w:rFonts w:cs="Arial"/>
                </w:rPr>
                <w:t>SmPC which can be accessed on the EMC website</w:t>
              </w:r>
            </w:hyperlink>
            <w:r w:rsidRPr="000B32D0">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8E601E" w:rsidRDefault="00E12123" w:rsidP="008E601E">
            <w:pPr>
              <w:pStyle w:val="Tabletext"/>
              <w:rPr>
                <w:b/>
                <w:bCs/>
              </w:rPr>
            </w:pPr>
            <w:r w:rsidRPr="008E601E">
              <w:rPr>
                <w:b/>
                <w:bCs/>
              </w:rPr>
              <w:t xml:space="preserve">Aspartame: </w:t>
            </w:r>
          </w:p>
          <w:p w14:paraId="64FEDD91" w14:textId="26544B97" w:rsidR="00E12123" w:rsidRDefault="00E12123" w:rsidP="009F4C18">
            <w:pPr>
              <w:pStyle w:val="Tabletext"/>
            </w:pPr>
            <w:r w:rsidRPr="00186EC7">
              <w:rPr>
                <w:rFonts w:cs="Arial"/>
              </w:rPr>
              <w:t xml:space="preserve">Individuals with </w:t>
            </w:r>
            <w:hyperlink r:id="rId43"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4"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45" w:history="1">
              <w:r w:rsidRPr="008A4BC6">
                <w:rPr>
                  <w:rStyle w:val="Hyperlink"/>
                  <w:lang w:eastAsia="en-GB"/>
                </w:rPr>
                <w:t>Treating Your Infection Respiratory Tract Infection (TYI-RTI) patient information leaflet</w:t>
              </w:r>
            </w:hyperlink>
            <w:r w:rsidRPr="001F2113">
              <w:rPr>
                <w:lang w:eastAsia="en-GB"/>
              </w:rPr>
              <w:t xml:space="preserve"> </w:t>
            </w:r>
          </w:p>
          <w:p w14:paraId="51254FAC" w14:textId="20FAF068" w:rsidR="00A16080" w:rsidRDefault="00E15395" w:rsidP="00E15395">
            <w:pPr>
              <w:pStyle w:val="Bulletindent1"/>
            </w:pPr>
            <w:r w:rsidRPr="00E15395">
              <w:rPr>
                <w:iCs/>
              </w:rPr>
              <w:t xml:space="preserve">Advise that acute otitis media mainly affects children, can last for around 1 week and most children will get better within 3 days without antibiotics. </w:t>
            </w:r>
            <w:r w:rsidRPr="00E15395">
              <w:rPr>
                <w:bCs/>
              </w:rPr>
              <w:t xml:space="preserve"> </w:t>
            </w:r>
          </w:p>
        </w:tc>
      </w:tr>
      <w:tr w:rsidR="008E601E" w14:paraId="6142EA67" w14:textId="77777777" w:rsidTr="00A16080">
        <w:tc>
          <w:tcPr>
            <w:tcW w:w="2542" w:type="dxa"/>
          </w:tcPr>
          <w:p w14:paraId="64D4E823" w14:textId="68D32D5C" w:rsidR="008E601E" w:rsidRPr="00A16080" w:rsidRDefault="008E601E" w:rsidP="008E601E">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8E601E" w:rsidRPr="00A16080" w:rsidRDefault="008E601E" w:rsidP="008E601E">
            <w:pPr>
              <w:rPr>
                <w:rFonts w:ascii="Arial" w:hAnsi="Arial"/>
                <w:b/>
                <w:bCs/>
              </w:rPr>
            </w:pPr>
          </w:p>
          <w:p w14:paraId="751752A4" w14:textId="543640A2" w:rsidR="008E601E" w:rsidRPr="005A6168" w:rsidRDefault="008E601E" w:rsidP="008E601E">
            <w:pPr>
              <w:rPr>
                <w:rStyle w:val="TableHeaderColumn"/>
              </w:rPr>
            </w:pPr>
          </w:p>
        </w:tc>
        <w:tc>
          <w:tcPr>
            <w:tcW w:w="5953" w:type="dxa"/>
          </w:tcPr>
          <w:p w14:paraId="5D8FF5C7" w14:textId="77777777" w:rsidR="008E601E" w:rsidRDefault="008E601E" w:rsidP="008E601E">
            <w:pPr>
              <w:pStyle w:val="Bulletindent1"/>
            </w:pPr>
            <w:r w:rsidRPr="00A16080">
              <w:t>Record reasons for exclusion in the appropriate clinical record</w:t>
            </w:r>
            <w:r>
              <w:t>.</w:t>
            </w:r>
          </w:p>
          <w:p w14:paraId="76D4C03C" w14:textId="77777777" w:rsidR="008E601E" w:rsidRDefault="008E601E" w:rsidP="00A26C77">
            <w:pPr>
              <w:pStyle w:val="Tabletext"/>
              <w:rPr>
                <w:b/>
                <w:bCs/>
              </w:rPr>
            </w:pPr>
            <w:r w:rsidRPr="00A26C77">
              <w:rPr>
                <w:b/>
                <w:bCs/>
              </w:rPr>
              <w:t xml:space="preserve">Individuals where treatment is not indicated: </w:t>
            </w:r>
          </w:p>
          <w:p w14:paraId="0950CD79" w14:textId="77777777" w:rsidR="00E15395" w:rsidRDefault="00E15395" w:rsidP="00E15395">
            <w:pPr>
              <w:pStyle w:val="Bulletindent1"/>
            </w:pPr>
            <w:r>
              <w:t xml:space="preserve">Provide </w:t>
            </w:r>
            <w:hyperlink r:id="rId46" w:history="1">
              <w:r w:rsidRPr="00C63FC6">
                <w:rPr>
                  <w:rStyle w:val="Hyperlink"/>
                  <w:rFonts w:cs="Arial"/>
                </w:rPr>
                <w:t>TARGET RTI leaflet.</w:t>
              </w:r>
            </w:hyperlink>
            <w:r>
              <w:t xml:space="preserve"> </w:t>
            </w:r>
          </w:p>
          <w:p w14:paraId="7BE763A2" w14:textId="77777777" w:rsidR="00E15395" w:rsidRPr="00062F3D" w:rsidRDefault="00E15395" w:rsidP="00E15395">
            <w:pPr>
              <w:pStyle w:val="Bulletindent1"/>
            </w:pPr>
            <w:r>
              <w:t>P</w:t>
            </w:r>
            <w:r w:rsidRPr="00062F3D">
              <w:t xml:space="preserve">rovide </w:t>
            </w:r>
            <w:bookmarkStart w:id="7" w:name="selfcare"/>
            <w:r>
              <w:fldChar w:fldCharType="begin"/>
            </w:r>
            <w:r>
              <w:instrText>HYPERLINK "https://www.nhs.uk/conditions/ear-infections/"</w:instrText>
            </w:r>
            <w:r>
              <w:fldChar w:fldCharType="separate"/>
            </w:r>
            <w:bookmarkEnd w:id="7"/>
            <w:r>
              <w:rPr>
                <w:rStyle w:val="Hyperlink"/>
                <w:rFonts w:cs="Arial"/>
                <w:iCs/>
              </w:rPr>
              <w:t>self-care advice as detailed on the NHS website - ear infections</w:t>
            </w:r>
            <w:r>
              <w:fldChar w:fldCharType="end"/>
            </w:r>
            <w:r>
              <w:t xml:space="preserve"> including:</w:t>
            </w:r>
            <w:r w:rsidRPr="00062F3D">
              <w:t xml:space="preserve"> </w:t>
            </w:r>
          </w:p>
          <w:p w14:paraId="76E64565" w14:textId="163DE7EC" w:rsidR="00E15395" w:rsidRPr="00062F3D" w:rsidRDefault="00E15395" w:rsidP="00E15395">
            <w:pPr>
              <w:pStyle w:val="Bulletindent1"/>
              <w:numPr>
                <w:ilvl w:val="1"/>
                <w:numId w:val="15"/>
              </w:numPr>
              <w:rPr>
                <w:bCs/>
              </w:rPr>
            </w:pPr>
            <w:r>
              <w:t xml:space="preserve">Advise regular doses of </w:t>
            </w:r>
            <w:r w:rsidRPr="00062F3D">
              <w:t>paracetamol (</w:t>
            </w:r>
            <w:r>
              <w:t xml:space="preserve">over the counter and where appropriate) </w:t>
            </w:r>
            <w:r w:rsidRPr="00062F3D">
              <w:t xml:space="preserve">for pain, </w:t>
            </w:r>
            <w:r w:rsidRPr="00062F3D">
              <w:lastRenderedPageBreak/>
              <w:t xml:space="preserve">using a dosing schedule appropriate for the age and weight of the child. (For further information see: </w:t>
            </w:r>
            <w:hyperlink r:id="rId47" w:history="1">
              <w:r>
                <w:rPr>
                  <w:rStyle w:val="Hyperlink"/>
                  <w:rFonts w:cs="Arial"/>
                  <w:szCs w:val="22"/>
                </w:rPr>
                <w:t>NICE CKS - Mild to moderate pain</w:t>
              </w:r>
            </w:hyperlink>
            <w:r>
              <w:t>.</w:t>
            </w:r>
          </w:p>
          <w:p w14:paraId="7B012428" w14:textId="77777777" w:rsidR="00E15395" w:rsidRPr="00062F3D" w:rsidRDefault="00E15395" w:rsidP="00E15395">
            <w:pPr>
              <w:pStyle w:val="Bulletindent1"/>
              <w:numPr>
                <w:ilvl w:val="1"/>
                <w:numId w:val="15"/>
              </w:numPr>
            </w:pPr>
            <w:r>
              <w:t>E</w:t>
            </w:r>
            <w:r w:rsidRPr="00062F3D">
              <w:t xml:space="preserve">xplain that evidence suggests decongestants and antihistamines </w:t>
            </w:r>
            <w:r>
              <w:t xml:space="preserve">(over the counter) </w:t>
            </w:r>
            <w:r w:rsidRPr="00062F3D">
              <w:t xml:space="preserve">do not help with symptoms.  </w:t>
            </w:r>
          </w:p>
          <w:p w14:paraId="75D50518" w14:textId="77777777" w:rsidR="00E15395" w:rsidRDefault="00E15395" w:rsidP="00E15395">
            <w:pPr>
              <w:pStyle w:val="Bulletindent1"/>
              <w:rPr>
                <w:bCs/>
              </w:rPr>
            </w:pPr>
            <w:r>
              <w:t xml:space="preserve">Advise individual/carer/parent/guardian to seek medical advice if symptoms worsen rapidly or significantly or the individual becomes systemically very unwell or if symptoms do not start to improve within 3 days. </w:t>
            </w:r>
            <w:r>
              <w:rPr>
                <w:bCs/>
              </w:rPr>
              <w:t xml:space="preserve"> </w:t>
            </w:r>
          </w:p>
          <w:p w14:paraId="63A3F0D7" w14:textId="77777777" w:rsidR="008E601E" w:rsidRDefault="008E601E" w:rsidP="008E601E">
            <w:pPr>
              <w:pStyle w:val="Tabletext"/>
              <w:rPr>
                <w:b/>
                <w:bCs/>
              </w:rPr>
            </w:pPr>
            <w:r w:rsidRPr="007F1BF9">
              <w:rPr>
                <w:b/>
                <w:bCs/>
              </w:rPr>
              <w:t xml:space="preserve">Refer urgently to a prescriber for further assessment if:  </w:t>
            </w:r>
          </w:p>
          <w:p w14:paraId="1D24C6AE" w14:textId="77777777" w:rsidR="00E15395" w:rsidRDefault="00E15395" w:rsidP="00E15395">
            <w:pPr>
              <w:pStyle w:val="Bulletindent1"/>
            </w:pPr>
            <w:r>
              <w:t xml:space="preserve">Individual is </w:t>
            </w:r>
            <w:r w:rsidRPr="0089478D">
              <w:t>systemically unwell</w:t>
            </w:r>
            <w:r>
              <w:t xml:space="preserve">, </w:t>
            </w:r>
            <w:r w:rsidRPr="002F3AA0">
              <w:t xml:space="preserve">but not showing signs or symptoms of </w:t>
            </w:r>
            <w:r w:rsidRPr="00372E72">
              <w:rPr>
                <w:rFonts w:cs="Arial"/>
              </w:rPr>
              <w:t>sepsis</w:t>
            </w:r>
            <w:r>
              <w:t xml:space="preserve"> </w:t>
            </w:r>
          </w:p>
          <w:p w14:paraId="26E6C147" w14:textId="77777777" w:rsidR="00E15395" w:rsidRPr="001678A7" w:rsidRDefault="00E15395" w:rsidP="00E15395">
            <w:pPr>
              <w:pStyle w:val="Bulletindent1"/>
            </w:pPr>
            <w:r>
              <w:t xml:space="preserve">Individual has signs of a more serious illness </w:t>
            </w:r>
          </w:p>
          <w:p w14:paraId="7D917FE1" w14:textId="77777777" w:rsidR="00E15395" w:rsidRDefault="00E15395" w:rsidP="00E15395">
            <w:pPr>
              <w:pStyle w:val="Bulletindent1"/>
            </w:pPr>
            <w:r>
              <w:t>Individual is at high risk of complications due to pre-existing co-morbidity (e.g. children with significant heart, lung, kidney, liver or neuromuscular disease, severe immunosuppression or immunosuppression, cystic fibrosis and</w:t>
            </w:r>
            <w:r w:rsidRPr="00C74DA7">
              <w:rPr>
                <w:color w:val="000000"/>
              </w:rPr>
              <w:t xml:space="preserve"> young</w:t>
            </w:r>
            <w:r>
              <w:t xml:space="preserve"> children who were born prematurely) </w:t>
            </w:r>
          </w:p>
          <w:p w14:paraId="51E3D8B1" w14:textId="77777777" w:rsidR="00E15395" w:rsidRDefault="00E15395" w:rsidP="00E15395">
            <w:pPr>
              <w:pStyle w:val="Bulletindent1"/>
              <w:rPr>
                <w:lang w:eastAsia="en-GB"/>
              </w:rPr>
            </w:pPr>
            <w:r w:rsidRPr="007F1BF9">
              <w:rPr>
                <w:lang w:eastAsia="en-GB"/>
              </w:rPr>
              <w:t xml:space="preserve">Possible cancer suspected: </w:t>
            </w:r>
          </w:p>
          <w:p w14:paraId="2CFCE52E" w14:textId="77777777" w:rsidR="00E15395" w:rsidRPr="00661632" w:rsidRDefault="00E15395" w:rsidP="00E15395">
            <w:pPr>
              <w:pStyle w:val="TableParagraph"/>
              <w:numPr>
                <w:ilvl w:val="1"/>
                <w:numId w:val="15"/>
              </w:numPr>
              <w:spacing w:after="0" w:line="240" w:lineRule="auto"/>
              <w:rPr>
                <w:rFonts w:ascii="Arial" w:hAnsi="Arial" w:cs="Arial"/>
                <w:iCs/>
                <w:color w:val="000000"/>
                <w:lang w:val="en-GB"/>
              </w:rPr>
            </w:pPr>
            <w:r>
              <w:rPr>
                <w:rFonts w:ascii="Arial" w:hAnsi="Arial" w:cs="Arial"/>
                <w:color w:val="000000"/>
                <w:lang w:val="en-GB"/>
              </w:rPr>
              <w:t>B</w:t>
            </w:r>
            <w:r w:rsidRPr="00661632">
              <w:rPr>
                <w:rFonts w:ascii="Arial" w:hAnsi="Arial" w:cs="Arial"/>
                <w:color w:val="000000"/>
                <w:lang w:val="en-GB"/>
              </w:rPr>
              <w:t>loody</w:t>
            </w:r>
            <w:r>
              <w:rPr>
                <w:rFonts w:ascii="Arial" w:hAnsi="Arial" w:cs="Arial"/>
                <w:color w:val="000000"/>
                <w:lang w:val="en-GB"/>
              </w:rPr>
              <w:t>/blood stained</w:t>
            </w:r>
            <w:r w:rsidRPr="00661632">
              <w:rPr>
                <w:rFonts w:ascii="Arial" w:hAnsi="Arial" w:cs="Arial"/>
                <w:color w:val="000000"/>
                <w:lang w:val="en-GB"/>
              </w:rPr>
              <w:t xml:space="preserve"> discharge from ear(s)</w:t>
            </w:r>
          </w:p>
          <w:p w14:paraId="7CF0D83E" w14:textId="77777777" w:rsidR="00E15395" w:rsidRPr="007F1BF9" w:rsidRDefault="00E15395" w:rsidP="00E15395">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0A6D68C6" w14:textId="77777777" w:rsidR="008E601E" w:rsidRPr="00A26C77" w:rsidRDefault="008E601E" w:rsidP="00A26C77">
            <w:pPr>
              <w:pStyle w:val="Tabletext"/>
              <w:rPr>
                <w:b/>
                <w:bCs/>
              </w:rPr>
            </w:pPr>
            <w:r w:rsidRPr="00A26C77">
              <w:rPr>
                <w:b/>
                <w:bCs/>
              </w:rPr>
              <w:t>Refer urgently to A&amp;E for further assessment if:</w:t>
            </w:r>
          </w:p>
          <w:p w14:paraId="34108A70" w14:textId="77777777" w:rsidR="00E15395" w:rsidRDefault="00E15395" w:rsidP="00E15395">
            <w:pPr>
              <w:pStyle w:val="Bulletindent1"/>
            </w:pPr>
            <w:r>
              <w:t xml:space="preserve">Signs or symptoms of serious complications (including </w:t>
            </w:r>
            <w:r w:rsidRPr="00440F2E">
              <w:t>meningitis</w:t>
            </w:r>
            <w:r>
              <w:t xml:space="preserve">, </w:t>
            </w:r>
            <w:r w:rsidRPr="00440F2E">
              <w:t>mastoiditis</w:t>
            </w:r>
            <w:r>
              <w:t xml:space="preserve">, </w:t>
            </w:r>
            <w:r w:rsidRPr="00440F2E">
              <w:t>intracranial (brain) abscess</w:t>
            </w:r>
            <w:r>
              <w:t xml:space="preserve">, </w:t>
            </w:r>
            <w:r w:rsidRPr="00440F2E">
              <w:t>sinus thrombosis</w:t>
            </w:r>
            <w:r>
              <w:t xml:space="preserve"> or facial nerve paralysis </w:t>
            </w:r>
            <w:r w:rsidRPr="00F34276">
              <w:t>(drooping of the face</w:t>
            </w:r>
            <w:r>
              <w:t xml:space="preserve">)) suspected. </w:t>
            </w:r>
          </w:p>
          <w:p w14:paraId="1ACA62F4" w14:textId="06E72DC3" w:rsidR="008E601E" w:rsidRPr="00A16080" w:rsidRDefault="008E601E" w:rsidP="00940194">
            <w:pPr>
              <w:pStyle w:val="Tabletext"/>
              <w:rPr>
                <w:b/>
                <w:bCs/>
              </w:rPr>
            </w:pPr>
            <w:r w:rsidRPr="00A16080">
              <w:rPr>
                <w:b/>
                <w:bCs/>
                <w:lang w:val="en-GB"/>
              </w:rPr>
              <w:t xml:space="preserve">If sepsis </w:t>
            </w:r>
            <w:r>
              <w:rPr>
                <w:b/>
                <w:bCs/>
                <w:lang w:val="en-GB"/>
              </w:rPr>
              <w:t>is</w:t>
            </w:r>
            <w:r w:rsidRPr="00A16080">
              <w:rPr>
                <w:b/>
                <w:bCs/>
                <w:lang w:val="en-GB"/>
              </w:rPr>
              <w:t xml:space="preserve"> suspected refer the individual urgently to A&amp;E</w:t>
            </w:r>
          </w:p>
        </w:tc>
      </w:tr>
      <w:tr w:rsidR="008E601E" w14:paraId="22696B43" w14:textId="77777777" w:rsidTr="00A16080">
        <w:tc>
          <w:tcPr>
            <w:tcW w:w="2542" w:type="dxa"/>
          </w:tcPr>
          <w:p w14:paraId="3E38F257" w14:textId="5ADD3C23" w:rsidR="008E601E" w:rsidRPr="00A16080" w:rsidRDefault="008E601E" w:rsidP="008E601E">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Pr>
                <w:rStyle w:val="TableHeaderColumn"/>
                <w:sz w:val="22"/>
                <w:szCs w:val="22"/>
              </w:rPr>
              <w:t>declines treatment</w:t>
            </w:r>
          </w:p>
          <w:p w14:paraId="556E89DA" w14:textId="77777777" w:rsidR="008E601E" w:rsidRPr="00A16080" w:rsidRDefault="008E601E" w:rsidP="008E601E">
            <w:pPr>
              <w:rPr>
                <w:rFonts w:ascii="Arial" w:hAnsi="Arial"/>
                <w:b/>
                <w:bCs/>
              </w:rPr>
            </w:pPr>
          </w:p>
        </w:tc>
        <w:tc>
          <w:tcPr>
            <w:tcW w:w="5953" w:type="dxa"/>
          </w:tcPr>
          <w:p w14:paraId="26EC9377" w14:textId="77777777" w:rsidR="008E601E" w:rsidRDefault="008E601E" w:rsidP="008E601E">
            <w:pPr>
              <w:pStyle w:val="Bulletindent1"/>
            </w:pPr>
            <w:r w:rsidRPr="00A16080">
              <w:t>Document advice given</w:t>
            </w:r>
          </w:p>
          <w:p w14:paraId="54841819" w14:textId="77777777" w:rsidR="008E601E" w:rsidRDefault="008E601E" w:rsidP="008E601E">
            <w:pPr>
              <w:pStyle w:val="Bulletindent1"/>
            </w:pPr>
            <w:r w:rsidRPr="00A16080">
              <w:t xml:space="preserve">Provide safety netting advice and advise individual/carer/parent/guardian of alternative treatment available using </w:t>
            </w:r>
            <w:r w:rsidRPr="00C3283F">
              <w:t xml:space="preserve">the </w:t>
            </w:r>
            <w:hyperlink r:id="rId48" w:history="1">
              <w:r w:rsidRPr="00C3283F">
                <w:rPr>
                  <w:rStyle w:val="Hyperlink"/>
                </w:rPr>
                <w:t>Treating Your Infection Respiratory Tract Infection (TYI-RTI) patient information leaflet</w:t>
              </w:r>
            </w:hyperlink>
          </w:p>
          <w:p w14:paraId="0CAB4B03" w14:textId="4A4B9B91" w:rsidR="008E601E" w:rsidRPr="00A16080" w:rsidRDefault="008E601E" w:rsidP="008E601E">
            <w:pPr>
              <w:pStyle w:val="Bulletindent1"/>
            </w:pPr>
            <w:r w:rsidRPr="00A16080">
              <w:lastRenderedPageBreak/>
              <w:t>Refer to a prescriber if appropriat</w:t>
            </w:r>
            <w:r>
              <w:t>e</w:t>
            </w:r>
          </w:p>
        </w:tc>
      </w:tr>
      <w:tr w:rsidR="008E601E" w14:paraId="776F5521" w14:textId="77777777" w:rsidTr="00A16080">
        <w:tc>
          <w:tcPr>
            <w:tcW w:w="2542" w:type="dxa"/>
          </w:tcPr>
          <w:p w14:paraId="56C04ED7" w14:textId="3684B890" w:rsidR="008E601E" w:rsidRPr="00A16080" w:rsidRDefault="008E601E" w:rsidP="008E601E">
            <w:pPr>
              <w:rPr>
                <w:rFonts w:ascii="Arial" w:hAnsi="Arial"/>
                <w:b/>
                <w:bCs/>
              </w:rPr>
            </w:pPr>
            <w:r w:rsidRPr="00A16080">
              <w:rPr>
                <w:rStyle w:val="TableHeaderColumn"/>
                <w:sz w:val="22"/>
                <w:szCs w:val="22"/>
              </w:rPr>
              <w:lastRenderedPageBreak/>
              <w:t>Arrangements for referral for</w:t>
            </w:r>
            <w:r>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8E601E" w:rsidRPr="00A16080" w:rsidRDefault="008E601E" w:rsidP="008E601E">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65322CFA" w14:textId="77777777" w:rsidR="00012301" w:rsidRDefault="00012301" w:rsidP="00012301">
            <w:pPr>
              <w:pStyle w:val="Tabletext"/>
            </w:pPr>
            <w:r>
              <w:t>Erythromycin 250mg tablets</w:t>
            </w:r>
          </w:p>
          <w:p w14:paraId="50F470B3" w14:textId="77777777" w:rsidR="00012301" w:rsidRDefault="00012301" w:rsidP="00012301">
            <w:pPr>
              <w:pStyle w:val="Tabletext"/>
            </w:pPr>
            <w:r>
              <w:t>Erythromycin 250mg gastro-resistant tablets</w:t>
            </w:r>
          </w:p>
          <w:p w14:paraId="4C9462DC" w14:textId="77777777" w:rsidR="00012301" w:rsidRDefault="00012301" w:rsidP="00012301">
            <w:pPr>
              <w:pStyle w:val="Tabletext"/>
            </w:pPr>
            <w:r>
              <w:t>Erythromycin</w:t>
            </w:r>
            <w:r w:rsidRPr="00A11D4A">
              <w:t xml:space="preserve"> 500mg tablets </w:t>
            </w:r>
          </w:p>
          <w:p w14:paraId="73A177F9" w14:textId="77777777" w:rsidR="00012301" w:rsidRDefault="00012301" w:rsidP="00012301">
            <w:pPr>
              <w:pStyle w:val="Tabletext"/>
            </w:pPr>
            <w:r>
              <w:t>Erythromycin</w:t>
            </w:r>
            <w:r w:rsidRPr="00A11D4A">
              <w:t xml:space="preserve"> </w:t>
            </w:r>
            <w:r>
              <w:t>125mg/5mL oral suspension (or oral solution) x 10</w:t>
            </w:r>
            <w:r w:rsidRPr="00A11D4A">
              <w:t xml:space="preserve">0mL </w:t>
            </w:r>
          </w:p>
          <w:p w14:paraId="1484746F" w14:textId="77777777" w:rsidR="00012301" w:rsidRDefault="00012301" w:rsidP="00012301">
            <w:pPr>
              <w:pStyle w:val="Tabletext"/>
            </w:pPr>
            <w:r>
              <w:t>Erythromycin 250mg/5mL oral suspension (or oral solution) x 10</w:t>
            </w:r>
            <w:r w:rsidRPr="00A11D4A">
              <w:t>0mL</w:t>
            </w:r>
          </w:p>
          <w:p w14:paraId="38738C3C" w14:textId="77777777" w:rsidR="00012301" w:rsidRDefault="00012301" w:rsidP="00012301">
            <w:pPr>
              <w:pStyle w:val="Tabletext"/>
            </w:pPr>
            <w:r>
              <w:t>Erythromycin</w:t>
            </w:r>
            <w:r w:rsidRPr="00A11D4A">
              <w:t xml:space="preserve"> </w:t>
            </w:r>
            <w:r>
              <w:t>125mg/5mL sugar free oral suspension (or oral solution) x 10</w:t>
            </w:r>
            <w:r w:rsidRPr="00A11D4A">
              <w:t xml:space="preserve">0mL </w:t>
            </w:r>
          </w:p>
          <w:p w14:paraId="2B104BB5" w14:textId="43D79F55" w:rsidR="00012301" w:rsidRPr="0012506B" w:rsidRDefault="00012301" w:rsidP="00012301">
            <w:pPr>
              <w:pStyle w:val="Tabletext"/>
            </w:pPr>
            <w:r>
              <w:t>Erythromycin 250mg/5mL sugar free oral suspension (or oral solution) x 10</w:t>
            </w:r>
            <w:r w:rsidRPr="00A11D4A">
              <w:t>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76F305CE" w14:textId="77777777" w:rsidR="00012301" w:rsidRPr="00012301" w:rsidRDefault="00012301" w:rsidP="00012301">
            <w:pPr>
              <w:pStyle w:val="Tabletext"/>
              <w:rPr>
                <w:iCs/>
              </w:rPr>
            </w:pPr>
            <w:r w:rsidRPr="00012301">
              <w:rPr>
                <w:iCs/>
              </w:rPr>
              <w:t>Orally, with water (just before or with food).</w:t>
            </w:r>
          </w:p>
          <w:p w14:paraId="6432AE76" w14:textId="77777777" w:rsidR="00012301" w:rsidRPr="00012301" w:rsidRDefault="00012301" w:rsidP="00012301">
            <w:pPr>
              <w:pStyle w:val="Tabletext"/>
              <w:rPr>
                <w:iCs/>
              </w:rPr>
            </w:pPr>
          </w:p>
          <w:p w14:paraId="04517ADA" w14:textId="075BE42D" w:rsidR="00012301" w:rsidRPr="00C3283F" w:rsidRDefault="00012301" w:rsidP="00012301">
            <w:pPr>
              <w:pStyle w:val="Tabletext"/>
            </w:pPr>
            <w:r w:rsidRPr="00012301">
              <w:rPr>
                <w:iCs/>
                <w:lang w:val="en-GB"/>
              </w:rPr>
              <w:t>Tablets should be swallowed whole.</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68D5F9D1"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F80A7E2" w14:textId="77777777" w:rsidR="00012301" w:rsidRPr="00012301" w:rsidRDefault="00012301" w:rsidP="00012301">
            <w:pPr>
              <w:pStyle w:val="Tabletext"/>
              <w:rPr>
                <w:bCs/>
                <w:iCs/>
                <w:u w:val="single"/>
              </w:rPr>
            </w:pPr>
            <w:hyperlink r:id="rId49" w:history="1">
              <w:r w:rsidRPr="00012301">
                <w:rPr>
                  <w:rStyle w:val="Hyperlink"/>
                  <w:bCs/>
                  <w:iCs/>
                </w:rPr>
                <w:t>Manipulating solid dosage forms</w:t>
              </w:r>
            </w:hyperlink>
            <w:r w:rsidRPr="00012301">
              <w:rPr>
                <w:bCs/>
                <w:iCs/>
                <w:u w:val="single"/>
              </w:rPr>
              <w:t xml:space="preserve"> </w:t>
            </w:r>
          </w:p>
          <w:p w14:paraId="75B562A3" w14:textId="271AC701" w:rsidR="00012301" w:rsidRP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lastRenderedPageBreak/>
              <w:t>Use in this way may be outside the product licence and is thus off-label.</w:t>
            </w:r>
          </w:p>
          <w:p w14:paraId="4A9609BD" w14:textId="77777777" w:rsidR="00012301" w:rsidRPr="00012301" w:rsidRDefault="00012301" w:rsidP="00012301">
            <w:pPr>
              <w:pStyle w:val="Tabletext"/>
              <w:rPr>
                <w:b/>
                <w:bCs/>
              </w:rPr>
            </w:pPr>
            <w:r w:rsidRPr="00012301">
              <w:rPr>
                <w:b/>
                <w:bCs/>
              </w:rPr>
              <w:t>Dispersing or crushing</w:t>
            </w:r>
          </w:p>
          <w:p w14:paraId="790081AE" w14:textId="206BB609" w:rsidR="00012301" w:rsidRPr="00012301" w:rsidRDefault="00012301" w:rsidP="00012301">
            <w:pPr>
              <w:pStyle w:val="Tabletext"/>
            </w:pPr>
            <w:r w:rsidRPr="00012301">
              <w:t>The film-coated tablets can be crushed and mixed with liquid or soft food. Crushing tablets</w:t>
            </w:r>
            <w:r>
              <w:t xml:space="preserve"> </w:t>
            </w:r>
            <w:r w:rsidRPr="00012301">
              <w:rPr>
                <w:b/>
                <w:bCs/>
              </w:rPr>
              <w:t>should not</w:t>
            </w:r>
            <w:r>
              <w:rPr>
                <w:b/>
                <w:bCs/>
              </w:rPr>
              <w:t xml:space="preserve"> </w:t>
            </w:r>
            <w:r w:rsidRPr="00012301">
              <w:t>be undertaken by anyone with, or in the vicinity of someone with a macrolide allergy. Enteric coated tablets</w:t>
            </w:r>
            <w:r>
              <w:t xml:space="preserve"> </w:t>
            </w:r>
            <w:r w:rsidRPr="00012301">
              <w:rPr>
                <w:b/>
                <w:bCs/>
              </w:rPr>
              <w:t>should not</w:t>
            </w:r>
            <w:r>
              <w:rPr>
                <w:b/>
                <w:bCs/>
              </w:rPr>
              <w:t xml:space="preserve"> </w:t>
            </w:r>
            <w:r w:rsidRPr="00012301">
              <w:t>be crushed and</w:t>
            </w:r>
            <w:r>
              <w:t xml:space="preserve"> </w:t>
            </w:r>
            <w:r w:rsidRPr="00012301">
              <w:rPr>
                <w:b/>
                <w:bCs/>
              </w:rPr>
              <w:t>will not</w:t>
            </w:r>
            <w:r>
              <w:rPr>
                <w:b/>
                <w:bCs/>
              </w:rPr>
              <w:t xml:space="preserve"> </w:t>
            </w:r>
            <w:r w:rsidRPr="00012301">
              <w:t>disperse in water.</w:t>
            </w: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51B30F56" w14:textId="5F332D71" w:rsidR="00012301" w:rsidRDefault="00012301" w:rsidP="00012301">
            <w:pPr>
              <w:pStyle w:val="Tabletext"/>
              <w:rPr>
                <w:rFonts w:cs="Arial"/>
                <w:b/>
                <w:bCs/>
                <w:szCs w:val="22"/>
              </w:rPr>
            </w:pPr>
            <w:r w:rsidRPr="00012301">
              <w:rPr>
                <w:b/>
                <w:bCs/>
                <w:i/>
                <w:lang w:val="en-GB"/>
              </w:rPr>
              <w:t xml:space="preserve">Note: some generic products advise </w:t>
            </w:r>
            <w:proofErr w:type="gramStart"/>
            <w:r w:rsidRPr="00012301">
              <w:rPr>
                <w:b/>
                <w:bCs/>
                <w:i/>
                <w:lang w:val="en-GB"/>
              </w:rPr>
              <w:t>to give</w:t>
            </w:r>
            <w:proofErr w:type="gramEnd"/>
            <w:r w:rsidRPr="00012301">
              <w:rPr>
                <w:b/>
                <w:bCs/>
                <w:i/>
                <w:lang w:val="en-GB"/>
              </w:rPr>
              <w:t xml:space="preserve"> one hour before food, however this</w:t>
            </w:r>
            <w:r>
              <w:rPr>
                <w:b/>
                <w:bCs/>
                <w:i/>
                <w:lang w:val="en-GB"/>
              </w:rPr>
              <w:t xml:space="preserve"> </w:t>
            </w:r>
            <w:r w:rsidRPr="00012301">
              <w:rPr>
                <w:b/>
                <w:bCs/>
                <w:i/>
                <w:lang w:val="en-GB"/>
              </w:rPr>
              <w:t xml:space="preserve">is not necessary and is not practical in this </w:t>
            </w:r>
            <w:r w:rsidRPr="00012301">
              <w:rPr>
                <w:rFonts w:cs="Arial"/>
                <w:b/>
                <w:bCs/>
                <w:i/>
                <w:szCs w:val="22"/>
              </w:rPr>
              <w:t>situation</w:t>
            </w:r>
            <w:r w:rsidRPr="00012301">
              <w:rPr>
                <w:rFonts w:cs="Arial"/>
                <w:b/>
                <w:bCs/>
                <w:szCs w:val="22"/>
              </w:rPr>
              <w:t>.</w:t>
            </w:r>
          </w:p>
          <w:p w14:paraId="230031BB" w14:textId="77777777" w:rsidR="00012301" w:rsidRPr="00012301" w:rsidRDefault="00012301" w:rsidP="00012301">
            <w:pPr>
              <w:pStyle w:val="Tabletext"/>
              <w:rPr>
                <w:b/>
                <w:bCs/>
                <w:lang w:val="en-GB"/>
              </w:rPr>
            </w:pPr>
          </w:p>
          <w:p w14:paraId="74240E7C" w14:textId="587EF712" w:rsidR="00012301" w:rsidRPr="003B61FD" w:rsidRDefault="00012301" w:rsidP="00012301">
            <w:pPr>
              <w:pStyle w:val="Tabletext"/>
              <w:rPr>
                <w:szCs w:val="22"/>
              </w:rPr>
            </w:pPr>
            <w:r w:rsidRPr="005A6885">
              <w:t>Where a medicine is recommended off-</w:t>
            </w:r>
            <w:proofErr w:type="gramStart"/>
            <w:r w:rsidRPr="005A6885">
              <w:t>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787AF430" w14:textId="44EB658B" w:rsidR="00090695" w:rsidRPr="00090695" w:rsidRDefault="00090695" w:rsidP="00090695">
            <w:pPr>
              <w:pStyle w:val="Tabletext"/>
              <w:rPr>
                <w:b/>
                <w:bCs/>
              </w:rPr>
            </w:pPr>
            <w:r w:rsidRPr="00090695">
              <w:rPr>
                <w:b/>
                <w:bCs/>
              </w:rPr>
              <w:t xml:space="preserve">Young people aged 16 </w:t>
            </w:r>
            <w:r w:rsidR="00D8396F">
              <w:rPr>
                <w:b/>
                <w:bCs/>
              </w:rPr>
              <w:t xml:space="preserve">or 17 </w:t>
            </w:r>
            <w:r w:rsidRPr="00090695">
              <w:rPr>
                <w:b/>
                <w:bCs/>
              </w:rPr>
              <w:t xml:space="preserve">years: </w:t>
            </w:r>
          </w:p>
          <w:p w14:paraId="1FF6CBFA" w14:textId="77777777" w:rsidR="00090695" w:rsidRPr="00090695" w:rsidRDefault="00090695" w:rsidP="00090695">
            <w:pPr>
              <w:pStyle w:val="Tabletext"/>
            </w:pPr>
            <w:r w:rsidRPr="00090695">
              <w:t xml:space="preserve">500mg four times daily </w:t>
            </w:r>
          </w:p>
          <w:p w14:paraId="6AB47447" w14:textId="0EF21777" w:rsidR="00012301" w:rsidRDefault="00012301" w:rsidP="00012301">
            <w:pPr>
              <w:pStyle w:val="Tabletext"/>
            </w:pP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t>Quantity to be supplied</w:t>
            </w:r>
          </w:p>
        </w:tc>
        <w:tc>
          <w:tcPr>
            <w:tcW w:w="5656" w:type="dxa"/>
          </w:tcPr>
          <w:p w14:paraId="254CFEC8" w14:textId="69F88528" w:rsidR="00090695" w:rsidRPr="00090695" w:rsidRDefault="00090695" w:rsidP="00090695">
            <w:pPr>
              <w:pStyle w:val="Tabletext"/>
              <w:rPr>
                <w:b/>
                <w:bCs/>
              </w:rPr>
            </w:pPr>
            <w:r w:rsidRPr="00090695">
              <w:rPr>
                <w:b/>
                <w:bCs/>
              </w:rPr>
              <w:t xml:space="preserve">Young people and adults aged 16 </w:t>
            </w:r>
            <w:r w:rsidR="00D8396F">
              <w:rPr>
                <w:b/>
                <w:bCs/>
              </w:rPr>
              <w:t xml:space="preserve">or 17 </w:t>
            </w:r>
            <w:r w:rsidRPr="00090695">
              <w:rPr>
                <w:b/>
                <w:bCs/>
              </w:rPr>
              <w:t xml:space="preserve">years: </w:t>
            </w:r>
          </w:p>
          <w:p w14:paraId="1F943A5B" w14:textId="77777777" w:rsidR="00090695" w:rsidRDefault="00090695" w:rsidP="00090695">
            <w:pPr>
              <w:pStyle w:val="Tabletext"/>
            </w:pPr>
            <w:r w:rsidRPr="00090695">
              <w:t xml:space="preserve">Appropriately labelled pack of 20 x 500mg tablets </w:t>
            </w:r>
            <w:r w:rsidRPr="00090695">
              <w:rPr>
                <w:b/>
                <w:bCs/>
              </w:rPr>
              <w:t>OR</w:t>
            </w:r>
            <w:r w:rsidRPr="00090695">
              <w:t xml:space="preserve"> appropriately labelled pack of 40 x 250mg tablets </w:t>
            </w:r>
            <w:r w:rsidRPr="00090695">
              <w:rPr>
                <w:b/>
                <w:bCs/>
              </w:rPr>
              <w:t xml:space="preserve">OR </w:t>
            </w:r>
            <w:r w:rsidRPr="00090695">
              <w:t xml:space="preserve">appropriately labelled pack of 2 x 100mL x 250mg/5mL oral suspension (or oral solution) </w:t>
            </w:r>
            <w:r w:rsidRPr="00090695">
              <w:rPr>
                <w:b/>
                <w:bCs/>
              </w:rPr>
              <w:t>OR</w:t>
            </w:r>
            <w:r w:rsidRPr="00090695">
              <w:t xml:space="preserve"> </w:t>
            </w:r>
          </w:p>
          <w:p w14:paraId="1BDDBFD7" w14:textId="1D1DE984" w:rsidR="00012301" w:rsidRPr="00090695" w:rsidRDefault="00090695" w:rsidP="00090695">
            <w:pPr>
              <w:pStyle w:val="Tabletext"/>
            </w:pPr>
            <w:r w:rsidRPr="00090695">
              <w:t>appropriately labelled pack of 4 x 100mL x 125mg/5mL oral suspension (or oral solution)</w:t>
            </w:r>
            <w:r w:rsidR="00012301" w:rsidRPr="00090695">
              <w:t>.</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8" w:name="Storage"/>
            <w:bookmarkEnd w:id="8"/>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15BC7291" w:rsidR="00012301" w:rsidRPr="00C434B8" w:rsidRDefault="00012301" w:rsidP="00012301">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Pr="005A6885">
              <w:rPr>
                <w:rFonts w:ascii="Arial" w:eastAsia="Times New Roman" w:hAnsi="Arial" w:cs="Arial"/>
                <w:kern w:val="0"/>
                <w:sz w:val="22"/>
                <w:lang w:val="en-US"/>
                <w14:ligatures w14:val="none"/>
              </w:rPr>
              <w:t>the</w:t>
            </w:r>
            <w:hyperlink r:id="rId50" w:history="1">
              <w:r>
                <w:rPr>
                  <w:rStyle w:val="Hyperlink"/>
                  <w:rFonts w:ascii="Arial" w:eastAsia="Times New Roman" w:hAnsi="Arial" w:cs="Arial"/>
                  <w:kern w:val="0"/>
                  <w:sz w:val="22"/>
                  <w14:ligatures w14:val="none"/>
                </w:rPr>
                <w:t xml:space="preserve"> </w:t>
              </w:r>
              <w:proofErr w:type="gramStart"/>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Pr="0018109D">
                <w:rPr>
                  <w:rStyle w:val="Hyperlink"/>
                  <w:rFonts w:ascii="Arial" w:eastAsia="Times New Roman" w:hAnsi="Arial" w:cs="Arial"/>
                  <w:kern w:val="0"/>
                  <w:sz w:val="22"/>
                  <w:lang w:val="en-US"/>
                  <w14:ligatures w14:val="none"/>
                </w:rPr>
                <w:t xml:space="preserve"> SmPC</w:t>
              </w:r>
              <w:proofErr w:type="gramEnd"/>
              <w:r w:rsidRPr="0018109D">
                <w:rPr>
                  <w:rStyle w:val="Hyperlink"/>
                  <w:rFonts w:ascii="Arial" w:eastAsia="Times New Roman" w:hAnsi="Arial" w:cs="Arial"/>
                  <w:kern w:val="0"/>
                  <w:sz w:val="22"/>
                  <w:lang w:val="en-US"/>
                  <w14:ligatures w14:val="none"/>
                </w:rPr>
                <w:t xml:space="preserve">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9" w:name="Interactions"/>
            <w:bookmarkEnd w:id="9"/>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FD57BFA" w14:textId="77777777" w:rsidR="00090695" w:rsidRDefault="00090695" w:rsidP="00090695">
            <w:pPr>
              <w:pStyle w:val="Tabletext"/>
              <w:rPr>
                <w:lang w:eastAsia="en-GB"/>
              </w:rPr>
            </w:pPr>
            <w:r w:rsidRPr="00677C74">
              <w:rPr>
                <w:lang w:eastAsia="en-GB"/>
              </w:rPr>
              <w:t>Where it is known an individual is concurrently taking one of the following medicines</w:t>
            </w:r>
            <w:r>
              <w:rPr>
                <w:lang w:eastAsia="en-GB"/>
              </w:rPr>
              <w:t xml:space="preserve">, erythromycin must not be supplied </w:t>
            </w:r>
            <w:r w:rsidRPr="005B4CAA">
              <w:rPr>
                <w:lang w:eastAsia="en-GB"/>
              </w:rPr>
              <w:t>under this PGD and the individual referred to a prescriber:</w:t>
            </w:r>
          </w:p>
          <w:p w14:paraId="74FBB994" w14:textId="77777777" w:rsidR="00090695" w:rsidRDefault="00090695" w:rsidP="00090695">
            <w:pPr>
              <w:pStyle w:val="Bulletindent1"/>
            </w:pPr>
            <w:r w:rsidRPr="005B4CAA">
              <w:t>Simvastatin</w:t>
            </w:r>
          </w:p>
          <w:p w14:paraId="780B6177" w14:textId="77777777" w:rsidR="00090695" w:rsidRPr="005B4CAA" w:rsidRDefault="00090695" w:rsidP="00090695">
            <w:pPr>
              <w:pStyle w:val="Bulletindent1"/>
            </w:pPr>
            <w:r w:rsidRPr="005B4CAA">
              <w:t>Tolterodine</w:t>
            </w:r>
          </w:p>
          <w:p w14:paraId="67A7186D" w14:textId="77777777" w:rsidR="00090695" w:rsidRPr="005B4CAA" w:rsidRDefault="00090695" w:rsidP="00090695">
            <w:pPr>
              <w:pStyle w:val="Bulletindent1"/>
            </w:pPr>
            <w:r>
              <w:t>Amisul</w:t>
            </w:r>
            <w:r w:rsidRPr="005B4CAA">
              <w:t>pride</w:t>
            </w:r>
          </w:p>
          <w:p w14:paraId="1060F3BA" w14:textId="77777777" w:rsidR="00090695" w:rsidRPr="00F1623B" w:rsidRDefault="00090695" w:rsidP="00090695">
            <w:pPr>
              <w:pStyle w:val="Bulletindent1"/>
            </w:pPr>
            <w:proofErr w:type="spellStart"/>
            <w:r w:rsidRPr="00F1623B">
              <w:t>Astemizole</w:t>
            </w:r>
            <w:proofErr w:type="spellEnd"/>
            <w:r w:rsidRPr="00F1623B">
              <w:t xml:space="preserve">, </w:t>
            </w:r>
            <w:proofErr w:type="spellStart"/>
            <w:r w:rsidRPr="00F1623B">
              <w:rPr>
                <w:i/>
              </w:rPr>
              <w:t>cisapride</w:t>
            </w:r>
            <w:proofErr w:type="spellEnd"/>
            <w:r>
              <w:rPr>
                <w:i/>
              </w:rPr>
              <w:t>*</w:t>
            </w:r>
            <w:r w:rsidRPr="00F1623B">
              <w:t xml:space="preserve">, </w:t>
            </w:r>
            <w:proofErr w:type="spellStart"/>
            <w:r w:rsidRPr="00F1623B">
              <w:rPr>
                <w:i/>
              </w:rPr>
              <w:t>mizolastine</w:t>
            </w:r>
            <w:proofErr w:type="spellEnd"/>
            <w:r>
              <w:rPr>
                <w:i/>
              </w:rPr>
              <w:t>*</w:t>
            </w:r>
            <w:r w:rsidRPr="00F1623B">
              <w:rPr>
                <w:i/>
              </w:rPr>
              <w:t xml:space="preserve">, </w:t>
            </w:r>
            <w:r w:rsidRPr="00F1623B">
              <w:t xml:space="preserve">domperidone, pimozide, </w:t>
            </w:r>
            <w:r w:rsidRPr="00F1623B">
              <w:rPr>
                <w:i/>
              </w:rPr>
              <w:t>terfenadine</w:t>
            </w:r>
            <w:r>
              <w:rPr>
                <w:i/>
              </w:rPr>
              <w:t>*</w:t>
            </w:r>
            <w:r w:rsidRPr="00F1623B">
              <w:t xml:space="preserve">. </w:t>
            </w:r>
          </w:p>
          <w:p w14:paraId="7272F026" w14:textId="77777777" w:rsidR="00090695" w:rsidRPr="00F1623B" w:rsidRDefault="00090695" w:rsidP="00090695">
            <w:pPr>
              <w:pStyle w:val="Bulletindent1"/>
            </w:pPr>
            <w:r w:rsidRPr="00F1623B">
              <w:t>Ergotamine or dihydroergotamine</w:t>
            </w:r>
          </w:p>
          <w:p w14:paraId="3E73C9E1" w14:textId="77777777" w:rsidR="00090695" w:rsidRDefault="00090695" w:rsidP="00090695">
            <w:pPr>
              <w:pStyle w:val="Bulletindent1"/>
            </w:pPr>
            <w:r>
              <w:t>Chloroquine or hydroxychloroquine</w:t>
            </w:r>
          </w:p>
          <w:p w14:paraId="7B14A21D" w14:textId="77777777" w:rsidR="00090695" w:rsidRDefault="00090695" w:rsidP="00090695">
            <w:pPr>
              <w:pStyle w:val="Bulletindent1"/>
            </w:pPr>
            <w:r>
              <w:t xml:space="preserve">Colchicine </w:t>
            </w:r>
          </w:p>
          <w:p w14:paraId="619C2985" w14:textId="77777777" w:rsidR="00090695" w:rsidRDefault="00090695" w:rsidP="00090695">
            <w:pPr>
              <w:pStyle w:val="Bulletindent1"/>
            </w:pPr>
            <w:proofErr w:type="spellStart"/>
            <w:r>
              <w:t>Lomitapide</w:t>
            </w:r>
            <w:proofErr w:type="spellEnd"/>
          </w:p>
          <w:p w14:paraId="5E996F21" w14:textId="77777777" w:rsidR="00012301" w:rsidRDefault="00012301" w:rsidP="00090695">
            <w:pPr>
              <w:pStyle w:val="Bulletindent1"/>
            </w:pPr>
            <w:r w:rsidRPr="00FA5C07">
              <w:t xml:space="preserve">Typhoid vaccine (oral): </w:t>
            </w:r>
            <w:hyperlink w:anchor="Exclusions" w:history="1">
              <w:r w:rsidRPr="00910EBA">
                <w:rPr>
                  <w:rStyle w:val="Hyperlink"/>
                </w:rPr>
                <w:t>see Criteria for exclusion</w:t>
              </w:r>
            </w:hyperlink>
          </w:p>
          <w:p w14:paraId="59905B84" w14:textId="77777777" w:rsidR="00090695" w:rsidRPr="004F54B3" w:rsidRDefault="00090695" w:rsidP="00090695">
            <w:pPr>
              <w:pStyle w:val="Bulletindent1"/>
            </w:pPr>
            <w:r w:rsidRPr="004F54B3">
              <w:t xml:space="preserve">Medicines where concomitant use with a moderate CYP 3A4 inhibitor (i.e. erythromycin) is contraindicated (e.g. </w:t>
            </w:r>
          </w:p>
          <w:p w14:paraId="1213ADCC"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Lercanidipine</w:t>
            </w:r>
          </w:p>
          <w:p w14:paraId="17FF3298"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 xml:space="preserve">Ivabradine </w:t>
            </w:r>
          </w:p>
          <w:p w14:paraId="3444AFA3" w14:textId="77777777" w:rsidR="00090695" w:rsidRPr="004F54B3" w:rsidRDefault="00090695" w:rsidP="00090695">
            <w:pPr>
              <w:pStyle w:val="TableParagraph"/>
              <w:numPr>
                <w:ilvl w:val="1"/>
                <w:numId w:val="15"/>
              </w:numPr>
              <w:suppressAutoHyphens/>
              <w:autoSpaceDN w:val="0"/>
              <w:spacing w:after="0" w:line="240" w:lineRule="auto"/>
              <w:rPr>
                <w:color w:val="000000"/>
              </w:rPr>
            </w:pPr>
            <w:r w:rsidRPr="004F54B3">
              <w:rPr>
                <w:rFonts w:ascii="Arial" w:hAnsi="Arial" w:cs="Arial"/>
                <w:color w:val="000000"/>
                <w:lang w:val="en-GB"/>
              </w:rPr>
              <w:t>Quetiapine</w:t>
            </w:r>
            <w:r w:rsidRPr="004F54B3">
              <w:rPr>
                <w:rFonts w:ascii="Arial" w:eastAsia="Times New Roman" w:hAnsi="Arial" w:cs="Arial"/>
                <w:iCs/>
                <w:color w:val="000000"/>
                <w:lang w:val="en-GB" w:eastAsia="en-GB"/>
              </w:rPr>
              <w:t>)</w:t>
            </w:r>
          </w:p>
          <w:p w14:paraId="4A12BF74" w14:textId="77777777" w:rsidR="00090695" w:rsidRPr="00656608" w:rsidRDefault="00090695" w:rsidP="00090695">
            <w:pPr>
              <w:pStyle w:val="Bulletindent1"/>
            </w:pPr>
            <w:r w:rsidRPr="005B4CAA">
              <w:t>Any medicine known to cause QT prolongation.</w:t>
            </w:r>
            <w:r>
              <w:t xml:space="preserve"> For further information recommended resources include</w:t>
            </w:r>
            <w:r>
              <w:rPr>
                <w:lang w:eastAsia="en-GB"/>
              </w:rPr>
              <w:t xml:space="preserve">: </w:t>
            </w:r>
            <w:hyperlink r:id="rId51"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52" w:history="1">
              <w:r w:rsidRPr="0067742E">
                <w:rPr>
                  <w:rStyle w:val="Hyperlink"/>
                  <w:rFonts w:cs="Arial"/>
                  <w:lang w:eastAsia="en-GB"/>
                </w:rPr>
                <w:t>Sudden arrhythmic death syndrome (SADS) - Drugs to avoid</w:t>
              </w:r>
            </w:hyperlink>
          </w:p>
          <w:p w14:paraId="0AFC1CCE" w14:textId="2DB6BEB7" w:rsidR="00090695" w:rsidRPr="00B06F11" w:rsidRDefault="00090695" w:rsidP="00090695">
            <w:pPr>
              <w:pStyle w:val="Bulletindent1"/>
              <w:rPr>
                <w:lang w:eastAsia="en-GB"/>
              </w:rPr>
            </w:pPr>
            <w:r w:rsidRPr="00B06F11">
              <w:rPr>
                <w:rFonts w:cs="Arial"/>
              </w:rPr>
              <w:t xml:space="preserve">Medicines that are strong inducers of cytochrome P450 </w:t>
            </w:r>
            <w:r w:rsidRPr="00B06F11">
              <w:t xml:space="preserve">(CYP) and </w:t>
            </w:r>
            <w:r>
              <w:t>may reduce the efficacy of ery</w:t>
            </w:r>
            <w:r w:rsidRPr="00B06F11">
              <w:t xml:space="preserve">thromycin (e.g. </w:t>
            </w:r>
            <w:r>
              <w:t xml:space="preserve"> </w:t>
            </w:r>
            <w:r w:rsidRPr="00B06F11">
              <w:t xml:space="preserve"> </w:t>
            </w:r>
          </w:p>
          <w:p w14:paraId="04E9BE8A" w14:textId="77777777" w:rsidR="00090695" w:rsidRPr="00B06F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Rifampicin, rifabutin,</w:t>
            </w:r>
          </w:p>
          <w:p w14:paraId="163F7459"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P</w:t>
            </w:r>
            <w:r w:rsidRPr="00517A11">
              <w:rPr>
                <w:rFonts w:ascii="Arial" w:hAnsi="Arial" w:cs="Arial"/>
                <w:lang w:val="en-GB"/>
              </w:rPr>
              <w:t xml:space="preserve">henytoin, carbamazepine, phenobarbital, </w:t>
            </w:r>
          </w:p>
          <w:p w14:paraId="1B5F475C"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sidRPr="00517A11">
              <w:rPr>
                <w:rFonts w:ascii="Arial" w:hAnsi="Arial" w:cs="Arial"/>
                <w:lang w:val="en-GB"/>
              </w:rPr>
              <w:t xml:space="preserve">St. John’s wort. </w:t>
            </w:r>
          </w:p>
          <w:p w14:paraId="314163C6" w14:textId="77777777" w:rsidR="00090695" w:rsidRPr="00517A11" w:rsidRDefault="00090695" w:rsidP="00090695">
            <w:pPr>
              <w:pStyle w:val="TableParagraph"/>
              <w:numPr>
                <w:ilvl w:val="1"/>
                <w:numId w:val="15"/>
              </w:numPr>
              <w:spacing w:after="0" w:line="240" w:lineRule="auto"/>
              <w:rPr>
                <w:rFonts w:ascii="Arial" w:eastAsia="Times New Roman" w:hAnsi="Arial" w:cs="Arial"/>
                <w:u w:val="single"/>
                <w:lang w:val="en-GB" w:eastAsia="en-GB"/>
              </w:rPr>
            </w:pPr>
            <w:r w:rsidRPr="00517A11">
              <w:rPr>
                <w:rFonts w:ascii="Arial" w:eastAsia="Times New Roman" w:hAnsi="Arial" w:cs="Arial"/>
                <w:lang w:val="en-GB" w:eastAsia="en-GB"/>
              </w:rPr>
              <w:t>For further information recommended resources include:</w:t>
            </w:r>
          </w:p>
          <w:p w14:paraId="349D641E" w14:textId="77777777" w:rsidR="00090695" w:rsidRPr="00441CC2" w:rsidRDefault="00090695" w:rsidP="00090695">
            <w:pPr>
              <w:pStyle w:val="TableParagraph"/>
              <w:numPr>
                <w:ilvl w:val="2"/>
                <w:numId w:val="15"/>
              </w:numPr>
              <w:spacing w:after="0" w:line="240" w:lineRule="auto"/>
              <w:rPr>
                <w:rStyle w:val="Hyperlink"/>
                <w:rFonts w:ascii="Arial" w:eastAsia="Times New Roman" w:hAnsi="Arial" w:cs="Arial"/>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HYPERLINK "https://drug-interactions.medicine.iu.edu/MainTable.aspx" </w:instrText>
            </w:r>
            <w:r>
              <w:rPr>
                <w:rFonts w:ascii="Arial" w:eastAsia="Times New Roman" w:hAnsi="Arial" w:cs="Arial"/>
                <w:lang w:val="en-GB" w:eastAsia="en-GB"/>
              </w:rPr>
            </w:r>
            <w:r>
              <w:rPr>
                <w:rFonts w:ascii="Arial" w:eastAsia="Times New Roman" w:hAnsi="Arial" w:cs="Arial"/>
                <w:lang w:val="en-GB" w:eastAsia="en-GB"/>
              </w:rPr>
              <w:fldChar w:fldCharType="separate"/>
            </w:r>
            <w:r w:rsidRPr="00441CC2">
              <w:rPr>
                <w:rStyle w:val="Hyperlink"/>
                <w:rFonts w:ascii="Arial" w:eastAsia="Times New Roman" w:hAnsi="Arial" w:cs="Arial"/>
                <w:lang w:val="en-GB" w:eastAsia="en-GB"/>
              </w:rPr>
              <w:t>Indiana University School of Medicine Drug Interactions Flockhart Table</w:t>
            </w:r>
            <w:r w:rsidRPr="00441CC2">
              <w:rPr>
                <w:rStyle w:val="Hyperlink"/>
                <w:rFonts w:ascii="Arial" w:eastAsia="Times New Roman" w:hAnsi="Arial" w:cs="Arial"/>
                <w:vertAlign w:val="superscript"/>
                <w:lang w:val="en-GB" w:eastAsia="en-GB"/>
              </w:rPr>
              <w:t>™</w:t>
            </w:r>
          </w:p>
          <w:p w14:paraId="1516ADCA" w14:textId="77777777" w:rsidR="00090695" w:rsidRDefault="00090695" w:rsidP="00090695">
            <w:pPr>
              <w:pStyle w:val="TableParagraph"/>
              <w:numPr>
                <w:ilvl w:val="2"/>
                <w:numId w:val="15"/>
              </w:numPr>
              <w:spacing w:after="0" w:line="240" w:lineRule="auto"/>
              <w:rPr>
                <w:rFonts w:ascii="Arial" w:eastAsia="Times New Roman" w:hAnsi="Arial" w:cs="Arial"/>
                <w:lang w:val="en-GB" w:eastAsia="en-GB"/>
              </w:rPr>
            </w:pPr>
            <w:r>
              <w:rPr>
                <w:rFonts w:ascii="Arial" w:eastAsia="Times New Roman" w:hAnsi="Arial" w:cs="Arial"/>
                <w:lang w:val="en-GB" w:eastAsia="en-GB"/>
              </w:rPr>
              <w:fldChar w:fldCharType="end"/>
            </w:r>
            <w:hyperlink r:id="rId53" w:history="1">
              <w:r w:rsidRPr="00441CC2">
                <w:rPr>
                  <w:rStyle w:val="Hyperlink"/>
                  <w:rFonts w:ascii="Arial" w:eastAsia="Times New Roman" w:hAnsi="Arial" w:cs="Arial"/>
                  <w:lang w:val="en-GB" w:eastAsia="en-GB"/>
                </w:rPr>
                <w:t>Mayo Clinic Labs Pharmacogenomic Association Table</w:t>
              </w:r>
            </w:hyperlink>
            <w:r w:rsidRPr="00441CC2">
              <w:rPr>
                <w:rFonts w:ascii="Arial" w:eastAsia="Times New Roman" w:hAnsi="Arial" w:cs="Arial"/>
                <w:lang w:val="en-GB" w:eastAsia="en-GB"/>
              </w:rPr>
              <w:t>)</w:t>
            </w:r>
          </w:p>
          <w:p w14:paraId="2215DE86" w14:textId="77777777" w:rsidR="00090695" w:rsidRPr="004F54B3" w:rsidRDefault="00090695" w:rsidP="00090695">
            <w:pPr>
              <w:pStyle w:val="Bulletindent1"/>
            </w:pPr>
            <w:r w:rsidRPr="004F54B3">
              <w:t xml:space="preserve">Any other medicine where concomitant use with erythromycin is contraindicated </w:t>
            </w:r>
          </w:p>
          <w:p w14:paraId="3C0680BD" w14:textId="77777777" w:rsidR="00090695" w:rsidRPr="00404714" w:rsidRDefault="00090695" w:rsidP="00090695">
            <w:pPr>
              <w:pStyle w:val="TableParagraph"/>
              <w:ind w:left="360"/>
              <w:rPr>
                <w:rFonts w:ascii="Arial" w:eastAsia="Times New Roman" w:hAnsi="Arial" w:cs="Arial"/>
                <w:iCs/>
                <w:lang w:val="en-GB" w:eastAsia="en-GB"/>
              </w:rPr>
            </w:pPr>
            <w:r w:rsidRPr="00404714">
              <w:rPr>
                <w:rFonts w:ascii="Arial" w:eastAsia="Times New Roman" w:hAnsi="Arial" w:cs="Arial"/>
                <w:iCs/>
                <w:lang w:val="en-GB" w:eastAsia="en-GB"/>
              </w:rPr>
              <w:t xml:space="preserve">*May </w:t>
            </w:r>
            <w:proofErr w:type="gramStart"/>
            <w:r w:rsidRPr="00404714">
              <w:rPr>
                <w:rFonts w:ascii="Arial" w:eastAsia="Times New Roman" w:hAnsi="Arial" w:cs="Arial"/>
                <w:iCs/>
                <w:lang w:val="en-GB" w:eastAsia="en-GB"/>
              </w:rPr>
              <w:t>not be</w:t>
            </w:r>
            <w:proofErr w:type="gramEnd"/>
            <w:r w:rsidRPr="00404714">
              <w:rPr>
                <w:rFonts w:ascii="Arial" w:eastAsia="Times New Roman" w:hAnsi="Arial" w:cs="Arial"/>
                <w:iCs/>
                <w:lang w:val="en-GB" w:eastAsia="en-GB"/>
              </w:rPr>
              <w:t xml:space="preserve"> readily available in the UK</w:t>
            </w:r>
          </w:p>
          <w:p w14:paraId="43E86100" w14:textId="2DDD6EC4" w:rsidR="00012301" w:rsidRDefault="00012301" w:rsidP="00012301">
            <w:pPr>
              <w:pStyle w:val="Tabletext"/>
              <w:rPr>
                <w:rFonts w:cs="Arial"/>
              </w:rPr>
            </w:pPr>
            <w:r w:rsidRPr="00FA5C07">
              <w:t xml:space="preserve">See </w:t>
            </w:r>
            <w:hyperlink r:id="rId54" w:history="1">
              <w:r w:rsidRPr="00EA214D">
                <w:rPr>
                  <w:rStyle w:val="Hyperlink"/>
                </w:rPr>
                <w:t>BNF</w:t>
              </w:r>
            </w:hyperlink>
            <w:r w:rsidRPr="00FA5C07">
              <w:t xml:space="preserve"> for all drugs that can interact with </w:t>
            </w:r>
            <w:r w:rsidR="00DD21A7">
              <w:rPr>
                <w:rFonts w:cs="Arial"/>
              </w:rPr>
              <w:t>ery</w:t>
            </w:r>
            <w:r w:rsidR="00DD21A7" w:rsidRPr="00BB7D2E">
              <w:rPr>
                <w:rFonts w:cs="Arial"/>
              </w:rPr>
              <w:t>thromycin.</w:t>
            </w:r>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55" w:history="1">
              <w:r>
                <w:rPr>
                  <w:rStyle w:val="Hyperlink"/>
                  <w:lang w:val="en-GB"/>
                </w:rPr>
                <w:t>SmPC which is available on the EMC website</w:t>
              </w:r>
            </w:hyperlink>
            <w:r>
              <w:rPr>
                <w:rFonts w:cs="Arial"/>
                <w:color w:val="000000"/>
                <w:lang w:val="en-GB"/>
              </w:rPr>
              <w:t xml:space="preserve"> </w:t>
            </w:r>
            <w:r w:rsidRPr="00D54EC6">
              <w:t xml:space="preserve">or </w:t>
            </w:r>
            <w:hyperlink r:id="rId56"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57" w:history="1">
              <w:r>
                <w:rPr>
                  <w:rStyle w:val="Hyperlink"/>
                  <w:lang w:val="en-GB"/>
                </w:rPr>
                <w:t>SmPC which is available on the EMC website</w:t>
              </w:r>
            </w:hyperlink>
            <w:r w:rsidRPr="00E82744">
              <w:rPr>
                <w:lang w:val="en-GB"/>
              </w:rPr>
              <w:t xml:space="preserve"> or </w:t>
            </w:r>
            <w:hyperlink r:id="rId58"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321995F7" w14:textId="77777777" w:rsidR="00A60B50" w:rsidRPr="00A60B50" w:rsidRDefault="00A60B50" w:rsidP="00A60B50">
            <w:pPr>
              <w:pStyle w:val="Tabletext"/>
              <w:rPr>
                <w:rFonts w:eastAsia="Calibri"/>
                <w:color w:val="000000"/>
              </w:rPr>
            </w:pPr>
            <w:r w:rsidRPr="00A60B50">
              <w:rPr>
                <w:rFonts w:eastAsia="Calibri"/>
              </w:rPr>
              <w:t xml:space="preserve">The following side effects are listed in the product SPC/BNF as </w:t>
            </w:r>
            <w:r w:rsidRPr="00A60B50">
              <w:rPr>
                <w:rFonts w:eastAsia="Calibri"/>
                <w:b/>
              </w:rPr>
              <w:t>very common or common</w:t>
            </w:r>
            <w:r w:rsidRPr="00A60B50">
              <w:rPr>
                <w:rFonts w:eastAsia="Calibri"/>
              </w:rPr>
              <w:t xml:space="preserve"> with erythromycin (but may not </w:t>
            </w:r>
            <w:r w:rsidRPr="00A60B50">
              <w:rPr>
                <w:rFonts w:eastAsia="Calibri"/>
                <w:color w:val="000000"/>
              </w:rPr>
              <w:t>reflect all reported side effects):</w:t>
            </w:r>
          </w:p>
          <w:p w14:paraId="1A9AF355"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Gastrointestinal discomfort; including diarrhoea, nausea and vomiting, pancreatitis</w:t>
            </w:r>
          </w:p>
          <w:p w14:paraId="4575CC1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Decreased appetite</w:t>
            </w:r>
          </w:p>
          <w:p w14:paraId="53242BE8"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Dizziness</w:t>
            </w:r>
          </w:p>
          <w:p w14:paraId="2DB5460A"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Headache</w:t>
            </w:r>
          </w:p>
          <w:p w14:paraId="1E4CB08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Hearing impairment</w:t>
            </w:r>
          </w:p>
          <w:p w14:paraId="7F1DA633"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Insomnia</w:t>
            </w:r>
          </w:p>
          <w:p w14:paraId="2F7DED56"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Skin rashes/reactions, paresthesia</w:t>
            </w:r>
          </w:p>
          <w:p w14:paraId="0D06CAFF"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lastRenderedPageBreak/>
              <w:t>Taste altered</w:t>
            </w:r>
          </w:p>
          <w:p w14:paraId="0FF6B840" w14:textId="77777777" w:rsidR="00A60B50" w:rsidRPr="00A60B50" w:rsidRDefault="00A60B50" w:rsidP="00A60B50">
            <w:pPr>
              <w:pStyle w:val="Bulletindent1"/>
              <w:rPr>
                <w:rFonts w:asciiTheme="minorHAnsi" w:eastAsiaTheme="minorHAnsi" w:hAnsiTheme="minorHAnsi" w:cstheme="minorBidi"/>
                <w:kern w:val="2"/>
                <w:sz w:val="24"/>
                <w:szCs w:val="24"/>
                <w:shd w:val="clear" w:color="auto" w:fill="FBFAF8"/>
                <w:lang w:eastAsia="en-GB"/>
                <w14:ligatures w14:val="standardContextual"/>
              </w:rPr>
            </w:pPr>
            <w:r w:rsidRPr="00A60B50">
              <w:rPr>
                <w:rFonts w:eastAsia="Calibri"/>
                <w:shd w:val="clear" w:color="auto" w:fill="FBFAF8"/>
                <w:lang w:val="en-US"/>
              </w:rPr>
              <w:t>Vasodilation</w:t>
            </w:r>
          </w:p>
          <w:p w14:paraId="478C1F7E" w14:textId="33885377" w:rsidR="00A60B50" w:rsidRPr="00A60B50" w:rsidRDefault="00A60B50" w:rsidP="00A60B50">
            <w:pPr>
              <w:pStyle w:val="Bulletindent1"/>
              <w:rPr>
                <w:shd w:val="clear" w:color="auto" w:fill="FBFAF8"/>
                <w:lang w:eastAsia="en-GB"/>
              </w:rPr>
            </w:pPr>
            <w:r w:rsidRPr="00A60B50">
              <w:rPr>
                <w:shd w:val="clear" w:color="auto" w:fill="FBFAF8"/>
                <w:lang w:eastAsia="en-GB"/>
              </w:rPr>
              <w:t>Vision disorders</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59"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lastRenderedPageBreak/>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0"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61" w:history="1">
              <w:r w:rsidRPr="006767D3">
                <w:rPr>
                  <w:rStyle w:val="Hyperlink"/>
                  <w:rFonts w:cs="Arial"/>
                  <w:iCs/>
                </w:rPr>
                <w:t>TARGET RTI leaflet</w:t>
              </w:r>
            </w:hyperlink>
          </w:p>
          <w:p w14:paraId="7DACADA5" w14:textId="77777777" w:rsidR="00012301" w:rsidRPr="006767D3" w:rsidRDefault="00012301" w:rsidP="00012301">
            <w:pPr>
              <w:pStyle w:val="Bulletindent1"/>
            </w:pPr>
            <w:r>
              <w:t xml:space="preserve">Utilise </w:t>
            </w:r>
            <w:hyperlink r:id="rId62" w:history="1">
              <w:r w:rsidRPr="00936DA7">
                <w:rPr>
                  <w:rStyle w:val="Hyperlink"/>
                  <w:rFonts w:cs="Arial"/>
                  <w:iCs/>
                </w:rPr>
                <w:t>TARGET antibiotic checklist</w:t>
              </w:r>
            </w:hyperlink>
            <w:r>
              <w:t xml:space="preserve"> for counselling individuals/carers/parents/guardians. </w:t>
            </w:r>
          </w:p>
          <w:p w14:paraId="72AB3536" w14:textId="5CB9379D" w:rsidR="00012301" w:rsidRDefault="00012301" w:rsidP="00012301">
            <w:pPr>
              <w:pStyle w:val="Bulletindent1"/>
            </w:pPr>
            <w:r w:rsidRPr="00A16080">
              <w:t>Give any additional information in accordance with the local service specification.</w:t>
            </w:r>
          </w:p>
        </w:tc>
      </w:tr>
      <w:tr w:rsidR="00012301" w14:paraId="09A371CA" w14:textId="77777777" w:rsidTr="00012301">
        <w:tc>
          <w:tcPr>
            <w:tcW w:w="2844" w:type="dxa"/>
          </w:tcPr>
          <w:p w14:paraId="3FBD5E90" w14:textId="77777777" w:rsidR="00012301" w:rsidRPr="00A16080" w:rsidRDefault="00012301" w:rsidP="00012301">
            <w:pPr>
              <w:rPr>
                <w:rStyle w:val="TableHeaderColumn"/>
                <w:kern w:val="0"/>
                <w:sz w:val="22"/>
              </w:rPr>
            </w:pPr>
            <w:r w:rsidRPr="00A16080">
              <w:rPr>
                <w:rStyle w:val="TableHeaderColumn"/>
                <w:kern w:val="0"/>
                <w:sz w:val="22"/>
              </w:rPr>
              <w:t>Individual advice / follow up</w:t>
            </w:r>
          </w:p>
          <w:p w14:paraId="5EE185C4" w14:textId="1AF298CF" w:rsidR="00012301" w:rsidRPr="00A16080" w:rsidRDefault="00012301" w:rsidP="00012301">
            <w:pPr>
              <w:rPr>
                <w:rStyle w:val="TableHeaderColumn"/>
                <w:kern w:val="0"/>
                <w:sz w:val="22"/>
              </w:rPr>
            </w:pP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EC0120">
            <w:pPr>
              <w:pStyle w:val="Bulletindent1"/>
            </w:pPr>
            <w:r w:rsidRPr="00A16080">
              <w:t>Explain the dose, frequency and method of administration.</w:t>
            </w:r>
          </w:p>
          <w:p w14:paraId="60EF541A" w14:textId="2D36A1C4" w:rsidR="00012301" w:rsidRDefault="00012301" w:rsidP="00EC0120">
            <w:pPr>
              <w:pStyle w:val="Bulletindent1"/>
            </w:pPr>
            <w:r w:rsidRPr="00C3593F">
              <w:rPr>
                <w:lang w:eastAsia="en-GB"/>
              </w:rPr>
              <w:t>The individual/carer/parent/guardian should be advised to read the PIL.</w:t>
            </w:r>
          </w:p>
          <w:p w14:paraId="2E90DAB6" w14:textId="1ADD83A1" w:rsidR="00864F3B" w:rsidRPr="00940194" w:rsidRDefault="00864F3B" w:rsidP="00EC0120">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63" w:history="1">
              <w:r w:rsidRPr="00864F3B">
                <w:rPr>
                  <w:rStyle w:val="Hyperlink"/>
                  <w:iCs/>
                </w:rPr>
                <w:t>SmPC which is available on the EMC website</w:t>
              </w:r>
            </w:hyperlink>
            <w:r w:rsidRPr="00F35886">
              <w:rPr>
                <w:color w:val="FF0000"/>
              </w:rPr>
              <w:t xml:space="preserve"> </w:t>
            </w:r>
            <w:r w:rsidRPr="00F35886">
              <w:t xml:space="preserve">(storage </w:t>
            </w:r>
            <w:r w:rsidRPr="00F35886">
              <w:lastRenderedPageBreak/>
              <w:t xml:space="preserve">recommendations may vary between different reconstituted oral suspension </w:t>
            </w:r>
            <w:r>
              <w:t xml:space="preserve">(or oral solution) </w:t>
            </w:r>
            <w:r w:rsidRPr="00F35886">
              <w:t>products).</w:t>
            </w:r>
            <w:r>
              <w:rPr>
                <w:color w:val="FF0000"/>
              </w:rPr>
              <w:t xml:space="preserve"> </w:t>
            </w:r>
          </w:p>
          <w:p w14:paraId="62EF1A09" w14:textId="77777777" w:rsidR="00404714" w:rsidRPr="006470EE" w:rsidRDefault="00404714" w:rsidP="00EC0120">
            <w:pPr>
              <w:pStyle w:val="Bulletindent1"/>
            </w:pPr>
            <w:r w:rsidRPr="00F9104C">
              <w:t>Symptoms s</w:t>
            </w:r>
            <w:r>
              <w:t>hould start to improve within 3-5 days</w:t>
            </w:r>
            <w:r w:rsidRPr="00F9104C">
              <w:t xml:space="preserve"> of </w:t>
            </w:r>
            <w:r>
              <w:t>starting erythromycin -</w:t>
            </w:r>
            <w:r w:rsidRPr="00F9104C">
              <w:t xml:space="preserve"> advise individual to seek medical advice if no improvement within this time.</w:t>
            </w:r>
            <w:r w:rsidRPr="00C23691">
              <w:rPr>
                <w:color w:val="FF0000"/>
              </w:rPr>
              <w:t xml:space="preserve"> </w:t>
            </w:r>
          </w:p>
          <w:p w14:paraId="06967BE9" w14:textId="77777777" w:rsidR="00EC0120" w:rsidRPr="006470EE" w:rsidRDefault="00EC0120" w:rsidP="00EC0120">
            <w:pPr>
              <w:pStyle w:val="Bulletindent1"/>
              <w:rPr>
                <w:iCs/>
              </w:rPr>
            </w:pPr>
            <w:r w:rsidRPr="00BF255C">
              <w:t xml:space="preserve">Advise individual/carer/parent/guardian to seek medical help if symptoms worsen rapidly or significantly or do not improve after completion of treatment course. </w:t>
            </w:r>
          </w:p>
          <w:p w14:paraId="6B0A8F06" w14:textId="30B0D813" w:rsidR="00012301" w:rsidRPr="00D37A41" w:rsidRDefault="00012301" w:rsidP="00EC0120">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64" w:history="1">
              <w:r>
                <w:rPr>
                  <w:rFonts w:eastAsia="Calibri"/>
                  <w:color w:val="0000FF"/>
                  <w:u w:val="single"/>
                </w:rPr>
                <w:t>signs or symptoms of sepsis as described on the NHS website</w:t>
              </w:r>
            </w:hyperlink>
            <w:r w:rsidRPr="00D37A41">
              <w:rPr>
                <w:rFonts w:eastAsia="Calibri"/>
              </w:rPr>
              <w:t xml:space="preserve">. </w:t>
            </w:r>
          </w:p>
          <w:p w14:paraId="0DE56394" w14:textId="5BE67583" w:rsidR="00012301" w:rsidRPr="00677C74" w:rsidRDefault="00012301" w:rsidP="00EC0120">
            <w:pPr>
              <w:pStyle w:val="Bulletindent1"/>
              <w:rPr>
                <w:iCs/>
              </w:rPr>
            </w:pPr>
            <w:r>
              <w:rPr>
                <w:rFonts w:eastAsia="Arial"/>
              </w:rPr>
              <w:t xml:space="preserve">Inform </w:t>
            </w:r>
            <w:r w:rsidRPr="00FF7E56">
              <w:rPr>
                <w:rFonts w:eastAsia="Arial"/>
              </w:rPr>
              <w:t>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sidR="00864F3B">
              <w:rPr>
                <w:rFonts w:eastAsia="Arial"/>
              </w:rPr>
              <w:t>.</w:t>
            </w:r>
          </w:p>
          <w:p w14:paraId="7FED6BDA" w14:textId="57951F36" w:rsidR="00012301" w:rsidRPr="00607D12" w:rsidRDefault="00012301" w:rsidP="00EC0120">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2B7FA352" w14:textId="77777777" w:rsidR="00864F3B" w:rsidRPr="00F97603" w:rsidRDefault="00864F3B" w:rsidP="00EC0120">
            <w:pPr>
              <w:pStyle w:val="Bulletindent1"/>
              <w:rPr>
                <w:iCs/>
              </w:rPr>
            </w:pPr>
            <w:r w:rsidRPr="006F1D02">
              <w:rPr>
                <w:rFonts w:eastAsia="Arial"/>
              </w:rPr>
              <w:t>If the individual is affected by dizziness or drowsiness advise them not to drive or operate machinery.</w:t>
            </w:r>
          </w:p>
          <w:p w14:paraId="44F6E36A" w14:textId="0A5DB8D3" w:rsidR="00012301" w:rsidRPr="00D37A41" w:rsidRDefault="00012301" w:rsidP="00EC0120">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012301" w:rsidRPr="003275A9" w:rsidRDefault="00012301" w:rsidP="00EC0120">
            <w:pPr>
              <w:pStyle w:val="Bulletindent1"/>
            </w:pPr>
            <w:r w:rsidRPr="003275A9">
              <w:t>If a dose is missed</w:t>
            </w:r>
            <w:r>
              <w:t>,</w:t>
            </w:r>
            <w:r w:rsidRPr="003275A9">
              <w:t xml:space="preserve"> advise </w:t>
            </w:r>
            <w:proofErr w:type="gramStart"/>
            <w:r w:rsidRPr="003275A9">
              <w:t>to refer</w:t>
            </w:r>
            <w:proofErr w:type="gramEnd"/>
            <w:r w:rsidRPr="003275A9">
              <w:t xml:space="preserve"> to PIL supplied with the product</w:t>
            </w:r>
          </w:p>
          <w:p w14:paraId="6DC7E4E6" w14:textId="77777777" w:rsidR="00012301" w:rsidRPr="00644130" w:rsidRDefault="00012301" w:rsidP="00EC0120">
            <w:pPr>
              <w:pStyle w:val="Bulletindent1"/>
            </w:pPr>
            <w:r w:rsidRPr="003275A9">
              <w:t>Advise individual/carer/parent/guardian to complete the full course even if symptoms improve.</w:t>
            </w:r>
          </w:p>
          <w:p w14:paraId="2BF8FA34" w14:textId="5912C861" w:rsidR="00012301" w:rsidRPr="00D54EC6" w:rsidRDefault="00012301" w:rsidP="00EC0120">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012301">
            <w:pPr>
              <w:pStyle w:val="Bulletindent1"/>
            </w:pPr>
            <w:r w:rsidRPr="004133DF">
              <w:t>That valid informed consent has been given</w:t>
            </w:r>
          </w:p>
          <w:p w14:paraId="32ED9C6B" w14:textId="7458E96C" w:rsidR="00012301" w:rsidRDefault="00012301" w:rsidP="00012301">
            <w:pPr>
              <w:pStyle w:val="Bulletindent1"/>
            </w:pPr>
            <w:r w:rsidRPr="004133DF">
              <w:t>Individual’s name, address and date of birth</w:t>
            </w:r>
          </w:p>
          <w:p w14:paraId="686C995E" w14:textId="65E80073" w:rsidR="00012301" w:rsidRDefault="00012301" w:rsidP="00012301">
            <w:pPr>
              <w:pStyle w:val="Bulletindent1"/>
            </w:pPr>
            <w:r w:rsidRPr="004133DF">
              <w:t>Name of GP individual is registered with or record where an individual is not registered with a GP</w:t>
            </w:r>
          </w:p>
          <w:p w14:paraId="07B6A9F7" w14:textId="77777777" w:rsidR="00012301" w:rsidRDefault="00012301" w:rsidP="00012301">
            <w:pPr>
              <w:pStyle w:val="Bulletindent1"/>
            </w:pPr>
            <w:r w:rsidRPr="004133DF">
              <w:lastRenderedPageBreak/>
              <w:t xml:space="preserve">Name of registered healthcare professional operating under this PGD </w:t>
            </w:r>
          </w:p>
          <w:p w14:paraId="6295F240" w14:textId="77777777" w:rsidR="00012301" w:rsidRDefault="00012301" w:rsidP="00012301">
            <w:pPr>
              <w:pStyle w:val="Bulletindent1"/>
            </w:pPr>
            <w:r w:rsidRPr="004133DF">
              <w:t>Specify how the individual has/has not met the criteria of the PGD</w:t>
            </w:r>
          </w:p>
          <w:p w14:paraId="7D7253AB" w14:textId="1066261B" w:rsidR="00012301" w:rsidRDefault="00012301" w:rsidP="00012301">
            <w:pPr>
              <w:pStyle w:val="Bulletindent1"/>
            </w:pPr>
            <w:r w:rsidRPr="004133DF">
              <w:t>Relevant medical history and medication history</w:t>
            </w:r>
          </w:p>
          <w:p w14:paraId="3FFF0272" w14:textId="77777777" w:rsidR="00012301" w:rsidRDefault="00012301" w:rsidP="00012301">
            <w:pPr>
              <w:pStyle w:val="Bulletindent1"/>
            </w:pPr>
            <w:r w:rsidRPr="004133DF">
              <w:t>Name/dose/form/quantity of medicine supplied</w:t>
            </w:r>
          </w:p>
          <w:p w14:paraId="0AF2D72A" w14:textId="11FFC4DB" w:rsidR="00012301" w:rsidRPr="004133DF" w:rsidRDefault="00012301" w:rsidP="00012301">
            <w:pPr>
              <w:pStyle w:val="Bulletindent1"/>
            </w:pPr>
            <w:r w:rsidRPr="004133DF">
              <w:t>Date and time of supply</w:t>
            </w:r>
          </w:p>
          <w:p w14:paraId="6D51756D" w14:textId="77777777" w:rsidR="00012301" w:rsidRDefault="00012301" w:rsidP="00012301">
            <w:pPr>
              <w:pStyle w:val="Bulletindent1"/>
            </w:pPr>
            <w:r w:rsidRPr="004133DF">
              <w:t>Documentation of cautions as appropriate</w:t>
            </w:r>
          </w:p>
          <w:p w14:paraId="63A66555" w14:textId="77777777" w:rsidR="00012301" w:rsidRDefault="00012301" w:rsidP="00012301">
            <w:pPr>
              <w:pStyle w:val="Bulletindent1"/>
            </w:pPr>
            <w:r w:rsidRPr="004133DF">
              <w:t>Advice given if individual excluded or declines treatment</w:t>
            </w:r>
          </w:p>
          <w:p w14:paraId="4C06353F" w14:textId="77777777" w:rsidR="00012301" w:rsidRDefault="00012301" w:rsidP="00012301">
            <w:pPr>
              <w:pStyle w:val="Bulletindent1"/>
            </w:pPr>
            <w:r w:rsidRPr="004133DF">
              <w:t>Details of any ADRs/allergy status and actions taken</w:t>
            </w:r>
          </w:p>
          <w:p w14:paraId="7766ACF5" w14:textId="77777777" w:rsidR="00012301" w:rsidRDefault="00012301" w:rsidP="00012301">
            <w:pPr>
              <w:pStyle w:val="Bulletindent1"/>
            </w:pPr>
            <w:r w:rsidRPr="004133DF">
              <w:t>The supply must be entered in the Patient Medication Record (PMR)</w:t>
            </w:r>
          </w:p>
          <w:p w14:paraId="72462233" w14:textId="77777777" w:rsidR="00012301" w:rsidRDefault="00012301" w:rsidP="00012301">
            <w:pPr>
              <w:pStyle w:val="Bulletindent1"/>
            </w:pPr>
            <w:r w:rsidRPr="004133DF">
              <w:t>That supply was made under a PGD</w:t>
            </w:r>
          </w:p>
          <w:p w14:paraId="0E33BA12" w14:textId="77777777" w:rsidR="00012301" w:rsidRDefault="00012301" w:rsidP="00012301">
            <w:pPr>
              <w:pStyle w:val="Bulletindent1"/>
            </w:pPr>
            <w:r w:rsidRPr="004133DF">
              <w:t>Any safety incidents, such as medication errors, near misses and suspected adverse events</w:t>
            </w:r>
            <w:r>
              <w:t>.</w:t>
            </w:r>
          </w:p>
          <w:p w14:paraId="1C34BF29" w14:textId="77777777" w:rsidR="00012301" w:rsidRDefault="00012301" w:rsidP="00012301">
            <w:pPr>
              <w:pStyle w:val="Bulletindent1"/>
            </w:pPr>
            <w:r w:rsidRPr="004133DF">
              <w:t>Any additional requirements in accordance with the service specification</w:t>
            </w:r>
          </w:p>
          <w:p w14:paraId="263139D5" w14:textId="03F6DDFA" w:rsidR="00012301" w:rsidRPr="004133DF" w:rsidRDefault="00012301" w:rsidP="00012301">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012301">
            <w:pPr>
              <w:pStyle w:val="Bulletindent1"/>
            </w:pPr>
            <w:r w:rsidRPr="004133DF">
              <w:t xml:space="preserve">All records should be kept in line with </w:t>
            </w:r>
            <w:hyperlink r:id="rId65"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 xml:space="preserve">Records must be signed and dated (or </w:t>
            </w:r>
            <w:proofErr w:type="gramStart"/>
            <w:r w:rsidRPr="004133DF">
              <w:rPr>
                <w:b/>
                <w:bCs/>
              </w:rPr>
              <w:t>password controlled</w:t>
            </w:r>
            <w:proofErr w:type="gramEnd"/>
            <w:r w:rsidRPr="004133DF">
              <w:rPr>
                <w:b/>
                <w:bCs/>
              </w:rPr>
              <w:t xml:space="preserve">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012301">
            <w:pPr>
              <w:pStyle w:val="Bulletindent1"/>
              <w:rPr>
                <w:highlight w:val="cyan"/>
              </w:rPr>
            </w:pPr>
            <w:r w:rsidRPr="004133DF">
              <w:rPr>
                <w:highlight w:val="cyan"/>
              </w:rPr>
              <w:t>The volume of individuals assessed using the PGD</w:t>
            </w:r>
          </w:p>
          <w:p w14:paraId="013BD556" w14:textId="77777777" w:rsidR="00012301" w:rsidRPr="004133DF" w:rsidRDefault="00012301" w:rsidP="00012301">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012301">
            <w:pPr>
              <w:pStyle w:val="Bulletindent1"/>
              <w:rPr>
                <w:highlight w:val="cyan"/>
              </w:rPr>
            </w:pPr>
            <w:r w:rsidRPr="004133DF">
              <w:rPr>
                <w:highlight w:val="cyan"/>
              </w:rPr>
              <w:lastRenderedPageBreak/>
              <w:t>The volume supplied medication via PGD</w:t>
            </w:r>
          </w:p>
          <w:p w14:paraId="57764D02" w14:textId="77777777" w:rsidR="00012301" w:rsidRPr="004133DF" w:rsidRDefault="00012301" w:rsidP="00012301">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012301">
            <w:pPr>
              <w:pStyle w:val="Bulletindent1"/>
              <w:rPr>
                <w:highlight w:val="cyan"/>
              </w:rPr>
            </w:pPr>
            <w:r w:rsidRPr="004133DF">
              <w:rPr>
                <w:highlight w:val="cyan"/>
              </w:rPr>
              <w:t>The number of escalations to other clinicians</w:t>
            </w:r>
          </w:p>
          <w:p w14:paraId="65D95A97" w14:textId="77777777" w:rsidR="00012301" w:rsidRPr="004133DF" w:rsidRDefault="00012301" w:rsidP="00012301">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012301">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012301">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012301">
            <w:pPr>
              <w:pStyle w:val="Bulletindent1"/>
              <w:rPr>
                <w:highlight w:val="cyan"/>
              </w:rPr>
            </w:pPr>
            <w:r w:rsidRPr="004133DF">
              <w:rPr>
                <w:highlight w:val="cyan"/>
              </w:rPr>
              <w:t>Service user experience / satisfaction</w:t>
            </w:r>
          </w:p>
          <w:p w14:paraId="2556F8CA" w14:textId="77777777" w:rsidR="00012301" w:rsidRPr="004133DF" w:rsidRDefault="00012301" w:rsidP="00012301">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012301">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012301">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66" w:history="1">
        <w:r w:rsidRPr="009B77E7">
          <w:rPr>
            <w:rStyle w:val="Hyperlink"/>
          </w:rPr>
          <w:t>Electronic Medicines Compendium</w:t>
        </w:r>
      </w:hyperlink>
    </w:p>
    <w:p w14:paraId="62E7904D" w14:textId="7C52DA4A" w:rsidR="009B77E7" w:rsidRPr="00EC0120" w:rsidRDefault="009B77E7" w:rsidP="00877396">
      <w:pPr>
        <w:pStyle w:val="Bulletindent1"/>
        <w:rPr>
          <w:color w:val="0000FF"/>
          <w:u w:val="single"/>
        </w:rPr>
      </w:pPr>
      <w:hyperlink r:id="rId67" w:history="1">
        <w:r w:rsidRPr="009B77E7">
          <w:rPr>
            <w:rStyle w:val="Hyperlink"/>
          </w:rPr>
          <w:t>Electronic BNF</w:t>
        </w:r>
      </w:hyperlink>
    </w:p>
    <w:p w14:paraId="4FD9E477" w14:textId="6973C84D" w:rsidR="00EC0120" w:rsidRPr="00940194" w:rsidRDefault="00EC0120" w:rsidP="00877396">
      <w:pPr>
        <w:pStyle w:val="Bulletindent1"/>
        <w:rPr>
          <w:color w:val="0000FF"/>
          <w:u w:val="single"/>
        </w:rPr>
      </w:pPr>
      <w:hyperlink r:id="rId68" w:history="1">
        <w:r w:rsidRPr="00EC0120">
          <w:rPr>
            <w:rStyle w:val="Hyperlink"/>
          </w:rPr>
          <w:t>Electronic BNF for children</w:t>
        </w:r>
      </w:hyperlink>
    </w:p>
    <w:p w14:paraId="738D2A7F" w14:textId="08F60911" w:rsidR="009B77E7" w:rsidRDefault="009B77E7" w:rsidP="00877396">
      <w:pPr>
        <w:pStyle w:val="Bulletindent1"/>
        <w:rPr>
          <w:rStyle w:val="Hyperlink"/>
        </w:rPr>
      </w:pPr>
      <w:hyperlink r:id="rId69" w:history="1">
        <w:r w:rsidRPr="009B77E7">
          <w:rPr>
            <w:rStyle w:val="Hyperlink"/>
          </w:rPr>
          <w:t>Reference guide to consent for examination or treatment</w:t>
        </w:r>
      </w:hyperlink>
    </w:p>
    <w:p w14:paraId="3BD7766D" w14:textId="79F0699F" w:rsidR="00AF0367" w:rsidRPr="00EC0120" w:rsidRDefault="00AF0367" w:rsidP="00720435">
      <w:pPr>
        <w:pStyle w:val="Bulletindent1"/>
        <w:rPr>
          <w:color w:val="0000FF"/>
          <w:u w:val="single"/>
        </w:rPr>
      </w:pPr>
      <w:hyperlink r:id="rId70" w:history="1">
        <w:r w:rsidRPr="00720435">
          <w:rPr>
            <w:rStyle w:val="Hyperlink"/>
          </w:rPr>
          <w:t>NICE Medicines practice guideline MPG2 - Patient Group Directions - Last Updated 27 March 2017</w:t>
        </w:r>
      </w:hyperlink>
    </w:p>
    <w:p w14:paraId="3CC35E6F" w14:textId="5DB5717F" w:rsidR="00EC0120" w:rsidRPr="00940194" w:rsidRDefault="00EC0120" w:rsidP="00720435">
      <w:pPr>
        <w:pStyle w:val="Bulletindent1"/>
        <w:rPr>
          <w:color w:val="0000FF"/>
          <w:u w:val="single"/>
        </w:rPr>
      </w:pPr>
      <w:hyperlink r:id="rId71" w:history="1">
        <w:r w:rsidRPr="00EC0120">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72" w:history="1">
        <w:r w:rsidRPr="00720435">
          <w:rPr>
            <w:rStyle w:val="Hyperlink"/>
          </w:rPr>
          <w:t>UK Sepsis Trust. Sepsis e-learning resources</w:t>
        </w:r>
      </w:hyperlink>
    </w:p>
    <w:p w14:paraId="3869CEAE" w14:textId="120BD205" w:rsidR="00AF0367" w:rsidRPr="00EC0120" w:rsidRDefault="00AF0367" w:rsidP="00720435">
      <w:pPr>
        <w:pStyle w:val="Bulletindent1"/>
        <w:rPr>
          <w:color w:val="0000FF"/>
          <w:u w:val="single"/>
        </w:rPr>
      </w:pPr>
      <w:hyperlink r:id="rId73" w:history="1">
        <w:r w:rsidRPr="00720435">
          <w:rPr>
            <w:rStyle w:val="Hyperlink"/>
          </w:rPr>
          <w:t>TARGET Treating your infection - Respiratory Tract Infection (TYI-RTI) leaflet</w:t>
        </w:r>
      </w:hyperlink>
    </w:p>
    <w:p w14:paraId="75CDE8C7" w14:textId="77777777" w:rsidR="00EC0120" w:rsidRDefault="00EC0120" w:rsidP="00EC0120">
      <w:pPr>
        <w:pStyle w:val="Bulletindent1"/>
        <w:rPr>
          <w:rStyle w:val="Hyperlink"/>
        </w:rPr>
      </w:pPr>
      <w:hyperlink r:id="rId74" w:history="1">
        <w:r w:rsidRPr="00B97C25">
          <w:rPr>
            <w:rStyle w:val="Hyperlink"/>
          </w:rPr>
          <w:t>NICE Clinical knowledge summaries. Analgesia –mild-to-moderate pain</w:t>
        </w:r>
      </w:hyperlink>
    </w:p>
    <w:p w14:paraId="77680EA7" w14:textId="77777777" w:rsidR="00EC0120" w:rsidRPr="00B97C25" w:rsidRDefault="00EC0120" w:rsidP="00EC0120">
      <w:pPr>
        <w:pStyle w:val="Bulletindent1"/>
        <w:rPr>
          <w:rStyle w:val="Hyperlink"/>
        </w:rPr>
      </w:pPr>
      <w:hyperlink r:id="rId75" w:history="1">
        <w:r w:rsidRPr="00B97C25">
          <w:rPr>
            <w:rStyle w:val="Hyperlink"/>
          </w:rPr>
          <w:t>NICE Clinical knowledge summaries. NASIDs – prescribing issues</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76"/>
      <w:headerReference w:type="default" r:id="rId77"/>
      <w:footerReference w:type="default" r:id="rId78"/>
      <w:headerReference w:type="first" r:id="rId7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7837CD">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7837CD"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7837CD">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22FF4"/>
    <w:multiLevelType w:val="hybridMultilevel"/>
    <w:tmpl w:val="D0E21D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EF0763"/>
    <w:multiLevelType w:val="hybridMultilevel"/>
    <w:tmpl w:val="F1F00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16D4C"/>
    <w:multiLevelType w:val="hybridMultilevel"/>
    <w:tmpl w:val="E27C43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D3224AC0">
      <w:numFmt w:val="bullet"/>
      <w:lvlText w:val="-"/>
      <w:lvlJc w:val="left"/>
      <w:pPr>
        <w:ind w:left="1800" w:hanging="360"/>
      </w:pPr>
      <w:rPr>
        <w:rFonts w:ascii="Arial" w:eastAsia="Calibr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DA4E56"/>
    <w:multiLevelType w:val="hybridMultilevel"/>
    <w:tmpl w:val="644E947E"/>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0"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236CBF"/>
    <w:multiLevelType w:val="hybridMultilevel"/>
    <w:tmpl w:val="490EEE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5"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0"/>
  </w:num>
  <w:num w:numId="2" w16cid:durableId="460340545">
    <w:abstractNumId w:val="9"/>
  </w:num>
  <w:num w:numId="3" w16cid:durableId="862549155">
    <w:abstractNumId w:val="26"/>
  </w:num>
  <w:num w:numId="4" w16cid:durableId="1902785077">
    <w:abstractNumId w:val="27"/>
  </w:num>
  <w:num w:numId="5" w16cid:durableId="1400252542">
    <w:abstractNumId w:val="16"/>
  </w:num>
  <w:num w:numId="6" w16cid:durableId="585113440">
    <w:abstractNumId w:val="8"/>
  </w:num>
  <w:num w:numId="7" w16cid:durableId="1512915418">
    <w:abstractNumId w:val="24"/>
  </w:num>
  <w:num w:numId="8" w16cid:durableId="759831936">
    <w:abstractNumId w:val="30"/>
  </w:num>
  <w:num w:numId="9" w16cid:durableId="1747412429">
    <w:abstractNumId w:val="2"/>
  </w:num>
  <w:num w:numId="10" w16cid:durableId="1297833641">
    <w:abstractNumId w:val="0"/>
  </w:num>
  <w:num w:numId="11" w16cid:durableId="1684160055">
    <w:abstractNumId w:val="29"/>
  </w:num>
  <w:num w:numId="12" w16cid:durableId="1610894224">
    <w:abstractNumId w:val="31"/>
  </w:num>
  <w:num w:numId="13" w16cid:durableId="1880973297">
    <w:abstractNumId w:val="12"/>
  </w:num>
  <w:num w:numId="14" w16cid:durableId="77676389">
    <w:abstractNumId w:val="5"/>
  </w:num>
  <w:num w:numId="15" w16cid:durableId="1496384920">
    <w:abstractNumId w:val="11"/>
  </w:num>
  <w:num w:numId="16" w16cid:durableId="441388192">
    <w:abstractNumId w:val="21"/>
    <w:lvlOverride w:ilvl="0">
      <w:startOverride w:val="1"/>
    </w:lvlOverride>
  </w:num>
  <w:num w:numId="17" w16cid:durableId="73867840">
    <w:abstractNumId w:val="6"/>
    <w:lvlOverride w:ilvl="0">
      <w:startOverride w:val="1"/>
    </w:lvlOverride>
  </w:num>
  <w:num w:numId="18" w16cid:durableId="1535193713">
    <w:abstractNumId w:val="1"/>
  </w:num>
  <w:num w:numId="19" w16cid:durableId="1355493972">
    <w:abstractNumId w:val="14"/>
  </w:num>
  <w:num w:numId="20" w16cid:durableId="976493906">
    <w:abstractNumId w:val="28"/>
  </w:num>
  <w:num w:numId="21" w16cid:durableId="80179218">
    <w:abstractNumId w:val="13"/>
  </w:num>
  <w:num w:numId="22" w16cid:durableId="1890923172">
    <w:abstractNumId w:val="25"/>
  </w:num>
  <w:num w:numId="23" w16cid:durableId="507064187">
    <w:abstractNumId w:val="10"/>
  </w:num>
  <w:num w:numId="24" w16cid:durableId="59132308">
    <w:abstractNumId w:val="18"/>
  </w:num>
  <w:num w:numId="25" w16cid:durableId="301623933">
    <w:abstractNumId w:val="22"/>
  </w:num>
  <w:num w:numId="26" w16cid:durableId="736629974">
    <w:abstractNumId w:val="19"/>
  </w:num>
  <w:num w:numId="27" w16cid:durableId="462312828">
    <w:abstractNumId w:val="15"/>
  </w:num>
  <w:num w:numId="28" w16cid:durableId="856891729">
    <w:abstractNumId w:val="3"/>
  </w:num>
  <w:num w:numId="29" w16cid:durableId="846554156">
    <w:abstractNumId w:val="23"/>
  </w:num>
  <w:num w:numId="30" w16cid:durableId="126669507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0BC2"/>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B65D7"/>
    <w:rsid w:val="002C19DC"/>
    <w:rsid w:val="002C1F27"/>
    <w:rsid w:val="002C24CE"/>
    <w:rsid w:val="002C3511"/>
    <w:rsid w:val="002C5736"/>
    <w:rsid w:val="002C7751"/>
    <w:rsid w:val="002D4185"/>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714"/>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5B9"/>
    <w:rsid w:val="00434610"/>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37CD"/>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01E"/>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37668"/>
    <w:rsid w:val="00940194"/>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26C77"/>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87"/>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4F52"/>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396F"/>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395"/>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0120"/>
    <w:rsid w:val="00EC5BB8"/>
    <w:rsid w:val="00EC6FFD"/>
    <w:rsid w:val="00ED232C"/>
    <w:rsid w:val="00ED3CEB"/>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7CD"/>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7837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37CD"/>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hingles-herpes-zoster-the-green-book-chapter-28a" TargetMode="External"/><Relationship Id="rId21" Type="http://schemas.openxmlformats.org/officeDocument/2006/relationships/hyperlink" Target="https://www.nice.org.uk/guidance/mpg2/resources" TargetMode="External"/><Relationship Id="rId42" Type="http://schemas.openxmlformats.org/officeDocument/2006/relationships/hyperlink" Target="https://www.medicines.org.uk/emc" TargetMode="External"/><Relationship Id="rId47" Type="http://schemas.openxmlformats.org/officeDocument/2006/relationships/hyperlink" Target="https://cks.nice.org.uk/topics/analgesia-mild-to-moderate-pain/" TargetMode="External"/><Relationship Id="rId63" Type="http://schemas.openxmlformats.org/officeDocument/2006/relationships/hyperlink" Target="https://www.medicines.org.uk/emc" TargetMode="External"/><Relationship Id="rId68" Type="http://schemas.openxmlformats.org/officeDocument/2006/relationships/hyperlink" Target="https://bnfc.nice.org.uk/" TargetMode="External"/><Relationship Id="rId84" Type="http://schemas.openxmlformats.org/officeDocument/2006/relationships/customXml" Target="../customXml/item3.xml"/><Relationship Id="rId16" Type="http://schemas.openxmlformats.org/officeDocument/2006/relationships/hyperlink" Target="https://www.medicines.org.uk/emc" TargetMode="Externa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32" Type="http://schemas.openxmlformats.org/officeDocument/2006/relationships/hyperlink" Target="https://www.nhs.uk/conditions/meningitis/" TargetMode="External"/><Relationship Id="rId37" Type="http://schemas.openxmlformats.org/officeDocument/2006/relationships/hyperlink" Target="https://www.nhs.uk/conditions/sepsis/" TargetMode="External"/><Relationship Id="rId53" Type="http://schemas.openxmlformats.org/officeDocument/2006/relationships/hyperlink" Target="https://www.mayocliniclabs.com/en/-/media/it-mmfiles/Special%20Instructions/B/7/4/Pharmacogenomic_Associations_Tables" TargetMode="External"/><Relationship Id="rId58" Type="http://schemas.openxmlformats.org/officeDocument/2006/relationships/hyperlink" Target="https://bnf.nice.org.uk/" TargetMode="External"/><Relationship Id="rId74" Type="http://schemas.openxmlformats.org/officeDocument/2006/relationships/hyperlink" Target="https://cks.nice.org.uk/topics/analgesia-mild-to-moderate-pain/"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elearning.rcgp.org.uk/mod/book/view.php?id=12647&amp;chapterid=444" TargetMode="External"/><Relationship Id="rId82" Type="http://schemas.openxmlformats.org/officeDocument/2006/relationships/customXml" Target="../customXml/item1.xml"/><Relationship Id="rId19" Type="http://schemas.openxmlformats.org/officeDocument/2006/relationships/hyperlink" Target="https://sepsistrust.org/healthcare-professionals/sepsis-elearning/" TargetMode="External"/><Relationship Id="rId14" Type="http://schemas.openxmlformats.org/officeDocument/2006/relationships/hyperlink" Target="https://www.cliniskills.com/" TargetMode="External"/><Relationship Id="rId22" Type="http://schemas.openxmlformats.org/officeDocument/2006/relationships/hyperlink" Target="https://cks.nice.org.uk/topics/otitis-media-acute/diagnosis/diagnosis/" TargetMode="External"/><Relationship Id="rId27" Type="http://schemas.openxmlformats.org/officeDocument/2006/relationships/hyperlink" Target="https://assets.publishing.service.gov.uk/media/5a82ce28e5274a2e8ab5970f/Greenbook_chapter_6.pdf" TargetMode="External"/><Relationship Id="rId30" Type="http://schemas.openxmlformats.org/officeDocument/2006/relationships/hyperlink" Target="https://www.cuh.nhs.uk/patient-information/ketogenic-dietary-therapy-kdt-for-children-who-are-eating-orally-and-their-carers/" TargetMode="External"/><Relationship Id="rId35" Type="http://schemas.openxmlformats.org/officeDocument/2006/relationships/hyperlink" Target="https://www.nhs.uk/conditions/cavernous-sinus-thrombosis/" TargetMode="External"/><Relationship Id="rId43" Type="http://schemas.openxmlformats.org/officeDocument/2006/relationships/hyperlink" Target="https://www.nhs.uk/conditions/phenylketonuria/" TargetMode="External"/><Relationship Id="rId48" Type="http://schemas.openxmlformats.org/officeDocument/2006/relationships/hyperlink" Target="https://elearning.rcgp.org.uk/mod/book/view.php?id=12647&amp;chapterid=444" TargetMode="External"/><Relationship Id="rId56" Type="http://schemas.openxmlformats.org/officeDocument/2006/relationships/hyperlink" Target="https://bnfc.nice.org.uk/" TargetMode="External"/><Relationship Id="rId64" Type="http://schemas.openxmlformats.org/officeDocument/2006/relationships/hyperlink" Target="https://www.nhs.uk/conditions/sepsis/" TargetMode="External"/><Relationship Id="rId69" Type="http://schemas.openxmlformats.org/officeDocument/2006/relationships/hyperlink" Target="https://assets.publishing.service.gov.uk/government/uploads/system/uploads/attachment_data/file/138296/dh_103653__1_.pdf" TargetMode="External"/><Relationship Id="rId77" Type="http://schemas.openxmlformats.org/officeDocument/2006/relationships/header" Target="header2.xml"/><Relationship Id="rId8" Type="http://schemas.openxmlformats.org/officeDocument/2006/relationships/hyperlink" Target="https://www.sps.nhs.uk/home/guidance/patient-group-directions-and-legal-mechanisms/national-pgd-protocol-and-written-instructions-templates/" TargetMode="External"/><Relationship Id="rId51" Type="http://schemas.openxmlformats.org/officeDocument/2006/relationships/hyperlink" Target="https://www.crediblemeds.org/" TargetMode="External"/><Relationship Id="rId72" Type="http://schemas.openxmlformats.org/officeDocument/2006/relationships/hyperlink" Target="https://sepsistrust.org/professional-resources/sepsis-e-learning/"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learning.rcgp.org.uk/course/view.php?id=553" TargetMode="External"/><Relationship Id="rId17" Type="http://schemas.openxmlformats.org/officeDocument/2006/relationships/hyperlink" Target="https://www.cppe.ac.uk/gateway/sepsis" TargetMode="External"/><Relationship Id="rId25" Type="http://schemas.openxmlformats.org/officeDocument/2006/relationships/hyperlink" Target="https://www.medicines.org.uk/emc/" TargetMode="External"/><Relationship Id="rId33" Type="http://schemas.openxmlformats.org/officeDocument/2006/relationships/hyperlink" Target="https://www.nhs.uk/conditions/mastoiditis/" TargetMode="External"/><Relationship Id="rId38" Type="http://schemas.openxmlformats.org/officeDocument/2006/relationships/hyperlink" Target="https://www.crediblemeds.org/" TargetMode="External"/><Relationship Id="rId46" Type="http://schemas.openxmlformats.org/officeDocument/2006/relationships/hyperlink" Target="https://elearning.rcgp.org.uk/mod/book/view.php?id=12647&amp;chapterid=444" TargetMode="External"/><Relationship Id="rId59" Type="http://schemas.openxmlformats.org/officeDocument/2006/relationships/hyperlink" Target="https://www.nhs.uk/health-a-to-z/conditions/" TargetMode="External"/><Relationship Id="rId67" Type="http://schemas.openxmlformats.org/officeDocument/2006/relationships/hyperlink" Target="https://bnf.nice.org.uk/" TargetMode="External"/><Relationship Id="rId20" Type="http://schemas.openxmlformats.org/officeDocument/2006/relationships/hyperlink" Target="https://www.e-lfh.org.uk/programmes/patient-group-directions/" TargetMode="External"/><Relationship Id="rId41" Type="http://schemas.openxmlformats.org/officeDocument/2006/relationships/hyperlink" Target="https://www.ncbi.nlm.nih.gov/books/NBK547852/" TargetMode="External"/><Relationship Id="rId54" Type="http://schemas.openxmlformats.org/officeDocument/2006/relationships/hyperlink" Target="https://bnf.nice.org.uk/" TargetMode="External"/><Relationship Id="rId62" Type="http://schemas.openxmlformats.org/officeDocument/2006/relationships/hyperlink" Target="https://elearning.rcgp.org.uk/mod/book/view.php?id=13511&amp;chapterid=784" TargetMode="External"/><Relationship Id="rId70" Type="http://schemas.openxmlformats.org/officeDocument/2006/relationships/hyperlink" Target="https://www.nice.org.uk/guidance/mpg2" TargetMode="External"/><Relationship Id="rId75" Type="http://schemas.openxmlformats.org/officeDocument/2006/relationships/hyperlink" Target="https://cks.nice.org.uk/topics/nsaids-prescribing-issues/" TargetMode="External"/><Relationship Id="rId83"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liniskills.com/community-pharmacists/" TargetMode="External"/><Relationship Id="rId23" Type="http://schemas.openxmlformats.org/officeDocument/2006/relationships/hyperlink" Target="https://www.nice.org.uk/guidance/ng91" TargetMode="External"/><Relationship Id="rId28" Type="http://schemas.openxmlformats.org/officeDocument/2006/relationships/hyperlink" Target="https://www.medicines.org.uk/emc" TargetMode="External"/><Relationship Id="rId36" Type="http://schemas.openxmlformats.org/officeDocument/2006/relationships/hyperlink" Target="https://www.nhs.uk/conditions/cholesteatoma/" TargetMode="External"/><Relationship Id="rId49" Type="http://schemas.openxmlformats.org/officeDocument/2006/relationships/hyperlink" Target="https://www.sps.nhs.uk/articles/using-solid-oral-dosage-form-antibiotics-in-children/"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chapter/Recommendations" TargetMode="External"/><Relationship Id="rId31" Type="http://schemas.openxmlformats.org/officeDocument/2006/relationships/hyperlink" Target="https://cks.nice.org.uk/topics/otitis-media-with-effusion/" TargetMode="External"/><Relationship Id="rId44" Type="http://schemas.openxmlformats.org/officeDocument/2006/relationships/hyperlink" Target="https://www.medicines.org.uk/emc" TargetMode="External"/><Relationship Id="rId52" Type="http://schemas.openxmlformats.org/officeDocument/2006/relationships/hyperlink" Target="https://www.sads.org.uk/drugs-to-avoid/?doing_wp_cron=1676975888.9472379684448242187500" TargetMode="External"/><Relationship Id="rId60" Type="http://schemas.openxmlformats.org/officeDocument/2006/relationships/hyperlink" Target="https://yellowcard.mhra.gov.uk/" TargetMode="External"/><Relationship Id="rId65" Type="http://schemas.openxmlformats.org/officeDocument/2006/relationships/hyperlink" Target="https://transform.england.nhs.uk/information-governance/guidance/records-management-code/" TargetMode="External"/><Relationship Id="rId73" Type="http://schemas.openxmlformats.org/officeDocument/2006/relationships/hyperlink" Target="https://elearning.rcgp.org.uk/mod/book/view.php?id=12647&amp;chapterid=444"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3" Type="http://schemas.openxmlformats.org/officeDocument/2006/relationships/hyperlink" Target="https://www.cppe.ac.uk/gateway/minor" TargetMode="External"/><Relationship Id="rId18" Type="http://schemas.openxmlformats.org/officeDocument/2006/relationships/hyperlink" Target="https://portal.e-lfh.org.uk/Component/Details/432415" TargetMode="External"/><Relationship Id="rId39" Type="http://schemas.openxmlformats.org/officeDocument/2006/relationships/hyperlink" Target="https://www.sads.org.uk/drugs-to-avoid/?doing_wp_cron=1676975888.9472379684448242187500" TargetMode="External"/><Relationship Id="rId34" Type="http://schemas.openxmlformats.org/officeDocument/2006/relationships/hyperlink" Target="https://www.nhs.uk/conditions/brain-abscess/" TargetMode="External"/><Relationship Id="rId50" Type="http://schemas.openxmlformats.org/officeDocument/2006/relationships/hyperlink" Target="https://www.medicines.org.uk/emc" TargetMode="External"/><Relationship Id="rId55" Type="http://schemas.openxmlformats.org/officeDocument/2006/relationships/hyperlink" Target="https://www.medicines.org.uk/emc" TargetMode="External"/><Relationship Id="rId76" Type="http://schemas.openxmlformats.org/officeDocument/2006/relationships/header" Target="header1.xml"/><Relationship Id="rId7" Type="http://schemas.openxmlformats.org/officeDocument/2006/relationships/hyperlink" Target="https://www.nice.org.uk/guidance/mpg2/chapter/Recommendations" TargetMode="External"/><Relationship Id="rId71" Type="http://schemas.openxmlformats.org/officeDocument/2006/relationships/hyperlink" Target="https://www.sps.nhs.uk/articles/using-solid-oral-dosage-form-antibiotics-in-children/" TargetMode="External"/><Relationship Id="rId2" Type="http://schemas.openxmlformats.org/officeDocument/2006/relationships/styles" Target="styles.xml"/><Relationship Id="rId29" Type="http://schemas.openxmlformats.org/officeDocument/2006/relationships/hyperlink" Target="https://www.medicines.org.uk/emc" TargetMode="External"/><Relationship Id="rId24" Type="http://schemas.openxmlformats.org/officeDocument/2006/relationships/hyperlink" Target="https://cks.nice.org.uk/topics/otitis-media-acute/diagnosis/diagnosis/" TargetMode="External"/><Relationship Id="rId40" Type="http://schemas.openxmlformats.org/officeDocument/2006/relationships/hyperlink" Target="https://www.medicines.org.uk/emc" TargetMode="External"/><Relationship Id="rId45" Type="http://schemas.openxmlformats.org/officeDocument/2006/relationships/hyperlink" Target="https://elearning.rcgp.org.uk/mod/book/view.php?id=12647&amp;chapterid=444" TargetMode="External"/><Relationship Id="rId66" Type="http://schemas.openxmlformats.org/officeDocument/2006/relationships/hyperlink" Target="https://www.medicines.org.uk/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Reviewcompleted xmlns="f161132f-3af4-47f5-b28f-8075dccddbe8" xsi:nil="true"/>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2026-08-30T23:00:00+00:00</ReviewDate>
    <Versionnumber xmlns="f161132f-3af4-47f5-b28f-8075dccddbe8">1.1</Versionnumber>
    <ProgrammeBoardMeeting xmlns="f161132f-3af4-47f5-b28f-8075dccddbe8">2026-07-22T23:00:00+00:00</ProgrammeBoardMeeting>
    <PublishedDate xmlns="f161132f-3af4-47f5-b28f-8075dccddbe8">2025-01-27T00:00:00+00:00</PublishedDate>
    <Effectivefromdate xmlns="f161132f-3af4-47f5-b28f-8075dccddbe8">2024-02-01T00:00:00+00:00</Effectivefromdate>
    <RAGrating xmlns="f161132f-3af4-47f5-b28f-8075dccddbe8" xsi:nil="true"/>
    <ExpiryDate xmlns="f161132f-3af4-47f5-b28f-8075dccddbe8">2027-02-28T00:00:00+00:00</ExpiryDat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E482F8C5-CF33-4EC6-9B4C-070BEEFEB2FC}"/>
</file>

<file path=customXml/itemProps2.xml><?xml version="1.0" encoding="utf-8"?>
<ds:datastoreItem xmlns:ds="http://schemas.openxmlformats.org/officeDocument/2006/customXml" ds:itemID="{03953D6B-A548-4F98-BD77-316B387565EF}"/>
</file>

<file path=customXml/itemProps3.xml><?xml version="1.0" encoding="utf-8"?>
<ds:datastoreItem xmlns:ds="http://schemas.openxmlformats.org/officeDocument/2006/customXml" ds:itemID="{04E0AE0D-1D09-4370-8301-473724A47A25}"/>
</file>

<file path=docProps/app.xml><?xml version="1.0" encoding="utf-8"?>
<Properties xmlns="http://schemas.openxmlformats.org/officeDocument/2006/extended-properties" xmlns:vt="http://schemas.openxmlformats.org/officeDocument/2006/docPropsVTypes">
  <Template>Normal</Template>
  <TotalTime>0</TotalTime>
  <Pages>24</Pages>
  <Words>6192</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41405</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2026-05-28T16:13:00Z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