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8"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4F994D2F" w:rsidR="007A1448" w:rsidRPr="00DF77C7" w:rsidRDefault="009E6F8C" w:rsidP="006529F3">
      <w:pPr>
        <w:pStyle w:val="PGDTitle2"/>
      </w:pPr>
      <w:r w:rsidRPr="009E6F8C">
        <w:rPr>
          <w:bCs/>
        </w:rPr>
        <w:t xml:space="preserve">Administration of benzylpenicillin injection for the immediate treatment of strongly suspected bacterial meningitis or meningococcal disease before transfer to secondary care in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73C5864A"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CE2DD5">
        <w:rPr>
          <w:rStyle w:val="PGDVersionNumber"/>
        </w:rPr>
        <w:t>1</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788245D" w:rsidR="0041543B" w:rsidRPr="00DF77C7" w:rsidRDefault="00734712" w:rsidP="000B4A6E">
            <w:pPr>
              <w:pStyle w:val="Tabletext"/>
              <w:rPr>
                <w:color w:val="FF0000"/>
                <w:lang w:val="en-GB"/>
              </w:rPr>
            </w:pPr>
            <w:r>
              <w:t>January 2021</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734712" w:rsidRPr="00404E02" w14:paraId="206313DF"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6B9C376C" w14:textId="77777777" w:rsidR="00734712" w:rsidRDefault="00734712" w:rsidP="00734712">
            <w:pPr>
              <w:pStyle w:val="Tabletext"/>
            </w:pPr>
            <w:r>
              <w:t>Version 1.1</w:t>
            </w:r>
          </w:p>
          <w:p w14:paraId="6A6235FE" w14:textId="63070DBD" w:rsidR="00734712" w:rsidRPr="00764857" w:rsidRDefault="00734712" w:rsidP="00734712">
            <w:pPr>
              <w:pStyle w:val="Tabletext"/>
            </w:pPr>
            <w:r>
              <w:t>October 2022</w:t>
            </w:r>
          </w:p>
        </w:tc>
        <w:tc>
          <w:tcPr>
            <w:tcW w:w="7020" w:type="dxa"/>
            <w:tcBorders>
              <w:top w:val="single" w:sz="4" w:space="0" w:color="auto"/>
              <w:left w:val="single" w:sz="4" w:space="0" w:color="auto"/>
              <w:bottom w:val="single" w:sz="4" w:space="0" w:color="auto"/>
              <w:right w:val="single" w:sz="4" w:space="0" w:color="auto"/>
            </w:tcBorders>
          </w:tcPr>
          <w:p w14:paraId="54BE377A" w14:textId="3F0122B0" w:rsidR="00734712" w:rsidRPr="0009531C" w:rsidRDefault="00734712" w:rsidP="00734712">
            <w:pPr>
              <w:pStyle w:val="Tabletext"/>
            </w:pPr>
            <w:r>
              <w:t xml:space="preserve">Expiry extended (with the agreement of the authors) by 1 year (to 3 years in total) pending publication of national guidance.  New expiry of template January 2024.    </w:t>
            </w:r>
          </w:p>
        </w:tc>
      </w:tr>
      <w:tr w:rsidR="00734712" w:rsidRPr="00404E02" w14:paraId="6578FC4A"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99C9221" w14:textId="77777777" w:rsidR="00734712" w:rsidRPr="00781CA0" w:rsidRDefault="00734712" w:rsidP="00734712">
            <w:pPr>
              <w:pStyle w:val="Tabletext"/>
            </w:pPr>
            <w:r w:rsidRPr="00BE3123">
              <w:t>Version 2.0</w:t>
            </w:r>
          </w:p>
          <w:p w14:paraId="30A27549" w14:textId="769ECDCF" w:rsidR="00734712" w:rsidRDefault="00734712" w:rsidP="00734712">
            <w:pPr>
              <w:pStyle w:val="Tabletext"/>
            </w:pPr>
            <w:r w:rsidRPr="00781CA0">
              <w:t>April 2024</w:t>
            </w:r>
          </w:p>
        </w:tc>
        <w:tc>
          <w:tcPr>
            <w:tcW w:w="7020" w:type="dxa"/>
            <w:tcBorders>
              <w:top w:val="single" w:sz="4" w:space="0" w:color="auto"/>
              <w:left w:val="single" w:sz="4" w:space="0" w:color="auto"/>
              <w:bottom w:val="single" w:sz="4" w:space="0" w:color="auto"/>
              <w:right w:val="single" w:sz="4" w:space="0" w:color="auto"/>
            </w:tcBorders>
          </w:tcPr>
          <w:p w14:paraId="637A4A15" w14:textId="454A6586" w:rsidR="00734712" w:rsidRDefault="00734712" w:rsidP="00734712">
            <w:pPr>
              <w:pStyle w:val="Tabletext"/>
            </w:pPr>
            <w:r w:rsidRPr="00734712">
              <w:t>Aligned with updated</w:t>
            </w:r>
            <w:r w:rsidRPr="005724EA">
              <w:rPr>
                <w:rFonts w:cs="Arial"/>
                <w:sz w:val="20"/>
              </w:rPr>
              <w:t xml:space="preserve"> </w:t>
            </w:r>
            <w:hyperlink r:id="rId9" w:history="1">
              <w:r w:rsidRPr="00734712">
                <w:rPr>
                  <w:rStyle w:val="Hyperlink"/>
                </w:rPr>
                <w:t>NICE NG 240 guideline</w:t>
              </w:r>
            </w:hyperlink>
            <w:r w:rsidRPr="005724EA">
              <w:rPr>
                <w:rFonts w:cs="Arial"/>
                <w:sz w:val="20"/>
              </w:rPr>
              <w:t xml:space="preserve"> </w:t>
            </w:r>
            <w:r w:rsidRPr="00734712">
              <w:t xml:space="preserve">(published March 2024) </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 xml:space="preserve">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w:t>
      </w:r>
      <w:r w:rsidR="00813399" w:rsidRPr="00DF77C7">
        <w:rPr>
          <w:highlight w:val="yellow"/>
          <w:lang w:val="en-GB"/>
        </w:rPr>
        <w:lastRenderedPageBreak/>
        <w:t>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734712" w:rsidRPr="00DF77C7" w14:paraId="2D1BCEA8" w14:textId="77777777" w:rsidTr="00043006">
        <w:tc>
          <w:tcPr>
            <w:tcW w:w="3969" w:type="dxa"/>
          </w:tcPr>
          <w:p w14:paraId="68303232" w14:textId="77777777" w:rsidR="00734712" w:rsidRPr="00DF77C7" w:rsidRDefault="00734712" w:rsidP="00734712">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08639D70" w:rsidR="00734712" w:rsidRPr="00DF77C7" w:rsidRDefault="00734712" w:rsidP="00734712">
            <w:pPr>
              <w:pStyle w:val="Tabletext"/>
              <w:rPr>
                <w:lang w:val="en-GB"/>
              </w:rPr>
            </w:pPr>
            <w:r>
              <w:t>1</w:t>
            </w:r>
            <w:r w:rsidRPr="00734712">
              <w:rPr>
                <w:vertAlign w:val="superscript"/>
              </w:rPr>
              <w:t>st</w:t>
            </w:r>
            <w:r>
              <w:t xml:space="preserve"> </w:t>
            </w:r>
            <w:r w:rsidRPr="00512B82">
              <w:t>April 2024</w:t>
            </w:r>
          </w:p>
        </w:tc>
      </w:tr>
      <w:tr w:rsidR="00734712" w:rsidRPr="00DF77C7" w14:paraId="18F33630" w14:textId="77777777" w:rsidTr="00043006">
        <w:tc>
          <w:tcPr>
            <w:tcW w:w="3969" w:type="dxa"/>
          </w:tcPr>
          <w:p w14:paraId="40ECC743" w14:textId="7B74FCBD" w:rsidR="00734712" w:rsidRPr="00DF77C7" w:rsidRDefault="00734712" w:rsidP="00734712">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643ADAC5" w:rsidR="00734712" w:rsidRPr="00DF77C7" w:rsidRDefault="000F5DE8" w:rsidP="00734712">
            <w:pPr>
              <w:pStyle w:val="Tabletext"/>
              <w:rPr>
                <w:lang w:val="en-GB"/>
              </w:rPr>
            </w:pPr>
            <w:r>
              <w:t>1</w:t>
            </w:r>
            <w:r w:rsidRPr="000F5DE8">
              <w:rPr>
                <w:vertAlign w:val="superscript"/>
              </w:rPr>
              <w:t>st</w:t>
            </w:r>
            <w:r>
              <w:t xml:space="preserve"> </w:t>
            </w:r>
            <w:r w:rsidR="00734712" w:rsidRPr="00512B82">
              <w:t>September 2026</w:t>
            </w:r>
          </w:p>
        </w:tc>
      </w:tr>
      <w:tr w:rsidR="00734712" w:rsidRPr="00DF77C7" w14:paraId="0FB80BBA" w14:textId="77777777" w:rsidTr="00043006">
        <w:tc>
          <w:tcPr>
            <w:tcW w:w="3969" w:type="dxa"/>
          </w:tcPr>
          <w:p w14:paraId="45729AD1" w14:textId="77777777" w:rsidR="00734712" w:rsidRPr="00DF77C7" w:rsidRDefault="00734712" w:rsidP="00734712">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09FC9949" w:rsidR="00734712" w:rsidRPr="00DF77C7" w:rsidRDefault="000F5DE8" w:rsidP="00734712">
            <w:pPr>
              <w:pStyle w:val="Tabletext"/>
              <w:rPr>
                <w:lang w:val="en-GB"/>
              </w:rPr>
            </w:pPr>
            <w:r>
              <w:t>31</w:t>
            </w:r>
            <w:r w:rsidRPr="000F5DE8">
              <w:rPr>
                <w:vertAlign w:val="superscript"/>
              </w:rPr>
              <w:t>st</w:t>
            </w:r>
            <w:r>
              <w:t xml:space="preserve"> </w:t>
            </w:r>
            <w:r w:rsidR="00734712" w:rsidRPr="00512B82">
              <w:t>March 2027</w:t>
            </w:r>
          </w:p>
        </w:tc>
      </w:tr>
    </w:tbl>
    <w:p w14:paraId="22A68ADB" w14:textId="77777777" w:rsidR="00050C45" w:rsidRPr="00DF77C7" w:rsidRDefault="00050C45" w:rsidP="00F57606">
      <w:pPr>
        <w:pStyle w:val="Tabletext"/>
      </w:pPr>
    </w:p>
    <w:p w14:paraId="1D88C67E" w14:textId="77777777" w:rsidR="000F5DE8" w:rsidRPr="000F5DE8" w:rsidRDefault="000F5DE8" w:rsidP="000F5DE8">
      <w:pPr>
        <w:pStyle w:val="PGDNormal"/>
      </w:pPr>
      <w:r w:rsidRPr="000F5DE8">
        <w:t xml:space="preserve">This PGD template has been peer reviewed by the Antimicrobial PGDs Short Life Working Group in accordance with their Terms of Reference. </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10"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0F5DE8" w:rsidRPr="00DF77C7" w14:paraId="6D7832C8" w14:textId="77777777" w:rsidTr="00AD3CEC">
        <w:trPr>
          <w:trHeight w:val="544"/>
        </w:trPr>
        <w:tc>
          <w:tcPr>
            <w:tcW w:w="2297" w:type="dxa"/>
          </w:tcPr>
          <w:p w14:paraId="0D33821E" w14:textId="19CE2EE4" w:rsidR="000F5DE8" w:rsidRPr="000F5DE8" w:rsidRDefault="000F5DE8" w:rsidP="000F5DE8">
            <w:pPr>
              <w:pStyle w:val="Tabletext"/>
              <w:rPr>
                <w:rFonts w:eastAsia="Calibri"/>
              </w:rPr>
            </w:pPr>
            <w:r w:rsidRPr="000F5DE8">
              <w:t>Elizabeth Beech</w:t>
            </w:r>
          </w:p>
        </w:tc>
        <w:tc>
          <w:tcPr>
            <w:tcW w:w="6912" w:type="dxa"/>
          </w:tcPr>
          <w:p w14:paraId="0C137020" w14:textId="3BEE5164" w:rsidR="000F5DE8" w:rsidRPr="000F5DE8" w:rsidRDefault="000F5DE8" w:rsidP="000F5DE8">
            <w:pPr>
              <w:pStyle w:val="Tabletext"/>
              <w:rPr>
                <w:rFonts w:eastAsia="Calibri"/>
              </w:rPr>
            </w:pPr>
            <w:r w:rsidRPr="000F5DE8">
              <w:t xml:space="preserve">Regional Antimicrobial Stewardship Lead </w:t>
            </w:r>
            <w:proofErr w:type="gramStart"/>
            <w:r w:rsidRPr="000F5DE8">
              <w:t>South West</w:t>
            </w:r>
            <w:proofErr w:type="gramEnd"/>
            <w:r w:rsidRPr="000F5DE8">
              <w:t xml:space="preserve"> Region - NHS England</w:t>
            </w:r>
          </w:p>
        </w:tc>
      </w:tr>
      <w:tr w:rsidR="000F5DE8" w:rsidRPr="00DF77C7" w14:paraId="15A217EB" w14:textId="77777777" w:rsidTr="00AD3CEC">
        <w:trPr>
          <w:trHeight w:val="539"/>
        </w:trPr>
        <w:tc>
          <w:tcPr>
            <w:tcW w:w="2297" w:type="dxa"/>
          </w:tcPr>
          <w:p w14:paraId="543479AC" w14:textId="01A87F49" w:rsidR="000F5DE8" w:rsidRPr="000F5DE8" w:rsidRDefault="000F5DE8" w:rsidP="000F5DE8">
            <w:pPr>
              <w:pStyle w:val="Tabletext"/>
              <w:rPr>
                <w:rFonts w:eastAsia="Calibri"/>
              </w:rPr>
            </w:pPr>
            <w:r w:rsidRPr="000F5DE8">
              <w:t>Nicholas Brown</w:t>
            </w:r>
          </w:p>
        </w:tc>
        <w:tc>
          <w:tcPr>
            <w:tcW w:w="6912" w:type="dxa"/>
          </w:tcPr>
          <w:p w14:paraId="7C2C9AF1" w14:textId="67608973" w:rsidR="000F5DE8" w:rsidRPr="000F5DE8" w:rsidRDefault="000F5DE8" w:rsidP="000F5DE8">
            <w:pPr>
              <w:pStyle w:val="Tabletext"/>
              <w:rPr>
                <w:rFonts w:eastAsia="Calibri"/>
              </w:rPr>
            </w:pPr>
            <w:r w:rsidRPr="000F5DE8">
              <w:t>Consultant Medical Microbiologist, APRHAI</w:t>
            </w:r>
          </w:p>
        </w:tc>
      </w:tr>
      <w:tr w:rsidR="000F5DE8" w:rsidRPr="00DF77C7" w14:paraId="02D27A9A" w14:textId="77777777" w:rsidTr="00AD3CEC">
        <w:trPr>
          <w:trHeight w:val="411"/>
        </w:trPr>
        <w:tc>
          <w:tcPr>
            <w:tcW w:w="2297" w:type="dxa"/>
          </w:tcPr>
          <w:p w14:paraId="4F4B1DD7" w14:textId="1431C4CA" w:rsidR="000F5DE8" w:rsidRPr="000F5DE8" w:rsidRDefault="000F5DE8" w:rsidP="000F5DE8">
            <w:pPr>
              <w:pStyle w:val="Tabletext"/>
              <w:rPr>
                <w:rFonts w:eastAsia="Calibri"/>
              </w:rPr>
            </w:pPr>
            <w:r w:rsidRPr="000F5DE8">
              <w:t>Silvia Ceci (Working Group Co-</w:t>
            </w:r>
            <w:proofErr w:type="spellStart"/>
            <w:r w:rsidRPr="000F5DE8">
              <w:t>ordinator</w:t>
            </w:r>
            <w:proofErr w:type="spellEnd"/>
            <w:r w:rsidRPr="000F5DE8">
              <w:t>) (V1.0)</w:t>
            </w:r>
          </w:p>
        </w:tc>
        <w:tc>
          <w:tcPr>
            <w:tcW w:w="6912" w:type="dxa"/>
          </w:tcPr>
          <w:p w14:paraId="0FC48FEF" w14:textId="2E2493D2" w:rsidR="000F5DE8" w:rsidRPr="000F5DE8" w:rsidRDefault="000F5DE8" w:rsidP="000F5DE8">
            <w:pPr>
              <w:pStyle w:val="Tabletext"/>
              <w:rPr>
                <w:rFonts w:eastAsia="Calibri"/>
              </w:rPr>
            </w:pPr>
            <w:r w:rsidRPr="000F5DE8">
              <w:t>Chief Pharmaceutical Officer’s Clinical Fellow - Specialist Pharmacy Service</w:t>
            </w:r>
          </w:p>
        </w:tc>
      </w:tr>
      <w:tr w:rsidR="000F5DE8" w:rsidRPr="00DF77C7" w14:paraId="0F383BA1" w14:textId="77777777" w:rsidTr="00AD3CEC">
        <w:trPr>
          <w:trHeight w:val="411"/>
        </w:trPr>
        <w:tc>
          <w:tcPr>
            <w:tcW w:w="2297" w:type="dxa"/>
          </w:tcPr>
          <w:p w14:paraId="7EEF9690" w14:textId="75768597" w:rsidR="000F5DE8" w:rsidRPr="000F5DE8" w:rsidRDefault="000F5DE8" w:rsidP="000F5DE8">
            <w:pPr>
              <w:pStyle w:val="Tabletext"/>
            </w:pPr>
            <w:r w:rsidRPr="000F5DE8">
              <w:t>Nigel Gooding</w:t>
            </w:r>
          </w:p>
        </w:tc>
        <w:tc>
          <w:tcPr>
            <w:tcW w:w="6912" w:type="dxa"/>
          </w:tcPr>
          <w:p w14:paraId="4870173C" w14:textId="34994D0B" w:rsidR="000F5DE8" w:rsidRPr="000F5DE8" w:rsidRDefault="000F5DE8" w:rsidP="000F5DE8">
            <w:pPr>
              <w:pStyle w:val="Tabletext"/>
            </w:pPr>
            <w:r w:rsidRPr="000F5DE8">
              <w:t xml:space="preserve">Consultant Pharmacist – Neonates &amp; </w:t>
            </w:r>
            <w:proofErr w:type="spellStart"/>
            <w:r w:rsidRPr="000F5DE8">
              <w:t>Paediatrics</w:t>
            </w:r>
            <w:proofErr w:type="spellEnd"/>
          </w:p>
        </w:tc>
      </w:tr>
      <w:tr w:rsidR="000F5DE8" w:rsidRPr="00DF77C7" w14:paraId="2441A89E" w14:textId="77777777" w:rsidTr="00AD3CEC">
        <w:trPr>
          <w:trHeight w:val="411"/>
        </w:trPr>
        <w:tc>
          <w:tcPr>
            <w:tcW w:w="2297" w:type="dxa"/>
          </w:tcPr>
          <w:p w14:paraId="7F6ABB2F" w14:textId="0378DBCE" w:rsidR="000F5DE8" w:rsidRPr="000F5DE8" w:rsidRDefault="000F5DE8" w:rsidP="000F5DE8">
            <w:pPr>
              <w:pStyle w:val="Tabletext"/>
            </w:pPr>
            <w:r w:rsidRPr="000F5DE8">
              <w:t>Aoife Hendrick (V1.0)</w:t>
            </w:r>
          </w:p>
        </w:tc>
        <w:tc>
          <w:tcPr>
            <w:tcW w:w="6912" w:type="dxa"/>
          </w:tcPr>
          <w:p w14:paraId="3C9BFAE0" w14:textId="4BF7B70B" w:rsidR="000F5DE8" w:rsidRPr="000F5DE8" w:rsidRDefault="000F5DE8" w:rsidP="000F5DE8">
            <w:pPr>
              <w:pStyle w:val="Tabletext"/>
            </w:pPr>
            <w:r w:rsidRPr="000F5DE8">
              <w:t>Chief Pharmaceutical Officer’s Clinical Fellow, Public Health England</w:t>
            </w:r>
          </w:p>
        </w:tc>
      </w:tr>
      <w:tr w:rsidR="000F5DE8" w:rsidRPr="00DF77C7" w14:paraId="0E576D53" w14:textId="77777777" w:rsidTr="00AD3CEC">
        <w:trPr>
          <w:trHeight w:val="382"/>
        </w:trPr>
        <w:tc>
          <w:tcPr>
            <w:tcW w:w="2297" w:type="dxa"/>
          </w:tcPr>
          <w:p w14:paraId="05EE8281" w14:textId="25BF829B" w:rsidR="000F5DE8" w:rsidRPr="000F5DE8" w:rsidRDefault="000F5DE8" w:rsidP="000F5DE8">
            <w:pPr>
              <w:pStyle w:val="Tabletext"/>
            </w:pPr>
            <w:r w:rsidRPr="000F5DE8">
              <w:t>Wendy Hines</w:t>
            </w:r>
          </w:p>
        </w:tc>
        <w:tc>
          <w:tcPr>
            <w:tcW w:w="6912" w:type="dxa"/>
          </w:tcPr>
          <w:p w14:paraId="2A113ED2" w14:textId="562C5D19" w:rsidR="000F5DE8" w:rsidRPr="000F5DE8" w:rsidRDefault="000F5DE8" w:rsidP="000F5DE8">
            <w:pPr>
              <w:pStyle w:val="Tabletext"/>
            </w:pPr>
            <w:r w:rsidRPr="000F5DE8">
              <w:t>Nurse Clinical Lead, Suffolk GP Federation CIC</w:t>
            </w:r>
          </w:p>
        </w:tc>
      </w:tr>
      <w:tr w:rsidR="000F5DE8" w:rsidRPr="00DF77C7" w14:paraId="06658BE4" w14:textId="77777777" w:rsidTr="00AD3CEC">
        <w:trPr>
          <w:trHeight w:val="451"/>
        </w:trPr>
        <w:tc>
          <w:tcPr>
            <w:tcW w:w="2297" w:type="dxa"/>
          </w:tcPr>
          <w:p w14:paraId="4B09C5EB" w14:textId="333FACAA" w:rsidR="000F5DE8" w:rsidRPr="000F5DE8" w:rsidRDefault="000F5DE8" w:rsidP="000F5DE8">
            <w:pPr>
              <w:pStyle w:val="Tabletext"/>
            </w:pPr>
            <w:r w:rsidRPr="000F5DE8">
              <w:t>Imran Jawaid</w:t>
            </w:r>
          </w:p>
        </w:tc>
        <w:tc>
          <w:tcPr>
            <w:tcW w:w="6912" w:type="dxa"/>
          </w:tcPr>
          <w:p w14:paraId="50FAAE1F" w14:textId="3C86E4CE" w:rsidR="000F5DE8" w:rsidRPr="000F5DE8" w:rsidRDefault="000F5DE8" w:rsidP="000F5DE8">
            <w:pPr>
              <w:pStyle w:val="Tabletext"/>
            </w:pPr>
            <w:r w:rsidRPr="000F5DE8">
              <w:t>GP, Royal College of General Practitioners</w:t>
            </w:r>
          </w:p>
        </w:tc>
      </w:tr>
      <w:tr w:rsidR="000F5DE8" w:rsidRPr="00DF77C7" w14:paraId="3803C8B9" w14:textId="77777777" w:rsidTr="00AD3CEC">
        <w:trPr>
          <w:trHeight w:val="415"/>
        </w:trPr>
        <w:tc>
          <w:tcPr>
            <w:tcW w:w="2297" w:type="dxa"/>
          </w:tcPr>
          <w:p w14:paraId="00B466E6" w14:textId="2E8766AD" w:rsidR="000F5DE8" w:rsidRPr="000F5DE8" w:rsidRDefault="000F5DE8" w:rsidP="000F5DE8">
            <w:pPr>
              <w:pStyle w:val="Tabletext"/>
            </w:pPr>
            <w:r w:rsidRPr="000F5DE8">
              <w:t>Jo Jenkins</w:t>
            </w:r>
          </w:p>
        </w:tc>
        <w:tc>
          <w:tcPr>
            <w:tcW w:w="6912" w:type="dxa"/>
          </w:tcPr>
          <w:p w14:paraId="52BB571F" w14:textId="52BCAFEB" w:rsidR="000F5DE8" w:rsidRPr="000F5DE8" w:rsidRDefault="000F5DE8" w:rsidP="000F5DE8">
            <w:pPr>
              <w:pStyle w:val="Tabletext"/>
            </w:pPr>
            <w:r w:rsidRPr="000F5DE8">
              <w:t>Lead Pharmacist Patient Group Directions and Medicines Mechanisms, Specialist Pharmacy Service</w:t>
            </w:r>
          </w:p>
        </w:tc>
      </w:tr>
      <w:tr w:rsidR="000F5DE8" w:rsidRPr="00DF77C7" w14:paraId="2099D9F1" w14:textId="77777777" w:rsidTr="00AD3CEC">
        <w:trPr>
          <w:trHeight w:val="265"/>
        </w:trPr>
        <w:tc>
          <w:tcPr>
            <w:tcW w:w="2297" w:type="dxa"/>
          </w:tcPr>
          <w:p w14:paraId="784A3A8D" w14:textId="73EAABF5" w:rsidR="000F5DE8" w:rsidRPr="000F5DE8" w:rsidRDefault="000F5DE8" w:rsidP="000F5DE8">
            <w:pPr>
              <w:pStyle w:val="Tabletext"/>
            </w:pPr>
            <w:r w:rsidRPr="000F5DE8">
              <w:t>Jackie Lamberty</w:t>
            </w:r>
          </w:p>
        </w:tc>
        <w:tc>
          <w:tcPr>
            <w:tcW w:w="6912" w:type="dxa"/>
          </w:tcPr>
          <w:p w14:paraId="0B5D7B8A" w14:textId="33779BE7" w:rsidR="000F5DE8" w:rsidRPr="000F5DE8" w:rsidRDefault="000F5DE8" w:rsidP="000F5DE8">
            <w:pPr>
              <w:pStyle w:val="Tabletext"/>
            </w:pPr>
            <w:r w:rsidRPr="000F5DE8">
              <w:t>Medicines Governance Consultant Lead Pharmacist, UKHSA</w:t>
            </w:r>
          </w:p>
        </w:tc>
      </w:tr>
      <w:tr w:rsidR="000F5DE8" w:rsidRPr="00DF77C7" w14:paraId="4C01E258" w14:textId="77777777" w:rsidTr="00AD3CEC">
        <w:trPr>
          <w:trHeight w:val="396"/>
        </w:trPr>
        <w:tc>
          <w:tcPr>
            <w:tcW w:w="2297" w:type="dxa"/>
          </w:tcPr>
          <w:p w14:paraId="494AA640" w14:textId="5F9E1259" w:rsidR="000F5DE8" w:rsidRPr="000F5DE8" w:rsidRDefault="000F5DE8" w:rsidP="000F5DE8">
            <w:pPr>
              <w:pStyle w:val="Tabletext"/>
              <w:rPr>
                <w:rFonts w:eastAsia="Calibri"/>
              </w:rPr>
            </w:pPr>
            <w:r w:rsidRPr="000F5DE8">
              <w:t>Ai-Nee Lim</w:t>
            </w:r>
          </w:p>
        </w:tc>
        <w:tc>
          <w:tcPr>
            <w:tcW w:w="6912" w:type="dxa"/>
          </w:tcPr>
          <w:p w14:paraId="4FD8CBD4" w14:textId="0F58AAE7" w:rsidR="000F5DE8" w:rsidRPr="000F5DE8" w:rsidRDefault="000F5DE8" w:rsidP="000F5DE8">
            <w:pPr>
              <w:pStyle w:val="Tabletext"/>
              <w:rPr>
                <w:rFonts w:eastAsia="Calibri"/>
              </w:rPr>
            </w:pPr>
            <w:r w:rsidRPr="000F5DE8">
              <w:t>Consultant Antimicrobial Pharmacist</w:t>
            </w:r>
          </w:p>
        </w:tc>
      </w:tr>
      <w:tr w:rsidR="000F5DE8" w:rsidRPr="0023356D" w14:paraId="69FDDB9F" w14:textId="77777777" w:rsidTr="00AD3CEC">
        <w:trPr>
          <w:trHeight w:val="275"/>
        </w:trPr>
        <w:tc>
          <w:tcPr>
            <w:tcW w:w="2297" w:type="dxa"/>
          </w:tcPr>
          <w:p w14:paraId="7F553184" w14:textId="5C435AE7" w:rsidR="000F5DE8" w:rsidRPr="000F5DE8" w:rsidRDefault="000F5DE8" w:rsidP="000F5DE8">
            <w:pPr>
              <w:pStyle w:val="Tabletext"/>
              <w:rPr>
                <w:rFonts w:eastAsia="Calibri"/>
              </w:rPr>
            </w:pPr>
            <w:r w:rsidRPr="000F5DE8">
              <w:t xml:space="preserve">Louise Picton </w:t>
            </w:r>
          </w:p>
        </w:tc>
        <w:tc>
          <w:tcPr>
            <w:tcW w:w="6912" w:type="dxa"/>
          </w:tcPr>
          <w:p w14:paraId="02599635" w14:textId="578B2777" w:rsidR="000F5DE8" w:rsidRPr="000F5DE8" w:rsidRDefault="000F5DE8" w:rsidP="000F5DE8">
            <w:pPr>
              <w:pStyle w:val="Tabletext"/>
              <w:rPr>
                <w:rFonts w:eastAsia="Calibri"/>
              </w:rPr>
            </w:pPr>
            <w:r w:rsidRPr="000F5DE8">
              <w:t>Senior Medicines Adviser, NICE</w:t>
            </w:r>
          </w:p>
        </w:tc>
      </w:tr>
      <w:tr w:rsidR="000F5DE8" w:rsidRPr="0023356D" w14:paraId="07D53C32" w14:textId="77777777" w:rsidTr="00AD3CEC">
        <w:trPr>
          <w:trHeight w:val="275"/>
        </w:trPr>
        <w:tc>
          <w:tcPr>
            <w:tcW w:w="2297" w:type="dxa"/>
          </w:tcPr>
          <w:p w14:paraId="281D2389" w14:textId="17A2AF07" w:rsidR="000F5DE8" w:rsidRPr="000F5DE8" w:rsidRDefault="000F5DE8" w:rsidP="000F5DE8">
            <w:pPr>
              <w:pStyle w:val="Tabletext"/>
            </w:pPr>
            <w:r w:rsidRPr="000F5DE8">
              <w:t>Heather Randle</w:t>
            </w:r>
          </w:p>
        </w:tc>
        <w:tc>
          <w:tcPr>
            <w:tcW w:w="6912" w:type="dxa"/>
          </w:tcPr>
          <w:p w14:paraId="00E90E46" w14:textId="37017B64" w:rsidR="000F5DE8" w:rsidRPr="000F5DE8" w:rsidRDefault="000F5DE8" w:rsidP="000F5DE8">
            <w:pPr>
              <w:pStyle w:val="Tabletext"/>
            </w:pPr>
            <w:r w:rsidRPr="000F5DE8">
              <w:t>Professional Lead for Education, Royal College of Nursing</w:t>
            </w:r>
          </w:p>
        </w:tc>
      </w:tr>
      <w:tr w:rsidR="000F5DE8" w:rsidRPr="00094B2C" w14:paraId="451E31FE" w14:textId="77777777" w:rsidTr="00AD3CEC">
        <w:trPr>
          <w:trHeight w:val="411"/>
        </w:trPr>
        <w:tc>
          <w:tcPr>
            <w:tcW w:w="2297" w:type="dxa"/>
          </w:tcPr>
          <w:p w14:paraId="33AF1808" w14:textId="21E14053" w:rsidR="000F5DE8" w:rsidRPr="000F5DE8" w:rsidRDefault="000F5DE8" w:rsidP="000F5DE8">
            <w:pPr>
              <w:pStyle w:val="Tabletext"/>
            </w:pPr>
            <w:r w:rsidRPr="000F5DE8">
              <w:t>David Rovardi</w:t>
            </w:r>
          </w:p>
        </w:tc>
        <w:tc>
          <w:tcPr>
            <w:tcW w:w="6912" w:type="dxa"/>
          </w:tcPr>
          <w:p w14:paraId="5F39BD40" w14:textId="54744A95" w:rsidR="000F5DE8" w:rsidRPr="000F5DE8" w:rsidRDefault="000F5DE8" w:rsidP="000F5DE8">
            <w:pPr>
              <w:pStyle w:val="Tabletext"/>
            </w:pPr>
            <w:r w:rsidRPr="000F5DE8">
              <w:t>Specialist Medicines Advisor, College of Paramedics</w:t>
            </w:r>
          </w:p>
        </w:tc>
      </w:tr>
      <w:tr w:rsidR="000F5DE8" w:rsidRPr="00094B2C" w14:paraId="1C55D46F" w14:textId="77777777" w:rsidTr="00AD3CEC">
        <w:trPr>
          <w:trHeight w:val="411"/>
        </w:trPr>
        <w:tc>
          <w:tcPr>
            <w:tcW w:w="2297" w:type="dxa"/>
          </w:tcPr>
          <w:p w14:paraId="3BA7B094" w14:textId="6FB1B4F4" w:rsidR="000F5DE8" w:rsidRPr="000F5DE8" w:rsidRDefault="000F5DE8" w:rsidP="000F5DE8">
            <w:pPr>
              <w:pStyle w:val="Tabletext"/>
            </w:pPr>
            <w:r w:rsidRPr="000F5DE8">
              <w:t>(Philippa) Anna Stilwell (V1.0)</w:t>
            </w:r>
          </w:p>
        </w:tc>
        <w:tc>
          <w:tcPr>
            <w:tcW w:w="6912" w:type="dxa"/>
          </w:tcPr>
          <w:p w14:paraId="2B2DEFD0" w14:textId="0F77DB39" w:rsidR="000F5DE8" w:rsidRPr="000F5DE8" w:rsidRDefault="000F5DE8" w:rsidP="000F5DE8">
            <w:pPr>
              <w:pStyle w:val="Tabletext"/>
            </w:pPr>
            <w:proofErr w:type="spellStart"/>
            <w:r w:rsidRPr="000F5DE8">
              <w:t>Paediatric</w:t>
            </w:r>
            <w:proofErr w:type="spellEnd"/>
            <w:r w:rsidRPr="000F5DE8">
              <w:t xml:space="preserve"> registrar and National Medical Director's Clinical Fellow, Children and Young People, NHS England and NHS Improvement</w:t>
            </w:r>
          </w:p>
        </w:tc>
      </w:tr>
      <w:tr w:rsidR="000F5DE8" w:rsidRPr="00094B2C" w14:paraId="644DBD99" w14:textId="77777777" w:rsidTr="00AD3CEC">
        <w:trPr>
          <w:trHeight w:val="411"/>
        </w:trPr>
        <w:tc>
          <w:tcPr>
            <w:tcW w:w="2297" w:type="dxa"/>
          </w:tcPr>
          <w:p w14:paraId="0A26C0A7" w14:textId="0421C073" w:rsidR="000F5DE8" w:rsidRPr="000F5DE8" w:rsidRDefault="000F5DE8" w:rsidP="000F5DE8">
            <w:pPr>
              <w:pStyle w:val="Tabletext"/>
            </w:pPr>
            <w:r w:rsidRPr="000F5DE8">
              <w:t>Kieran Reynolds (Working Group Co-</w:t>
            </w:r>
            <w:proofErr w:type="spellStart"/>
            <w:r w:rsidRPr="000F5DE8">
              <w:t>ordinator</w:t>
            </w:r>
            <w:proofErr w:type="spellEnd"/>
            <w:r w:rsidRPr="000F5DE8">
              <w:t>) (V2.0)</w:t>
            </w:r>
          </w:p>
        </w:tc>
        <w:tc>
          <w:tcPr>
            <w:tcW w:w="6912" w:type="dxa"/>
          </w:tcPr>
          <w:p w14:paraId="0BB971C1" w14:textId="1DE0ABBC" w:rsidR="000F5DE8" w:rsidRPr="000F5DE8" w:rsidRDefault="000F5DE8" w:rsidP="000F5DE8">
            <w:pPr>
              <w:pStyle w:val="Tabletext"/>
            </w:pPr>
            <w:r w:rsidRPr="000F5DE8">
              <w:t>Specialist Pharmacist – Medicines Governance, Medicines Use and Safety Division, Specialist Pharmacy Service</w:t>
            </w:r>
          </w:p>
        </w:tc>
      </w:tr>
      <w:tr w:rsidR="000F5DE8" w:rsidRPr="00094B2C" w14:paraId="31A8BD85" w14:textId="77777777" w:rsidTr="00AD3CEC">
        <w:trPr>
          <w:trHeight w:val="411"/>
        </w:trPr>
        <w:tc>
          <w:tcPr>
            <w:tcW w:w="2297" w:type="dxa"/>
          </w:tcPr>
          <w:p w14:paraId="2664CEB7" w14:textId="4F29085D" w:rsidR="000F5DE8" w:rsidRPr="000F5DE8" w:rsidRDefault="000F5DE8" w:rsidP="000F5DE8">
            <w:pPr>
              <w:pStyle w:val="Tabletext"/>
            </w:pPr>
            <w:r w:rsidRPr="000F5DE8">
              <w:lastRenderedPageBreak/>
              <w:t>Cheryl Pace (V2.0)</w:t>
            </w:r>
          </w:p>
        </w:tc>
        <w:tc>
          <w:tcPr>
            <w:tcW w:w="6912" w:type="dxa"/>
          </w:tcPr>
          <w:p w14:paraId="045AFD01" w14:textId="7432B30C" w:rsidR="000F5DE8" w:rsidRPr="000F5DE8" w:rsidRDefault="000F5DE8" w:rsidP="000F5DE8">
            <w:pPr>
              <w:pStyle w:val="Tabletext"/>
            </w:pPr>
            <w:r w:rsidRPr="000F5DE8">
              <w:t>Medicines Adviser, NICE</w:t>
            </w:r>
          </w:p>
        </w:tc>
      </w:tr>
    </w:tbl>
    <w:p w14:paraId="13458200" w14:textId="77777777" w:rsidR="000F5DE8" w:rsidRDefault="000F5DE8" w:rsidP="008762B8">
      <w:pPr>
        <w:pStyle w:val="PGDNormal"/>
        <w:rPr>
          <w:highlight w:val="yellow"/>
          <w:lang w:val="en-GB"/>
        </w:rPr>
      </w:pPr>
    </w:p>
    <w:p w14:paraId="10A8B552" w14:textId="01F4469C"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1"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10;"/>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465EC" w:rsidRPr="00E7585B" w14:paraId="109AB46D" w14:textId="77777777" w:rsidTr="00A32FA7">
        <w:tc>
          <w:tcPr>
            <w:tcW w:w="3133" w:type="dxa"/>
            <w:tcBorders>
              <w:top w:val="single" w:sz="4" w:space="0" w:color="auto"/>
              <w:left w:val="single" w:sz="4" w:space="0" w:color="auto"/>
              <w:bottom w:val="single" w:sz="4" w:space="0" w:color="auto"/>
              <w:right w:val="single" w:sz="4" w:space="0" w:color="auto"/>
            </w:tcBorders>
          </w:tcPr>
          <w:p w14:paraId="6DC56A09" w14:textId="74BE9D65" w:rsidR="008465EC" w:rsidRPr="00E7585B" w:rsidRDefault="008465EC"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4981DA93" w14:textId="77777777" w:rsidR="008465EC" w:rsidRPr="00E7585B" w:rsidRDefault="008465EC"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15AB0442" w14:textId="77777777" w:rsidR="008465EC" w:rsidRPr="00E7585B" w:rsidRDefault="008465EC"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CCF1D0F" w14:textId="77777777" w:rsidR="008465EC" w:rsidRPr="00E7585B" w:rsidRDefault="008465EC"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2"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3"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42BDC22E" w14:textId="46C90651" w:rsidR="000F5DE8" w:rsidRPr="00930B9F" w:rsidRDefault="000F5DE8" w:rsidP="000F5DE8">
            <w:pPr>
              <w:pStyle w:val="Bulletindent1"/>
            </w:pPr>
            <w:r>
              <w:t>U</w:t>
            </w:r>
            <w:r w:rsidRPr="00930B9F">
              <w:t>ndertaken appropriate education and training and successfully completed the competencies to undertake clinical assessment of patient leading to diagnosis of the conditions listed</w:t>
            </w:r>
            <w:r>
              <w:t xml:space="preserve"> in this PGD</w:t>
            </w:r>
            <w:r w:rsidRPr="00930B9F">
              <w:t xml:space="preserve"> in accordance with local policy. </w:t>
            </w:r>
          </w:p>
          <w:p w14:paraId="5CAE04A1" w14:textId="0AE10E0B" w:rsidR="00E015AA" w:rsidRDefault="000F5DE8" w:rsidP="00E015AA">
            <w:pPr>
              <w:pStyle w:val="Bulletindent1"/>
            </w:pPr>
            <w:r w:rsidRPr="00E015AA">
              <w:rPr>
                <w:highlight w:val="cyan"/>
              </w:rPr>
              <w:t xml:space="preserve">[The healthcare professional has completed locally required training (including updates) in </w:t>
            </w:r>
            <w:r>
              <w:rPr>
                <w:highlight w:val="cyan"/>
              </w:rPr>
              <w:t xml:space="preserve">safeguarding </w:t>
            </w:r>
            <w:r w:rsidRPr="00E015AA">
              <w:rPr>
                <w:highlight w:val="cyan"/>
              </w:rPr>
              <w:t>vulnerable adult</w:t>
            </w:r>
            <w:r>
              <w:rPr>
                <w:highlight w:val="cyan"/>
              </w:rPr>
              <w:t>s and children.</w:t>
            </w:r>
            <w:r>
              <w:t>]</w:t>
            </w:r>
          </w:p>
          <w:p w14:paraId="7B6F885C" w14:textId="639981AD" w:rsidR="000F5DE8" w:rsidRPr="00E015AA" w:rsidRDefault="000F5DE8" w:rsidP="00E015AA">
            <w:pPr>
              <w:pStyle w:val="Bulletindent1"/>
            </w:pPr>
            <w:r>
              <w:t>C</w:t>
            </w:r>
            <w:r w:rsidRPr="000F5DE8">
              <w:t>ompleted relevant local infection prevention and control and antimicrobial stewardship training.</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14"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518173F7" w:rsidR="00B81529" w:rsidRPr="00E015AA" w:rsidRDefault="000F5DE8" w:rsidP="00E015AA">
            <w:pPr>
              <w:pStyle w:val="Bulletindent1"/>
            </w:pPr>
            <w:r w:rsidRPr="000F5DE8">
              <w:t>The healthcare professional has undergone regular updating in basic life support and treatment of anaphylaxis.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t>Competency assessment</w:t>
            </w:r>
          </w:p>
        </w:tc>
        <w:tc>
          <w:tcPr>
            <w:tcW w:w="3475" w:type="pct"/>
            <w:tcBorders>
              <w:top w:val="single" w:sz="4" w:space="0" w:color="auto"/>
              <w:left w:val="single" w:sz="4" w:space="0" w:color="auto"/>
              <w:bottom w:val="single" w:sz="4" w:space="0" w:color="auto"/>
              <w:right w:val="single" w:sz="4" w:space="0" w:color="auto"/>
            </w:tcBorders>
          </w:tcPr>
          <w:p w14:paraId="7FE23584" w14:textId="47CECE75" w:rsidR="000F5DE8" w:rsidRPr="000F5DE8" w:rsidRDefault="00E015AA" w:rsidP="001120EC">
            <w:pPr>
              <w:pStyle w:val="Bulletindent1"/>
              <w:rPr>
                <w:lang w:val="en-US"/>
              </w:rPr>
            </w:pPr>
            <w:r w:rsidRPr="00E015AA">
              <w:t xml:space="preserve">Individuals operating under this PGD must be assessed as competent or complete a self-declaration of </w:t>
            </w:r>
            <w:r w:rsidR="000F5DE8" w:rsidRPr="00E015AA">
              <w:t xml:space="preserve">competence </w:t>
            </w:r>
            <w:r w:rsidR="000F5DE8" w:rsidRPr="000F5DE8">
              <w:t>for</w:t>
            </w:r>
            <w:r w:rsidR="000F5DE8" w:rsidRPr="000F5DE8">
              <w:rPr>
                <w:lang w:val="en-US"/>
              </w:rPr>
              <w:t xml:space="preserve"> the recognition and management of bacterial meningitis and meningococcal disease.</w:t>
            </w:r>
          </w:p>
          <w:p w14:paraId="28C5483B" w14:textId="242BF800" w:rsidR="00E015AA" w:rsidRDefault="00E015AA" w:rsidP="000F5DE8">
            <w:pPr>
              <w:pStyle w:val="Bulletindent1"/>
              <w:numPr>
                <w:ilvl w:val="0"/>
                <w:numId w:val="0"/>
              </w:numPr>
              <w:ind w:left="360"/>
            </w:pPr>
            <w:r>
              <w:t>[</w:t>
            </w:r>
            <w:r w:rsidRPr="00E015AA">
              <w:t>(</w:t>
            </w:r>
            <w:r w:rsidRPr="00E015AA">
              <w:rPr>
                <w:highlight w:val="cyan"/>
              </w:rPr>
              <w:t>see an example authorisation record sheet in Appendix A).</w:t>
            </w:r>
            <w:r>
              <w:t>]</w:t>
            </w:r>
          </w:p>
          <w:p w14:paraId="1C56C556" w14:textId="7B446B08" w:rsidR="001120EC" w:rsidRPr="00930B9F" w:rsidRDefault="001120EC" w:rsidP="001120EC">
            <w:pPr>
              <w:pStyle w:val="Bulletindent1"/>
              <w:rPr>
                <w:lang w:val="en-US"/>
              </w:rPr>
            </w:pPr>
            <w:r w:rsidRPr="00930B9F">
              <w:rPr>
                <w:lang w:val="en-US"/>
              </w:rPr>
              <w:t xml:space="preserve">Individuals operating under this PGD should be aware of the </w:t>
            </w:r>
            <w:hyperlink r:id="rId15" w:history="1">
              <w:r>
                <w:rPr>
                  <w:rStyle w:val="Hyperlink"/>
                  <w:lang w:val="en-US"/>
                </w:rPr>
                <w:t>UKHSA guidance for public health management of meningococcal disease in the UK.</w:t>
              </w:r>
            </w:hyperlink>
            <w:r w:rsidRPr="00930B9F">
              <w:rPr>
                <w:lang w:val="en-US"/>
              </w:rPr>
              <w:t xml:space="preserve"> </w:t>
            </w:r>
          </w:p>
          <w:p w14:paraId="798F7DC4" w14:textId="77777777" w:rsidR="001120EC" w:rsidRDefault="001120EC" w:rsidP="001120EC">
            <w:pPr>
              <w:pStyle w:val="Bulletindent1"/>
              <w:rPr>
                <w:rStyle w:val="Hyperlink"/>
              </w:rPr>
            </w:pPr>
            <w:r>
              <w:t>Registered HCPs</w:t>
            </w:r>
            <w:r w:rsidRPr="00DF77C7">
              <w:t xml:space="preserve"> operating under this PGD are encouraged to review their competency using the</w:t>
            </w:r>
            <w:hyperlink r:id="rId16" w:history="1">
              <w:r w:rsidRPr="00F6120B">
                <w:rPr>
                  <w:rStyle w:val="Hyperlink"/>
                </w:rPr>
                <w:t xml:space="preserve"> </w:t>
              </w:r>
              <w:r w:rsidRPr="00F6120B">
                <w:rPr>
                  <w:rStyle w:val="Hyperlink"/>
                </w:rPr>
                <w:lastRenderedPageBreak/>
                <w:t>NICE Competency Framework for health professionals using patient group directions</w:t>
              </w:r>
            </w:hyperlink>
            <w:r w:rsidRPr="00F6120B">
              <w:rPr>
                <w:rStyle w:val="Hyperlink"/>
              </w:rPr>
              <w:t xml:space="preserve"> </w:t>
            </w:r>
          </w:p>
          <w:p w14:paraId="5719D930" w14:textId="51A07AEF" w:rsidR="00B81529" w:rsidRPr="00A258A7" w:rsidRDefault="001120EC" w:rsidP="00A258A7">
            <w:pPr>
              <w:pStyle w:val="Bulletindent1"/>
            </w:pPr>
            <w:r w:rsidRPr="001120EC">
              <w:rPr>
                <w:lang w:val="en-US"/>
              </w:rPr>
              <w:t xml:space="preserve">Staff operating under this PGD should follow their own risk assessments if they have allergies or sensitivities to any of the treatments included in the PGD.   </w:t>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7D2C1803" w14:textId="77777777" w:rsidR="00A258A7" w:rsidRPr="00A258A7" w:rsidRDefault="00A258A7" w:rsidP="00C12E8F">
            <w:pPr>
              <w:pStyle w:val="Bulletindent1"/>
              <w:numPr>
                <w:ilvl w:val="0"/>
                <w:numId w:val="40"/>
              </w:numPr>
            </w:pPr>
            <w:r w:rsidRPr="00A258A7">
              <w:t>Immediate treatment of</w:t>
            </w:r>
            <w:r w:rsidRPr="00A258A7">
              <w:rPr>
                <w:b/>
                <w:bCs/>
              </w:rPr>
              <w:t xml:space="preserve"> strongly suspected </w:t>
            </w:r>
            <w:r w:rsidRPr="00A258A7">
              <w:t>bacterial meningitis</w:t>
            </w:r>
            <w:r w:rsidRPr="00A258A7">
              <w:rPr>
                <w:b/>
                <w:bCs/>
              </w:rPr>
              <w:t xml:space="preserve">, if there is likely to be a clinically significant delay </w:t>
            </w:r>
            <w:r w:rsidRPr="00A258A7">
              <w:t>in transfer to hospital</w:t>
            </w:r>
          </w:p>
          <w:p w14:paraId="2ABCF57F" w14:textId="77777777" w:rsidR="00A258A7" w:rsidRPr="00A258A7" w:rsidRDefault="00A258A7" w:rsidP="00C12E8F">
            <w:pPr>
              <w:pStyle w:val="Bulletindent1"/>
              <w:numPr>
                <w:ilvl w:val="0"/>
                <w:numId w:val="0"/>
              </w:numPr>
              <w:ind w:left="1080"/>
              <w:rPr>
                <w:b/>
                <w:bCs/>
              </w:rPr>
            </w:pPr>
            <w:r w:rsidRPr="00A258A7">
              <w:rPr>
                <w:b/>
                <w:bCs/>
              </w:rPr>
              <w:t>OR</w:t>
            </w:r>
          </w:p>
          <w:p w14:paraId="07F7EA33" w14:textId="77777777" w:rsidR="00A258A7" w:rsidRPr="00A258A7" w:rsidRDefault="00A258A7" w:rsidP="00C12E8F">
            <w:pPr>
              <w:pStyle w:val="Bulletindent1"/>
              <w:numPr>
                <w:ilvl w:val="0"/>
                <w:numId w:val="40"/>
              </w:numPr>
              <w:rPr>
                <w:b/>
                <w:bCs/>
              </w:rPr>
            </w:pPr>
            <w:r w:rsidRPr="00A258A7">
              <w:t>Immediate treatment of</w:t>
            </w:r>
            <w:r w:rsidRPr="00A258A7">
              <w:rPr>
                <w:b/>
                <w:bCs/>
              </w:rPr>
              <w:t xml:space="preserve"> strongly suspected </w:t>
            </w:r>
            <w:r w:rsidRPr="00A258A7">
              <w:t>meningococcal disease (meningococcal sepsis with or without meningococcal meningitis</w:t>
            </w:r>
            <w:r w:rsidRPr="00A258A7">
              <w:rPr>
                <w:b/>
                <w:bCs/>
              </w:rPr>
              <w:t xml:space="preserve">) as soon as possible </w:t>
            </w:r>
            <w:r w:rsidRPr="00A258A7">
              <w:t>outside of hospital</w:t>
            </w:r>
          </w:p>
          <w:p w14:paraId="7B307086" w14:textId="77777777" w:rsidR="00A258A7" w:rsidRDefault="00A258A7" w:rsidP="00A258A7">
            <w:pPr>
              <w:pStyle w:val="Tabletext"/>
              <w:rPr>
                <w:b/>
                <w:iCs/>
                <w:lang w:val="en-GB"/>
              </w:rPr>
            </w:pPr>
          </w:p>
          <w:p w14:paraId="55B8CC3C" w14:textId="740EE9E8" w:rsidR="00A258A7" w:rsidRPr="00A258A7" w:rsidRDefault="00A258A7" w:rsidP="00A258A7">
            <w:pPr>
              <w:pStyle w:val="Tabletext"/>
              <w:rPr>
                <w:b/>
                <w:iCs/>
                <w:lang w:val="en-GB"/>
              </w:rPr>
            </w:pPr>
            <w:r w:rsidRPr="00A258A7">
              <w:rPr>
                <w:b/>
                <w:iCs/>
                <w:lang w:val="en-GB"/>
              </w:rPr>
              <w:t xml:space="preserve">Before treatment, call ‘999’ for ambulance for urgent transfer to secondary care for all individuals. Inform the hospital that an individual with strongly suspected bacterial meningitis or strongly suspected meningococcal disease is being transferred and will need assessment by a senior clinical decision maker. </w:t>
            </w:r>
          </w:p>
          <w:p w14:paraId="2D7FEC85" w14:textId="77777777" w:rsidR="00A258A7" w:rsidRPr="00A258A7" w:rsidRDefault="00A258A7" w:rsidP="00A258A7">
            <w:pPr>
              <w:pStyle w:val="Tabletext"/>
              <w:rPr>
                <w:b/>
                <w:iCs/>
                <w:lang w:val="en-GB"/>
              </w:rPr>
            </w:pPr>
          </w:p>
          <w:p w14:paraId="1FA1722D" w14:textId="77777777" w:rsidR="00A258A7" w:rsidRPr="00A258A7" w:rsidRDefault="00A258A7" w:rsidP="00A258A7">
            <w:pPr>
              <w:pStyle w:val="Tabletext"/>
              <w:rPr>
                <w:b/>
                <w:iCs/>
                <w:lang w:val="en-GB"/>
              </w:rPr>
            </w:pPr>
            <w:r w:rsidRPr="00A258A7">
              <w:rPr>
                <w:b/>
                <w:iCs/>
                <w:lang w:val="en-GB"/>
              </w:rPr>
              <w:t>Where administration of benzylpenicillin is indicated (see above):</w:t>
            </w:r>
          </w:p>
          <w:p w14:paraId="0FA5E33F" w14:textId="77777777" w:rsidR="00A258A7" w:rsidRPr="00A258A7" w:rsidRDefault="00A258A7" w:rsidP="00A258A7">
            <w:pPr>
              <w:pStyle w:val="Tabletext"/>
              <w:rPr>
                <w:b/>
                <w:iCs/>
                <w:lang w:val="en-GB"/>
              </w:rPr>
            </w:pPr>
          </w:p>
          <w:p w14:paraId="6A0B9285" w14:textId="77777777" w:rsidR="00A258A7" w:rsidRPr="00A258A7" w:rsidRDefault="00A258A7" w:rsidP="00A258A7">
            <w:pPr>
              <w:pStyle w:val="Tabletext"/>
              <w:rPr>
                <w:b/>
                <w:iCs/>
                <w:lang w:val="en-GB"/>
              </w:rPr>
            </w:pPr>
            <w:r w:rsidRPr="00A258A7">
              <w:rPr>
                <w:b/>
                <w:iCs/>
                <w:lang w:val="en-GB"/>
              </w:rPr>
              <w:t>Administration must not delay transfer to hospital – antibiotic to be given only if there is time before transfer.</w:t>
            </w:r>
          </w:p>
          <w:p w14:paraId="5900DFB7" w14:textId="77777777" w:rsidR="00A258A7" w:rsidRPr="00A258A7" w:rsidRDefault="00A258A7" w:rsidP="00A258A7">
            <w:pPr>
              <w:pStyle w:val="Tabletext"/>
              <w:rPr>
                <w:b/>
                <w:iCs/>
                <w:lang w:val="en-GB"/>
              </w:rPr>
            </w:pPr>
          </w:p>
          <w:p w14:paraId="119362CC" w14:textId="77777777" w:rsidR="00A258A7" w:rsidRPr="00A258A7" w:rsidRDefault="00A258A7" w:rsidP="00A258A7">
            <w:pPr>
              <w:pStyle w:val="Tabletext"/>
              <w:rPr>
                <w:b/>
                <w:iCs/>
                <w:lang w:val="en-GB"/>
              </w:rPr>
            </w:pPr>
            <w:r w:rsidRPr="00A258A7">
              <w:rPr>
                <w:b/>
                <w:iCs/>
                <w:lang w:val="en-GB"/>
              </w:rPr>
              <w:t xml:space="preserve">For ambulance staff: </w:t>
            </w:r>
          </w:p>
          <w:p w14:paraId="5E41F47D" w14:textId="77777777" w:rsidR="00A258A7" w:rsidRPr="00A258A7" w:rsidRDefault="00A258A7" w:rsidP="00C12E8F">
            <w:pPr>
              <w:pStyle w:val="Bulletindent1"/>
              <w:numPr>
                <w:ilvl w:val="0"/>
                <w:numId w:val="41"/>
              </w:numPr>
            </w:pPr>
            <w:r w:rsidRPr="00A258A7">
              <w:t xml:space="preserve">If </w:t>
            </w:r>
            <w:r w:rsidRPr="00A258A7">
              <w:rPr>
                <w:b/>
              </w:rPr>
              <w:t>strongly suspected</w:t>
            </w:r>
            <w:r w:rsidRPr="00A258A7">
              <w:t xml:space="preserve"> bacterial meningitis, only administer on route to hospital if the dose has not already been administered </w:t>
            </w:r>
            <w:r w:rsidRPr="00A258A7">
              <w:rPr>
                <w:b/>
              </w:rPr>
              <w:t>and</w:t>
            </w:r>
            <w:r w:rsidRPr="00A258A7">
              <w:t xml:space="preserve"> there is </w:t>
            </w:r>
            <w:r w:rsidRPr="00A258A7">
              <w:rPr>
                <w:b/>
              </w:rPr>
              <w:t>likely to be a</w:t>
            </w:r>
            <w:r w:rsidRPr="00A258A7">
              <w:t xml:space="preserve"> </w:t>
            </w:r>
            <w:r w:rsidRPr="00A258A7">
              <w:rPr>
                <w:b/>
              </w:rPr>
              <w:t>clinically significant delay in transfer to hospital</w:t>
            </w:r>
            <w:r w:rsidRPr="00A258A7">
              <w:t xml:space="preserve">. </w:t>
            </w:r>
          </w:p>
          <w:p w14:paraId="234D4B16" w14:textId="77777777" w:rsidR="00A258A7" w:rsidRPr="00A258A7" w:rsidRDefault="00A258A7" w:rsidP="00A258A7">
            <w:pPr>
              <w:pStyle w:val="Tabletext"/>
              <w:rPr>
                <w:iCs/>
                <w:lang w:val="en-GB"/>
              </w:rPr>
            </w:pPr>
          </w:p>
          <w:p w14:paraId="622A2C8E" w14:textId="67463F24" w:rsidR="00D36D23" w:rsidRDefault="00A258A7" w:rsidP="00C12E8F">
            <w:pPr>
              <w:pStyle w:val="Bulletindent1"/>
              <w:numPr>
                <w:ilvl w:val="0"/>
                <w:numId w:val="41"/>
              </w:numPr>
            </w:pPr>
            <w:r w:rsidRPr="00A258A7">
              <w:t xml:space="preserve">If </w:t>
            </w:r>
            <w:r w:rsidRPr="00A258A7">
              <w:rPr>
                <w:b/>
              </w:rPr>
              <w:t>strongly suspected</w:t>
            </w:r>
            <w:r w:rsidRPr="00A258A7">
              <w:t xml:space="preserve"> meningococcal disease (meningococcal sepsis with or without meningococcal meningitis), administer on route to hospital, if the dose has not already been administered.</w:t>
            </w:r>
          </w:p>
        </w:tc>
      </w:tr>
      <w:tr w:rsidR="00C12E8F" w14:paraId="423D958D" w14:textId="77777777" w:rsidTr="00A16080">
        <w:tc>
          <w:tcPr>
            <w:tcW w:w="2542" w:type="dxa"/>
          </w:tcPr>
          <w:p w14:paraId="12B69C9D" w14:textId="0A77D3DB" w:rsidR="00C12E8F" w:rsidRPr="005A6168" w:rsidRDefault="00C12E8F" w:rsidP="00C12E8F">
            <w:pPr>
              <w:rPr>
                <w:rStyle w:val="TableHeaderColumn"/>
              </w:rPr>
            </w:pPr>
            <w:r w:rsidRPr="00A16080">
              <w:rPr>
                <w:rStyle w:val="TableHeaderColumn"/>
                <w:sz w:val="22"/>
                <w:szCs w:val="22"/>
              </w:rPr>
              <w:t xml:space="preserve">Criteria for inclusion </w:t>
            </w:r>
          </w:p>
        </w:tc>
        <w:tc>
          <w:tcPr>
            <w:tcW w:w="5953" w:type="dxa"/>
          </w:tcPr>
          <w:p w14:paraId="74451217" w14:textId="77777777" w:rsidR="00C12E8F" w:rsidRDefault="00C12E8F" w:rsidP="00554BE1">
            <w:pPr>
              <w:pStyle w:val="Bulletindent1"/>
              <w:rPr>
                <w:rFonts w:eastAsia="Calibri"/>
              </w:rPr>
            </w:pPr>
            <w:r>
              <w:rPr>
                <w:rFonts w:eastAsia="Calibri"/>
              </w:rPr>
              <w:t xml:space="preserve">Babies (from birth), </w:t>
            </w:r>
            <w:r w:rsidRPr="00930B9F">
              <w:rPr>
                <w:rFonts w:eastAsia="Calibri"/>
              </w:rPr>
              <w:t>children</w:t>
            </w:r>
            <w:r>
              <w:rPr>
                <w:rFonts w:eastAsia="Calibri"/>
              </w:rPr>
              <w:t xml:space="preserve"> and adults</w:t>
            </w:r>
            <w:r w:rsidRPr="00930B9F">
              <w:rPr>
                <w:rFonts w:eastAsia="Calibri"/>
              </w:rPr>
              <w:t>, where there is</w:t>
            </w:r>
            <w:r>
              <w:rPr>
                <w:rFonts w:eastAsia="Calibri"/>
              </w:rPr>
              <w:t>:</w:t>
            </w:r>
          </w:p>
          <w:p w14:paraId="187B610A" w14:textId="77777777" w:rsidR="00C12E8F" w:rsidRPr="007D0CA9" w:rsidRDefault="00C12E8F" w:rsidP="00B85E7B">
            <w:pPr>
              <w:widowControl w:val="0"/>
              <w:numPr>
                <w:ilvl w:val="1"/>
                <w:numId w:val="38"/>
              </w:numPr>
              <w:overflowPunct w:val="0"/>
              <w:autoSpaceDE w:val="0"/>
              <w:autoSpaceDN w:val="0"/>
              <w:adjustRightInd w:val="0"/>
              <w:spacing w:after="0" w:line="240" w:lineRule="auto"/>
              <w:textAlignment w:val="baseline"/>
              <w:rPr>
                <w:rFonts w:ascii="Arial" w:eastAsia="Calibri" w:hAnsi="Arial" w:cs="Arial"/>
                <w:b/>
                <w:sz w:val="22"/>
                <w:szCs w:val="22"/>
              </w:rPr>
            </w:pPr>
            <w:r>
              <w:rPr>
                <w:rFonts w:ascii="Arial" w:eastAsia="Calibri" w:hAnsi="Arial" w:cs="Arial"/>
                <w:b/>
                <w:sz w:val="22"/>
                <w:szCs w:val="22"/>
              </w:rPr>
              <w:t xml:space="preserve">Strongly suspected </w:t>
            </w:r>
            <w:r w:rsidRPr="0026271E">
              <w:rPr>
                <w:rFonts w:ascii="Arial" w:eastAsia="Calibri" w:hAnsi="Arial" w:cs="Arial"/>
                <w:sz w:val="22"/>
                <w:szCs w:val="22"/>
              </w:rPr>
              <w:t>bacterial meningitis</w:t>
            </w:r>
          </w:p>
          <w:p w14:paraId="504680D1" w14:textId="77777777" w:rsidR="00C12E8F" w:rsidRDefault="00C12E8F" w:rsidP="00C12E8F">
            <w:pPr>
              <w:widowControl w:val="0"/>
              <w:overflowPunct w:val="0"/>
              <w:autoSpaceDE w:val="0"/>
              <w:autoSpaceDN w:val="0"/>
              <w:adjustRightInd w:val="0"/>
              <w:textAlignment w:val="baseline"/>
              <w:rPr>
                <w:rFonts w:ascii="Arial" w:eastAsia="Calibri" w:hAnsi="Arial" w:cs="Arial"/>
                <w:sz w:val="22"/>
                <w:szCs w:val="22"/>
              </w:rPr>
            </w:pPr>
          </w:p>
          <w:p w14:paraId="3BC8B701" w14:textId="77777777" w:rsidR="00C12E8F" w:rsidRPr="00554BE1" w:rsidRDefault="00C12E8F" w:rsidP="00554BE1">
            <w:pPr>
              <w:pStyle w:val="Bulletindent1"/>
              <w:numPr>
                <w:ilvl w:val="0"/>
                <w:numId w:val="0"/>
              </w:numPr>
              <w:ind w:left="360"/>
              <w:rPr>
                <w:rFonts w:eastAsia="Calibri"/>
                <w:b/>
                <w:bCs/>
              </w:rPr>
            </w:pPr>
            <w:r w:rsidRPr="00554BE1">
              <w:rPr>
                <w:rFonts w:eastAsia="Calibri"/>
                <w:b/>
                <w:bCs/>
              </w:rPr>
              <w:t>OR</w:t>
            </w:r>
          </w:p>
          <w:p w14:paraId="1E217C7A" w14:textId="77777777" w:rsidR="00C12E8F" w:rsidRPr="00930B9F" w:rsidRDefault="00C12E8F" w:rsidP="00C12E8F">
            <w:pPr>
              <w:widowControl w:val="0"/>
              <w:overflowPunct w:val="0"/>
              <w:autoSpaceDE w:val="0"/>
              <w:autoSpaceDN w:val="0"/>
              <w:adjustRightInd w:val="0"/>
              <w:textAlignment w:val="baseline"/>
              <w:rPr>
                <w:rFonts w:ascii="Arial" w:eastAsia="Calibri" w:hAnsi="Arial" w:cs="Arial"/>
                <w:sz w:val="22"/>
                <w:szCs w:val="22"/>
              </w:rPr>
            </w:pPr>
          </w:p>
          <w:p w14:paraId="05B1295E" w14:textId="77777777" w:rsidR="00C12E8F" w:rsidRDefault="00C12E8F" w:rsidP="00B85E7B">
            <w:pPr>
              <w:widowControl w:val="0"/>
              <w:numPr>
                <w:ilvl w:val="1"/>
                <w:numId w:val="38"/>
              </w:numPr>
              <w:overflowPunct w:val="0"/>
              <w:autoSpaceDE w:val="0"/>
              <w:autoSpaceDN w:val="0"/>
              <w:adjustRightInd w:val="0"/>
              <w:spacing w:after="0" w:line="240" w:lineRule="auto"/>
              <w:textAlignment w:val="baseline"/>
              <w:rPr>
                <w:rFonts w:ascii="Arial" w:hAnsi="Arial" w:cs="Arial"/>
                <w:b/>
                <w:sz w:val="22"/>
                <w:szCs w:val="22"/>
              </w:rPr>
            </w:pPr>
            <w:r>
              <w:rPr>
                <w:rFonts w:ascii="Arial" w:hAnsi="Arial" w:cs="Arial"/>
                <w:b/>
                <w:sz w:val="22"/>
                <w:szCs w:val="22"/>
              </w:rPr>
              <w:t>S</w:t>
            </w:r>
            <w:r w:rsidRPr="009A3FAF">
              <w:rPr>
                <w:rFonts w:ascii="Arial" w:hAnsi="Arial" w:cs="Arial"/>
                <w:b/>
                <w:sz w:val="22"/>
                <w:szCs w:val="22"/>
              </w:rPr>
              <w:t xml:space="preserve">trongly suspected </w:t>
            </w:r>
            <w:r w:rsidRPr="0026271E">
              <w:rPr>
                <w:rFonts w:ascii="Arial" w:hAnsi="Arial" w:cs="Arial"/>
                <w:sz w:val="22"/>
                <w:szCs w:val="22"/>
              </w:rPr>
              <w:t>meningococcal disease (meningococcal sepsis with or without meningococcal meningitis)</w:t>
            </w:r>
          </w:p>
          <w:p w14:paraId="788CB4D7" w14:textId="77777777" w:rsidR="00C12E8F" w:rsidRPr="007D0CA9" w:rsidRDefault="00C12E8F" w:rsidP="00C12E8F">
            <w:pPr>
              <w:widowControl w:val="0"/>
              <w:overflowPunct w:val="0"/>
              <w:autoSpaceDE w:val="0"/>
              <w:autoSpaceDN w:val="0"/>
              <w:adjustRightInd w:val="0"/>
              <w:ind w:left="360"/>
              <w:textAlignment w:val="baseline"/>
              <w:rPr>
                <w:rFonts w:ascii="Arial" w:hAnsi="Arial" w:cs="Arial"/>
                <w:b/>
                <w:sz w:val="22"/>
                <w:szCs w:val="22"/>
              </w:rPr>
            </w:pPr>
          </w:p>
          <w:p w14:paraId="49029710" w14:textId="77777777" w:rsidR="00C12E8F" w:rsidRPr="00D23A8A" w:rsidRDefault="00C12E8F" w:rsidP="00C12E8F">
            <w:pPr>
              <w:widowControl w:val="0"/>
              <w:overflowPunct w:val="0"/>
              <w:autoSpaceDE w:val="0"/>
              <w:autoSpaceDN w:val="0"/>
              <w:adjustRightInd w:val="0"/>
              <w:textAlignment w:val="baseline"/>
              <w:rPr>
                <w:rFonts w:ascii="Arial" w:eastAsia="Calibri" w:hAnsi="Arial" w:cs="Arial"/>
                <w:b/>
                <w:sz w:val="22"/>
                <w:szCs w:val="22"/>
              </w:rPr>
            </w:pPr>
            <w:r w:rsidRPr="00D23A8A">
              <w:rPr>
                <w:rFonts w:ascii="Arial" w:eastAsia="Calibri" w:hAnsi="Arial" w:cs="Arial"/>
                <w:b/>
                <w:sz w:val="22"/>
                <w:szCs w:val="22"/>
              </w:rPr>
              <w:t>Clinical criteria:</w:t>
            </w:r>
          </w:p>
          <w:p w14:paraId="036A1D81" w14:textId="77777777" w:rsidR="00C12E8F" w:rsidRDefault="00C12E8F" w:rsidP="00B85E7B">
            <w:pPr>
              <w:pStyle w:val="Bulletindent1"/>
              <w:rPr>
                <w:rFonts w:eastAsia="Calibri"/>
              </w:rPr>
            </w:pPr>
            <w:r w:rsidRPr="00930B9F">
              <w:rPr>
                <w:rFonts w:eastAsia="Calibri"/>
              </w:rPr>
              <w:t xml:space="preserve">See </w:t>
            </w:r>
            <w:hyperlink r:id="rId17" w:history="1">
              <w:r w:rsidRPr="00D26863">
                <w:rPr>
                  <w:rStyle w:val="Hyperlink"/>
                  <w:rFonts w:eastAsia="Calibri" w:cs="Arial"/>
                  <w:szCs w:val="22"/>
                </w:rPr>
                <w:t>NICE guideline NG240</w:t>
              </w:r>
            </w:hyperlink>
            <w:r>
              <w:rPr>
                <w:rFonts w:eastAsia="Calibri"/>
              </w:rPr>
              <w:t xml:space="preserve"> tables 1 (for babies (29 days and older corrected gestational age), children and young people up to 17 years of age) and 2 (for adults) </w:t>
            </w:r>
            <w:r w:rsidRPr="00930B9F">
              <w:rPr>
                <w:rFonts w:eastAsia="Calibri"/>
              </w:rPr>
              <w:t xml:space="preserve">for details on symptoms </w:t>
            </w:r>
            <w:r>
              <w:rPr>
                <w:rFonts w:eastAsia="Calibri"/>
              </w:rPr>
              <w:t xml:space="preserve">and signs that may indicate bacterial meningitis. See table 3 (for babies, young children and adults) </w:t>
            </w:r>
            <w:r w:rsidRPr="00930B9F">
              <w:rPr>
                <w:rFonts w:eastAsia="Calibri"/>
              </w:rPr>
              <w:t xml:space="preserve">for details on symptoms </w:t>
            </w:r>
            <w:r>
              <w:rPr>
                <w:rFonts w:eastAsia="Calibri"/>
              </w:rPr>
              <w:t xml:space="preserve">and signs that may indicate meningococcal disease.  </w:t>
            </w:r>
          </w:p>
          <w:p w14:paraId="18FA856E" w14:textId="77777777" w:rsidR="00C12E8F" w:rsidRPr="00C90CFD" w:rsidRDefault="00C12E8F" w:rsidP="00C12E8F">
            <w:pPr>
              <w:pStyle w:val="NormalWeb"/>
              <w:shd w:val="clear" w:color="auto" w:fill="FFFFFF"/>
              <w:spacing w:before="0" w:beforeAutospacing="0" w:after="0" w:afterAutospacing="0"/>
              <w:rPr>
                <w:rFonts w:ascii="Arial" w:eastAsia="Calibri" w:hAnsi="Arial" w:cs="Arial"/>
                <w:szCs w:val="22"/>
              </w:rPr>
            </w:pPr>
          </w:p>
          <w:p w14:paraId="5DDD7CD7" w14:textId="7963F083" w:rsidR="00C12E8F" w:rsidRPr="00554BE1" w:rsidRDefault="00C12E8F" w:rsidP="00B85E7B">
            <w:pPr>
              <w:pStyle w:val="Bulletindent1"/>
              <w:rPr>
                <w:rStyle w:val="Hyperlink"/>
                <w:sz w:val="28"/>
                <w:szCs w:val="27"/>
              </w:rPr>
            </w:pPr>
            <w:r w:rsidRPr="00C90CFD">
              <w:rPr>
                <w:bdr w:val="none" w:sz="0" w:space="0" w:color="auto" w:frame="1"/>
              </w:rPr>
              <w:t>For newborn babies</w:t>
            </w:r>
            <w:r>
              <w:rPr>
                <w:bdr w:val="none" w:sz="0" w:space="0" w:color="auto" w:frame="1"/>
              </w:rPr>
              <w:t xml:space="preserve"> (up to and including 28 days corrected gestational age)</w:t>
            </w:r>
            <w:r w:rsidRPr="00C90CFD">
              <w:rPr>
                <w:bdr w:val="none" w:sz="0" w:space="0" w:color="auto" w:frame="1"/>
              </w:rPr>
              <w:t xml:space="preserve">, see the risk factors for neonatal infection (not specific to meningitis) in the </w:t>
            </w:r>
            <w:r w:rsidR="00554BE1">
              <w:rPr>
                <w:rFonts w:cs="Arial"/>
                <w:bCs/>
                <w:iCs/>
                <w:bdr w:val="none" w:sz="0" w:space="0" w:color="auto" w:frame="1"/>
              </w:rPr>
              <w:fldChar w:fldCharType="begin"/>
            </w:r>
            <w:r w:rsidR="00554BE1">
              <w:rPr>
                <w:rFonts w:cs="Arial"/>
                <w:bCs/>
                <w:iCs/>
                <w:bdr w:val="none" w:sz="0" w:space="0" w:color="auto" w:frame="1"/>
              </w:rPr>
              <w:instrText>HYPERLINK "https://www.nice.org.uk/guidance/ng195/resources/neonatal-infection-antibiotics-for-prevention-and-treatment-pdf-66142083827653"</w:instrText>
            </w:r>
            <w:r w:rsidR="00554BE1">
              <w:rPr>
                <w:rFonts w:cs="Arial"/>
                <w:bCs/>
                <w:iCs/>
                <w:bdr w:val="none" w:sz="0" w:space="0" w:color="auto" w:frame="1"/>
              </w:rPr>
            </w:r>
            <w:r w:rsidR="00554BE1">
              <w:rPr>
                <w:rFonts w:cs="Arial"/>
                <w:bCs/>
                <w:iCs/>
                <w:bdr w:val="none" w:sz="0" w:space="0" w:color="auto" w:frame="1"/>
              </w:rPr>
              <w:fldChar w:fldCharType="separate"/>
            </w:r>
            <w:r w:rsidRPr="00554BE1">
              <w:rPr>
                <w:rStyle w:val="Hyperlink"/>
                <w:rFonts w:cs="Arial"/>
                <w:bCs/>
                <w:iCs/>
                <w:bdr w:val="none" w:sz="0" w:space="0" w:color="auto" w:frame="1"/>
              </w:rPr>
              <w:t>NICE guideline NG195</w:t>
            </w:r>
            <w:r w:rsidRPr="00554BE1">
              <w:rPr>
                <w:rStyle w:val="Hyperlink"/>
                <w:bdr w:val="none" w:sz="0" w:space="0" w:color="auto" w:frame="1"/>
              </w:rPr>
              <w:t xml:space="preserve"> on neonatal infection:</w:t>
            </w:r>
          </w:p>
          <w:p w14:paraId="150B2092" w14:textId="5BE9F075" w:rsidR="00C12E8F" w:rsidRPr="00C90CFD" w:rsidRDefault="00554BE1" w:rsidP="00B85E7B">
            <w:pPr>
              <w:pStyle w:val="Bulletindent1"/>
              <w:numPr>
                <w:ilvl w:val="1"/>
                <w:numId w:val="15"/>
              </w:numPr>
            </w:pPr>
            <w:r>
              <w:rPr>
                <w:bdr w:val="none" w:sz="0" w:space="0" w:color="auto" w:frame="1"/>
                <w:lang w:val="en-US"/>
              </w:rPr>
              <w:fldChar w:fldCharType="end"/>
            </w:r>
            <w:hyperlink r:id="rId18" w:history="1">
              <w:r w:rsidR="00C12E8F" w:rsidRPr="00C90CFD">
                <w:rPr>
                  <w:rStyle w:val="Hyperlink"/>
                  <w:rFonts w:cs="Arial"/>
                  <w:bCs/>
                  <w:iCs/>
                  <w:bdr w:val="none" w:sz="0" w:space="0" w:color="auto" w:frame="1"/>
                </w:rPr>
                <w:t>risk factor</w:t>
              </w:r>
              <w:r w:rsidR="00C12E8F" w:rsidRPr="00C90CFD">
                <w:rPr>
                  <w:rStyle w:val="Hyperlink"/>
                  <w:rFonts w:cs="Arial"/>
                  <w:bCs/>
                  <w:iCs/>
                  <w:bdr w:val="none" w:sz="0" w:space="0" w:color="auto" w:frame="1"/>
                </w:rPr>
                <w:t>s</w:t>
              </w:r>
              <w:r w:rsidR="00C12E8F" w:rsidRPr="00C90CFD">
                <w:rPr>
                  <w:rStyle w:val="Hyperlink"/>
                  <w:rFonts w:cs="Arial"/>
                  <w:bCs/>
                  <w:iCs/>
                  <w:bdr w:val="none" w:sz="0" w:space="0" w:color="auto" w:frame="1"/>
                </w:rPr>
                <w:t xml:space="preserve"> for and clinical indicators of possible early-onset neonatal infection</w:t>
              </w:r>
            </w:hyperlink>
          </w:p>
          <w:p w14:paraId="66ED3A0F" w14:textId="77777777" w:rsidR="00C12E8F" w:rsidRPr="00C90CFD" w:rsidRDefault="00C12E8F" w:rsidP="00B85E7B">
            <w:pPr>
              <w:pStyle w:val="Bulletindent1"/>
              <w:numPr>
                <w:ilvl w:val="1"/>
                <w:numId w:val="15"/>
              </w:numPr>
            </w:pPr>
            <w:hyperlink r:id="rId19" w:history="1">
              <w:r w:rsidRPr="00C90CFD">
                <w:rPr>
                  <w:rStyle w:val="Hyperlink"/>
                  <w:rFonts w:cs="Arial"/>
                  <w:bCs/>
                  <w:iCs/>
                  <w:bdr w:val="none" w:sz="0" w:space="0" w:color="auto" w:frame="1"/>
                </w:rPr>
                <w:t>risk factors for and clinical indicators of possible late-onset neonatal infection</w:t>
              </w:r>
            </w:hyperlink>
            <w:r w:rsidRPr="00C90CFD">
              <w:rPr>
                <w:bdr w:val="none" w:sz="0" w:space="0" w:color="auto" w:frame="1"/>
              </w:rPr>
              <w:t>.</w:t>
            </w:r>
          </w:p>
          <w:p w14:paraId="649671B7" w14:textId="77777777" w:rsidR="00B85E7B" w:rsidRDefault="00B85E7B" w:rsidP="00B85E7B">
            <w:pPr>
              <w:pStyle w:val="Bulletindent1"/>
              <w:numPr>
                <w:ilvl w:val="0"/>
                <w:numId w:val="0"/>
              </w:numPr>
              <w:ind w:left="720"/>
            </w:pPr>
          </w:p>
          <w:p w14:paraId="02A2FFD7" w14:textId="0C2AE4C1" w:rsidR="00C12E8F" w:rsidRDefault="00C12E8F" w:rsidP="00B85E7B">
            <w:pPr>
              <w:pStyle w:val="Bulletindent1"/>
            </w:pPr>
            <w:r w:rsidRPr="00E12BB1">
              <w:t>Consent gained</w:t>
            </w:r>
            <w:r>
              <w:t xml:space="preserve"> </w:t>
            </w:r>
            <w:r w:rsidRPr="001A5644">
              <w:t>(consent</w:t>
            </w:r>
            <w:r>
              <w:t xml:space="preserve"> from parent/guardian if child)</w:t>
            </w:r>
            <w:r w:rsidRPr="00E12BB1">
              <w:t xml:space="preserve">. It may be possible in the context of the clinical scenario described in this PGD that the </w:t>
            </w:r>
            <w:r>
              <w:t>individual</w:t>
            </w:r>
            <w:r w:rsidRPr="00E12BB1">
              <w:t xml:space="preserve"> will not be able to make an informed choice nor consent to treatment</w:t>
            </w:r>
            <w:r>
              <w:t>/parent or guardian may not be present</w:t>
            </w:r>
            <w:r w:rsidRPr="00E12BB1">
              <w:t xml:space="preserve">. Therefore, the clinician should </w:t>
            </w:r>
            <w:proofErr w:type="gramStart"/>
            <w:r w:rsidRPr="00E12BB1">
              <w:t xml:space="preserve">act in the best interests of the </w:t>
            </w:r>
            <w:r>
              <w:t>individual</w:t>
            </w:r>
            <w:r w:rsidRPr="00E12BB1">
              <w:t xml:space="preserve"> at all times</w:t>
            </w:r>
            <w:proofErr w:type="gramEnd"/>
            <w:r w:rsidRPr="00E12BB1">
              <w:t xml:space="preserve"> and within their professional competency and code of conduct.</w:t>
            </w:r>
          </w:p>
        </w:tc>
      </w:tr>
      <w:tr w:rsidR="00C12E8F" w14:paraId="6FC007A9" w14:textId="77777777" w:rsidTr="00A16080">
        <w:tc>
          <w:tcPr>
            <w:tcW w:w="2542" w:type="dxa"/>
          </w:tcPr>
          <w:p w14:paraId="4F9F0FC6" w14:textId="72CE5320" w:rsidR="00C12E8F" w:rsidRPr="005A6168" w:rsidRDefault="00C12E8F" w:rsidP="00C12E8F">
            <w:pPr>
              <w:rPr>
                <w:rStyle w:val="TableHeaderColumn"/>
              </w:rPr>
            </w:pPr>
            <w:bookmarkStart w:id="4" w:name="Exclusions"/>
            <w:bookmarkEnd w:id="4"/>
            <w:r w:rsidRPr="00A16080">
              <w:rPr>
                <w:rStyle w:val="TableHeaderColumn"/>
                <w:sz w:val="22"/>
                <w:szCs w:val="22"/>
              </w:rPr>
              <w:lastRenderedPageBreak/>
              <w:t>Criteria for exclusion</w:t>
            </w:r>
          </w:p>
        </w:tc>
        <w:tc>
          <w:tcPr>
            <w:tcW w:w="5953" w:type="dxa"/>
          </w:tcPr>
          <w:p w14:paraId="1068B14C" w14:textId="77777777" w:rsidR="00C12E8F" w:rsidRPr="00801F6A" w:rsidRDefault="00C12E8F" w:rsidP="00B85E7B">
            <w:pPr>
              <w:pStyle w:val="Bulletindent1"/>
            </w:pPr>
            <w:r w:rsidRPr="00801F6A">
              <w:t xml:space="preserve">Consent refused and documented in the individual’s clinical notes </w:t>
            </w:r>
          </w:p>
          <w:p w14:paraId="7231FF34" w14:textId="77777777" w:rsidR="00B85E7B" w:rsidRPr="00B12BB9" w:rsidRDefault="00B85E7B" w:rsidP="00B85E7B">
            <w:pPr>
              <w:pStyle w:val="Bulletindent1"/>
              <w:rPr>
                <w:rFonts w:eastAsia="Calibri"/>
                <w:szCs w:val="22"/>
              </w:rPr>
            </w:pPr>
            <w:r w:rsidRPr="00BC5CFB">
              <w:t xml:space="preserve">Clear history of severe </w:t>
            </w:r>
            <w:r>
              <w:t xml:space="preserve">allergy (i.e. </w:t>
            </w:r>
            <w:r w:rsidRPr="00BC5CFB">
              <w:t>immediate hypersensitivity reaction</w:t>
            </w:r>
            <w:r>
              <w:t>)</w:t>
            </w:r>
            <w:r w:rsidRPr="00BC5CFB">
              <w:t xml:space="preserve"> (e.g. anaphylaxis</w:t>
            </w:r>
            <w:r>
              <w:t xml:space="preserve">, respiratory distress or </w:t>
            </w:r>
            <w:r w:rsidRPr="00BC5CFB">
              <w:t xml:space="preserve">angioedema) to a penicillin </w:t>
            </w:r>
            <w:r>
              <w:t>or cephalosporin antibiotic (e.g. ceftriaxone)</w:t>
            </w:r>
            <w:r w:rsidRPr="00BC5CFB">
              <w:rPr>
                <w:i/>
              </w:rPr>
              <w:t>.</w:t>
            </w:r>
            <w:r w:rsidRPr="00BC5CFB">
              <w:t xml:space="preserve"> </w:t>
            </w:r>
            <w:r w:rsidRPr="00BC5CFB">
              <w:rPr>
                <w:b/>
                <w:bCs/>
                <w:iCs/>
              </w:rPr>
              <w:t>Acceptable sources of allergy information include individual/carer/parent/guardian or National Care Record</w:t>
            </w:r>
          </w:p>
          <w:p w14:paraId="031866AE" w14:textId="77777777" w:rsidR="00B85E7B" w:rsidRPr="00DE17F7" w:rsidRDefault="00B85E7B" w:rsidP="00B85E7B">
            <w:pPr>
              <w:pStyle w:val="Bulletindent1"/>
              <w:rPr>
                <w:rFonts w:eastAsia="Calibri"/>
                <w:szCs w:val="22"/>
              </w:rPr>
            </w:pPr>
            <w:r w:rsidRPr="00B12BB9">
              <w:lastRenderedPageBreak/>
              <w:t xml:space="preserve">History of mild allergy (e.g. rash) or gastrointestinal intolerance to a penicillin </w:t>
            </w:r>
            <w:r>
              <w:t xml:space="preserve">or cephalosporin </w:t>
            </w:r>
            <w:r w:rsidRPr="00B12BB9">
              <w:t xml:space="preserve">antibiotic is </w:t>
            </w:r>
            <w:r w:rsidRPr="00B12BB9">
              <w:rPr>
                <w:b/>
              </w:rPr>
              <w:t>NOT</w:t>
            </w:r>
            <w:r w:rsidRPr="00B12BB9">
              <w:t xml:space="preserve"> a contraindication to treatment with benzylpenicillin</w:t>
            </w:r>
            <w:r>
              <w:t xml:space="preserve">. </w:t>
            </w:r>
          </w:p>
          <w:p w14:paraId="242D0FB3" w14:textId="5A27CD31" w:rsidR="00C12E8F" w:rsidRDefault="00B85E7B" w:rsidP="00B85E7B">
            <w:pPr>
              <w:pStyle w:val="Bulletindent1"/>
            </w:pPr>
            <w:r w:rsidRPr="00DE17F7">
              <w:t xml:space="preserve">Individuals with immunodeficiency, confirmed viral, tuberculous or fungal meningitis, confirmed viral encephalitis, brain tumours, hydrocephalus, intracranial shunts, previous neurosurgical procedures, or known cranial or spinal anomalies that increase the risk of bacterial meningitis </w:t>
            </w:r>
            <w:r>
              <w:t xml:space="preserve">– not covered in </w:t>
            </w:r>
            <w:hyperlink r:id="rId20" w:history="1">
              <w:r w:rsidRPr="00D26863">
                <w:rPr>
                  <w:rStyle w:val="Hyperlink"/>
                  <w:rFonts w:cs="Arial"/>
                  <w:szCs w:val="22"/>
                </w:rPr>
                <w:t xml:space="preserve">NICE </w:t>
              </w:r>
              <w:r>
                <w:rPr>
                  <w:rStyle w:val="Hyperlink"/>
                  <w:rFonts w:cs="Arial"/>
                  <w:szCs w:val="22"/>
                </w:rPr>
                <w:t xml:space="preserve">guideline </w:t>
              </w:r>
              <w:r w:rsidRPr="00D26863">
                <w:rPr>
                  <w:rStyle w:val="Hyperlink"/>
                  <w:rFonts w:cs="Arial"/>
                  <w:szCs w:val="22"/>
                </w:rPr>
                <w:t>NG240</w:t>
              </w:r>
            </w:hyperlink>
          </w:p>
        </w:tc>
      </w:tr>
      <w:tr w:rsidR="00C12E8F" w14:paraId="2086F951" w14:textId="77777777" w:rsidTr="00A16080">
        <w:tc>
          <w:tcPr>
            <w:tcW w:w="2542" w:type="dxa"/>
          </w:tcPr>
          <w:p w14:paraId="34F2E318" w14:textId="7E1AEDD6" w:rsidR="00C12E8F" w:rsidRPr="005A6168" w:rsidRDefault="00C12E8F" w:rsidP="00C12E8F">
            <w:pPr>
              <w:rPr>
                <w:rStyle w:val="TableHeaderColumn"/>
              </w:rPr>
            </w:pPr>
            <w:bookmarkStart w:id="5" w:name="Cautions"/>
            <w:bookmarkEnd w:id="5"/>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103FE8DB" w14:textId="77777777" w:rsidR="00B85E7B" w:rsidRPr="008531B7" w:rsidRDefault="00B85E7B" w:rsidP="00B85E7B">
            <w:pPr>
              <w:pStyle w:val="Bulletindent1"/>
              <w:rPr>
                <w:rFonts w:eastAsia="Calibri"/>
              </w:rPr>
            </w:pPr>
            <w:r w:rsidRPr="008531B7">
              <w:rPr>
                <w:rFonts w:eastAsia="Calibri"/>
              </w:rPr>
              <w:t xml:space="preserve">Individuals with a history of allergy (e.g. asthma, eczema or hay fever) are at a higher risk of anaphylactic reactions. These individuals should be observed for 30 minutes after administration and if an allergic reaction occurs, appropriate treatment should be given. Observation should not delay transfer to hospital. </w:t>
            </w:r>
          </w:p>
          <w:p w14:paraId="7ED4C2C4" w14:textId="77777777" w:rsidR="00B85E7B" w:rsidRPr="00E12BB1" w:rsidRDefault="00B85E7B" w:rsidP="00B85E7B">
            <w:pPr>
              <w:pStyle w:val="Bulletindent1"/>
              <w:rPr>
                <w:rFonts w:eastAsia="Calibri"/>
              </w:rPr>
            </w:pPr>
            <w:r w:rsidRPr="00E12BB1">
              <w:rPr>
                <w:rFonts w:eastAsia="Calibri"/>
              </w:rPr>
              <w:t xml:space="preserve">Observe additional care in giving the injection via the intramuscular route in any individual who has a bleeding disorder or who is taking </w:t>
            </w:r>
            <w:r>
              <w:rPr>
                <w:rFonts w:eastAsia="Calibri"/>
              </w:rPr>
              <w:t xml:space="preserve">an </w:t>
            </w:r>
            <w:r w:rsidRPr="00E12BB1">
              <w:rPr>
                <w:rFonts w:eastAsia="Calibri"/>
              </w:rPr>
              <w:t>anticoagula</w:t>
            </w:r>
            <w:r>
              <w:rPr>
                <w:rFonts w:eastAsia="Calibri"/>
              </w:rPr>
              <w:t>n</w:t>
            </w:r>
            <w:r w:rsidRPr="00E12BB1">
              <w:rPr>
                <w:rFonts w:eastAsia="Calibri"/>
              </w:rPr>
              <w:t>t</w:t>
            </w:r>
            <w:r>
              <w:rPr>
                <w:rFonts w:eastAsia="Calibri"/>
              </w:rPr>
              <w:t xml:space="preserve"> medication e.g. </w:t>
            </w:r>
            <w:proofErr w:type="spellStart"/>
            <w:r>
              <w:rPr>
                <w:rFonts w:eastAsia="Calibri"/>
              </w:rPr>
              <w:t>coumarain</w:t>
            </w:r>
            <w:proofErr w:type="spellEnd"/>
            <w:r>
              <w:rPr>
                <w:rFonts w:eastAsia="Calibri"/>
              </w:rPr>
              <w:t xml:space="preserve"> anticoagulant (e.g. warfarin, phenindione, </w:t>
            </w:r>
            <w:proofErr w:type="spellStart"/>
            <w:r>
              <w:rPr>
                <w:rFonts w:eastAsia="Calibri"/>
              </w:rPr>
              <w:t>acenocoumarol</w:t>
            </w:r>
            <w:proofErr w:type="spellEnd"/>
            <w:r>
              <w:rPr>
                <w:rFonts w:eastAsia="Calibri"/>
              </w:rPr>
              <w:t xml:space="preserve">) or a DOAC (e.g. apixaban, dabigatran, </w:t>
            </w:r>
            <w:proofErr w:type="spellStart"/>
            <w:r>
              <w:rPr>
                <w:rFonts w:eastAsia="Calibri"/>
              </w:rPr>
              <w:t>edoxaban</w:t>
            </w:r>
            <w:proofErr w:type="spellEnd"/>
            <w:r>
              <w:rPr>
                <w:rFonts w:eastAsia="Calibri"/>
              </w:rPr>
              <w:t xml:space="preserve">, rivaroxaban). </w:t>
            </w:r>
          </w:p>
          <w:p w14:paraId="64FEDD91" w14:textId="6F184BCB" w:rsidR="00C12E8F" w:rsidRDefault="00B85E7B" w:rsidP="00B85E7B">
            <w:pPr>
              <w:pStyle w:val="Bulletindent1"/>
            </w:pPr>
            <w:r w:rsidRPr="00E12BB1">
              <w:rPr>
                <w:rFonts w:eastAsia="Calibri"/>
              </w:rPr>
              <w:t xml:space="preserve">Delayed absorption via intramuscular administration may occur in </w:t>
            </w:r>
            <w:r>
              <w:rPr>
                <w:rFonts w:eastAsia="Calibri"/>
              </w:rPr>
              <w:t>individual</w:t>
            </w:r>
            <w:r w:rsidRPr="00E12BB1">
              <w:rPr>
                <w:rFonts w:eastAsia="Calibri"/>
              </w:rPr>
              <w:t>s with diabetes</w:t>
            </w:r>
            <w:r>
              <w:rPr>
                <w:rFonts w:eastAsia="Calibri"/>
              </w:rPr>
              <w:t>.</w:t>
            </w:r>
          </w:p>
        </w:tc>
      </w:tr>
      <w:tr w:rsidR="00C12E8F" w14:paraId="6142EA67" w14:textId="77777777" w:rsidTr="00A16080">
        <w:tc>
          <w:tcPr>
            <w:tcW w:w="2542" w:type="dxa"/>
          </w:tcPr>
          <w:p w14:paraId="64D4E823" w14:textId="117FE0B0" w:rsidR="00C12E8F" w:rsidRPr="00A16080" w:rsidRDefault="00C12E8F" w:rsidP="00C12E8F">
            <w:pPr>
              <w:rPr>
                <w:rStyle w:val="TableHeaderColumn"/>
                <w:sz w:val="22"/>
                <w:szCs w:val="22"/>
              </w:rPr>
            </w:pPr>
            <w:bookmarkStart w:id="6" w:name="Excluded"/>
            <w:bookmarkEnd w:id="6"/>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r w:rsidR="00B85E7B">
              <w:rPr>
                <w:rStyle w:val="TableHeaderColumn"/>
                <w:sz w:val="22"/>
                <w:szCs w:val="22"/>
              </w:rPr>
              <w:t xml:space="preserve"> or declines treatment</w:t>
            </w:r>
          </w:p>
          <w:p w14:paraId="56DA7083" w14:textId="787F56D1" w:rsidR="00C12E8F" w:rsidRPr="00A16080" w:rsidRDefault="00C12E8F" w:rsidP="00C12E8F">
            <w:pPr>
              <w:rPr>
                <w:rFonts w:ascii="Arial" w:hAnsi="Arial"/>
                <w:b/>
                <w:bCs/>
              </w:rPr>
            </w:pPr>
          </w:p>
          <w:p w14:paraId="751752A4" w14:textId="543640A2" w:rsidR="00C12E8F" w:rsidRPr="005A6168" w:rsidRDefault="00C12E8F" w:rsidP="00C12E8F">
            <w:pPr>
              <w:rPr>
                <w:rStyle w:val="TableHeaderColumn"/>
              </w:rPr>
            </w:pPr>
          </w:p>
        </w:tc>
        <w:tc>
          <w:tcPr>
            <w:tcW w:w="5953" w:type="dxa"/>
          </w:tcPr>
          <w:p w14:paraId="649915EC" w14:textId="77777777" w:rsidR="00B85E7B" w:rsidRPr="00B85E7B" w:rsidRDefault="00B85E7B" w:rsidP="00B85E7B">
            <w:pPr>
              <w:pStyle w:val="Tabletext"/>
              <w:rPr>
                <w:b/>
                <w:bCs/>
                <w:lang w:val="en-GB"/>
              </w:rPr>
            </w:pPr>
            <w:r w:rsidRPr="00B85E7B">
              <w:rPr>
                <w:b/>
                <w:bCs/>
                <w:lang w:val="en-GB"/>
              </w:rPr>
              <w:t xml:space="preserve">The priority for both bacterial meningitis and meningococcal disease is urgent transfer to hospital for further assessment. </w:t>
            </w:r>
          </w:p>
          <w:p w14:paraId="5FEADC2B" w14:textId="77777777" w:rsidR="00B85E7B" w:rsidRPr="00B85E7B" w:rsidRDefault="00B85E7B" w:rsidP="00B85E7B">
            <w:pPr>
              <w:pStyle w:val="Tabletext"/>
              <w:rPr>
                <w:b/>
                <w:bCs/>
                <w:lang w:val="en-GB"/>
              </w:rPr>
            </w:pPr>
          </w:p>
          <w:p w14:paraId="500D4ADE" w14:textId="77777777" w:rsidR="00B85E7B" w:rsidRPr="00B85E7B" w:rsidRDefault="00B85E7B" w:rsidP="00B85E7B">
            <w:pPr>
              <w:pStyle w:val="Bulletindent1"/>
            </w:pPr>
            <w:r w:rsidRPr="00B85E7B">
              <w:t>Explain the reasons for exclusion to the individual/carer/parent/guardian and document in the individual’s notes</w:t>
            </w:r>
          </w:p>
          <w:p w14:paraId="28FDFA0C" w14:textId="77777777" w:rsidR="00B85E7B" w:rsidRPr="00B85E7B" w:rsidRDefault="00B85E7B" w:rsidP="00B85E7B">
            <w:pPr>
              <w:pStyle w:val="Bulletindent1"/>
            </w:pPr>
            <w:r w:rsidRPr="00B85E7B">
              <w:t>Document advice given</w:t>
            </w:r>
          </w:p>
          <w:p w14:paraId="326E5835" w14:textId="77777777" w:rsidR="00B85E7B" w:rsidRPr="00B85E7B" w:rsidRDefault="00B85E7B" w:rsidP="00B85E7B">
            <w:pPr>
              <w:pStyle w:val="Bulletindent1"/>
            </w:pPr>
            <w:r w:rsidRPr="00B85E7B">
              <w:t>Potential consequences discussed</w:t>
            </w:r>
          </w:p>
          <w:p w14:paraId="4E3AA56C" w14:textId="77777777" w:rsidR="00B85E7B" w:rsidRPr="00B85E7B" w:rsidRDefault="00B85E7B" w:rsidP="00B85E7B">
            <w:pPr>
              <w:pStyle w:val="Bulletindent1"/>
            </w:pPr>
            <w:r w:rsidRPr="00B85E7B">
              <w:t>Refer to a prescriber if parent(s)/guardian(s) decline treatment for their children (safeguarding trigger)</w:t>
            </w:r>
          </w:p>
          <w:p w14:paraId="3AE8F49B" w14:textId="77777777" w:rsidR="00B85E7B" w:rsidRPr="00B85E7B" w:rsidRDefault="00B85E7B" w:rsidP="00B85E7B">
            <w:pPr>
              <w:pStyle w:val="Bulletindent1"/>
            </w:pPr>
            <w:r w:rsidRPr="00B85E7B">
              <w:t>Refer to emergency ambulance staff or refer individual to the supervising doctor if available, or alternatively to a qualified independent prescriber</w:t>
            </w:r>
          </w:p>
          <w:p w14:paraId="1ACA62F4" w14:textId="15FCA605" w:rsidR="00C12E8F" w:rsidRPr="00A16080" w:rsidRDefault="00B85E7B" w:rsidP="00B85E7B">
            <w:pPr>
              <w:pStyle w:val="Bulletindent1"/>
            </w:pPr>
            <w:r w:rsidRPr="00B85E7B">
              <w:lastRenderedPageBreak/>
              <w:t>Inform ambulance/paramedics on transfer</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296B16C0" w14:textId="77777777" w:rsidR="00B85E7B" w:rsidRDefault="00B85E7B" w:rsidP="00B85E7B">
            <w:pPr>
              <w:pStyle w:val="Tabletext"/>
            </w:pPr>
            <w:r w:rsidRPr="00023C29">
              <w:t>Benzylpenicillin 600mg powder for solution for injection vials</w:t>
            </w:r>
          </w:p>
          <w:p w14:paraId="0C548BD6" w14:textId="77777777" w:rsidR="00B85E7B" w:rsidRDefault="00B85E7B" w:rsidP="00B85E7B">
            <w:pPr>
              <w:pStyle w:val="Tabletext"/>
            </w:pPr>
            <w:r>
              <w:t>Benzylpenicillin 1200mg</w:t>
            </w:r>
            <w:r w:rsidRPr="00023C29">
              <w:t xml:space="preserve"> powder for solution for injection vials</w:t>
            </w:r>
          </w:p>
          <w:p w14:paraId="4BB5911F" w14:textId="77777777" w:rsidR="00600B9B" w:rsidRDefault="00600B9B" w:rsidP="00B85E7B">
            <w:pPr>
              <w:pStyle w:val="Tabletext"/>
            </w:pPr>
          </w:p>
          <w:p w14:paraId="2B104BB5" w14:textId="6C15BB58" w:rsidR="00012301" w:rsidRPr="0012506B" w:rsidRDefault="00B85E7B" w:rsidP="00B85E7B">
            <w:pPr>
              <w:pStyle w:val="Tabletext"/>
            </w:pPr>
            <w:r>
              <w:rPr>
                <w:rFonts w:cs="Arial"/>
                <w:szCs w:val="22"/>
              </w:rPr>
              <w:t xml:space="preserve">Ensure the correct benzylpenicillin salt (benzylpenicillin sodium) is chosen (see </w:t>
            </w:r>
            <w:hyperlink r:id="rId21" w:history="1">
              <w:r w:rsidRPr="00053731">
                <w:rPr>
                  <w:rStyle w:val="Hyperlink"/>
                  <w:rFonts w:cs="Arial"/>
                  <w:szCs w:val="22"/>
                </w:rPr>
                <w:t>NPPG Confusion over salts of benzylpenicillin</w:t>
              </w:r>
            </w:hyperlink>
            <w:r>
              <w:rPr>
                <w:rFonts w:cs="Arial"/>
                <w:szCs w:val="22"/>
              </w:rPr>
              <w:t xml:space="preserve"> for further information)</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1707376C" w14:textId="77777777" w:rsidR="00B85E7B" w:rsidRPr="00B85E7B" w:rsidRDefault="00B85E7B" w:rsidP="00B85E7B">
            <w:pPr>
              <w:pStyle w:val="Tabletext"/>
              <w:rPr>
                <w:b/>
                <w:bCs/>
              </w:rPr>
            </w:pPr>
            <w:r w:rsidRPr="00B85E7B">
              <w:rPr>
                <w:b/>
                <w:bCs/>
              </w:rPr>
              <w:t xml:space="preserve">Intramuscular </w:t>
            </w:r>
          </w:p>
          <w:p w14:paraId="0AE5E86E" w14:textId="77777777" w:rsidR="00B85E7B" w:rsidRPr="00B85E7B" w:rsidRDefault="00B85E7B" w:rsidP="00B85E7B">
            <w:pPr>
              <w:pStyle w:val="Bulletindent1"/>
            </w:pPr>
            <w:r w:rsidRPr="00B85E7B">
              <w:t>Administer by deep injection into a large muscle using Z-track technique.</w:t>
            </w:r>
          </w:p>
          <w:p w14:paraId="31126E4C" w14:textId="77777777" w:rsidR="00B85E7B" w:rsidRPr="00B85E7B" w:rsidRDefault="00B85E7B" w:rsidP="00B85E7B">
            <w:pPr>
              <w:pStyle w:val="Bulletindent1"/>
            </w:pPr>
            <w:r w:rsidRPr="00B85E7B">
              <w:t>In small children with a small muscle mass OR in all children and adults if total volume is greater than 2mL, it may be necessary to inject the total dose in more than one site.</w:t>
            </w:r>
          </w:p>
          <w:p w14:paraId="04517ADA" w14:textId="2B1E2524" w:rsidR="00012301" w:rsidRPr="00C3283F" w:rsidRDefault="00B85E7B" w:rsidP="00B85E7B">
            <w:pPr>
              <w:pStyle w:val="Bulletindent1"/>
            </w:pPr>
            <w:r w:rsidRPr="00B85E7B">
              <w:t>Inject as proximally as possible - preferably into a part of the limb that is still warm (as cold areas will be less well perfused). For neonates and up to 1 year of age the anterolateral thigh is the recommended site of administration.</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315DCD53" w14:textId="0AB1D779" w:rsidR="00085B08" w:rsidRDefault="00950562" w:rsidP="00950562">
            <w:pPr>
              <w:pStyle w:val="Tabletext"/>
              <w:rPr>
                <w:rFonts w:eastAsia="Calibri"/>
              </w:rPr>
            </w:pPr>
            <w:r w:rsidRPr="00950562">
              <w:rPr>
                <w:rFonts w:eastAsia="Calibri"/>
              </w:rPr>
              <w:t>A single dose of benzylpenicillin 300mg in newborns (0-4 weeks) is off-label. However, expert consensus is that benefit from administration outweighs any potential harm.11,12</w:t>
            </w:r>
          </w:p>
          <w:p w14:paraId="227FA39D" w14:textId="77777777" w:rsidR="00950562" w:rsidRPr="00950562" w:rsidRDefault="00950562" w:rsidP="00950562">
            <w:pPr>
              <w:pStyle w:val="Tabletext"/>
            </w:pPr>
          </w:p>
          <w:p w14:paraId="0689A4D0" w14:textId="769AB547" w:rsidR="00012301" w:rsidRPr="00A16080" w:rsidRDefault="00012301" w:rsidP="00012301">
            <w:pPr>
              <w:pStyle w:val="Tabletext"/>
              <w:rPr>
                <w:b/>
                <w:bCs/>
              </w:rPr>
            </w:pPr>
            <w:r w:rsidRPr="00A16080">
              <w:rPr>
                <w:b/>
                <w:bCs/>
                <w:lang w:val="en-GB"/>
              </w:rPr>
              <w:t>Temperature variations</w:t>
            </w:r>
          </w:p>
          <w:p w14:paraId="0CAECCF3" w14:textId="11684792"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 xml:space="preserve">Where medicines have been assessed by a pharmacist in accordance with national or specific product recommendations/manufacturer advice as appropriate </w:t>
            </w:r>
            <w:r w:rsidRPr="00BD3700">
              <w:rPr>
                <w:lang w:val="en-GB"/>
              </w:rPr>
              <w:lastRenderedPageBreak/>
              <w:t>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1BDE29B0" w14:textId="77777777" w:rsidR="00654F5A" w:rsidRPr="00012301" w:rsidRDefault="00654F5A" w:rsidP="00012301">
            <w:pPr>
              <w:pStyle w:val="Tabletext"/>
              <w:rPr>
                <w:b/>
                <w:bCs/>
                <w:lang w:val="en-GB"/>
              </w:rPr>
            </w:pPr>
          </w:p>
          <w:p w14:paraId="74240E7C" w14:textId="587EF712" w:rsidR="00012301" w:rsidRPr="003B61FD" w:rsidRDefault="00012301" w:rsidP="00012301">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bookmarkEnd w:id="3"/>
    </w:tbl>
    <w:p w14:paraId="0E242AC4" w14:textId="77777777" w:rsidR="00950562" w:rsidRDefault="00950562" w:rsidP="00BB2C75">
      <w:pPr>
        <w:pStyle w:val="Heading1"/>
      </w:pPr>
    </w:p>
    <w:p w14:paraId="4EADFE20" w14:textId="741E23ED" w:rsidR="00950562" w:rsidRPr="00950562" w:rsidRDefault="00950562" w:rsidP="00950562">
      <w:pPr>
        <w:pStyle w:val="Tabletitle"/>
        <w:rPr>
          <w:sz w:val="22"/>
          <w:szCs w:val="22"/>
        </w:rPr>
      </w:pPr>
      <w:r w:rsidRPr="00950562">
        <w:rPr>
          <w:sz w:val="22"/>
          <w:szCs w:val="22"/>
        </w:rPr>
        <w:t>Dose and frequency o</w:t>
      </w:r>
      <w:r>
        <w:rPr>
          <w:sz w:val="22"/>
          <w:szCs w:val="22"/>
        </w:rPr>
        <w:t>f</w:t>
      </w:r>
      <w:r w:rsidRPr="00950562">
        <w:rPr>
          <w:sz w:val="22"/>
          <w:szCs w:val="22"/>
        </w:rPr>
        <w:t xml:space="preserve"> administration</w:t>
      </w:r>
    </w:p>
    <w:tbl>
      <w:tblPr>
        <w:tblStyle w:val="TableGrid"/>
        <w:tblW w:w="0" w:type="auto"/>
        <w:tblLook w:val="04A0" w:firstRow="1" w:lastRow="0" w:firstColumn="1" w:lastColumn="0" w:noHBand="0" w:noVBand="1"/>
        <w:tblCaption w:val="Dose and frequency of administration table."/>
        <w:tblDescription w:val="This table details the dose and frequency of administration for ages 0 to 1 year, l year to 9 years and 10 years to adult.&#10;It consists of 4 columns for age, dose, reconstitution and volume to inject."/>
      </w:tblPr>
      <w:tblGrid>
        <w:gridCol w:w="1555"/>
        <w:gridCol w:w="1134"/>
        <w:gridCol w:w="2835"/>
        <w:gridCol w:w="2971"/>
      </w:tblGrid>
      <w:tr w:rsidR="00950562" w14:paraId="249A84FE" w14:textId="77777777" w:rsidTr="00950562">
        <w:tc>
          <w:tcPr>
            <w:tcW w:w="1555" w:type="dxa"/>
          </w:tcPr>
          <w:p w14:paraId="5534D09C" w14:textId="72927F53" w:rsidR="00950562" w:rsidRPr="00950562" w:rsidRDefault="00950562" w:rsidP="00950562">
            <w:pPr>
              <w:pStyle w:val="NICEnormal"/>
              <w:rPr>
                <w:rStyle w:val="TableHeaderColumn"/>
                <w:sz w:val="22"/>
              </w:rPr>
            </w:pPr>
            <w:r w:rsidRPr="00950562">
              <w:rPr>
                <w:rStyle w:val="TableHeaderColumn"/>
                <w:sz w:val="22"/>
              </w:rPr>
              <w:t>Age</w:t>
            </w:r>
          </w:p>
        </w:tc>
        <w:tc>
          <w:tcPr>
            <w:tcW w:w="1134" w:type="dxa"/>
          </w:tcPr>
          <w:p w14:paraId="6633C94F" w14:textId="643368E2" w:rsidR="00950562" w:rsidRPr="00950562" w:rsidRDefault="00950562" w:rsidP="00950562">
            <w:pPr>
              <w:pStyle w:val="NICEnormal"/>
              <w:rPr>
                <w:rStyle w:val="TableHeaderColumn"/>
                <w:sz w:val="22"/>
              </w:rPr>
            </w:pPr>
            <w:r w:rsidRPr="00950562">
              <w:rPr>
                <w:rStyle w:val="TableHeaderColumn"/>
                <w:sz w:val="22"/>
              </w:rPr>
              <w:t>Dose</w:t>
            </w:r>
          </w:p>
        </w:tc>
        <w:tc>
          <w:tcPr>
            <w:tcW w:w="2835" w:type="dxa"/>
          </w:tcPr>
          <w:p w14:paraId="6BBED754" w14:textId="23E70693" w:rsidR="00950562" w:rsidRPr="00950562" w:rsidRDefault="00950562" w:rsidP="00950562">
            <w:pPr>
              <w:pStyle w:val="NICEnormal"/>
              <w:rPr>
                <w:rStyle w:val="TableHeaderColumn"/>
                <w:sz w:val="22"/>
              </w:rPr>
            </w:pPr>
            <w:r w:rsidRPr="00950562">
              <w:rPr>
                <w:rStyle w:val="TableHeaderColumn"/>
                <w:sz w:val="22"/>
              </w:rPr>
              <w:t>Reconstitution</w:t>
            </w:r>
          </w:p>
        </w:tc>
        <w:tc>
          <w:tcPr>
            <w:tcW w:w="2971" w:type="dxa"/>
          </w:tcPr>
          <w:p w14:paraId="1357A67B" w14:textId="2397D30B" w:rsidR="00950562" w:rsidRPr="00950562" w:rsidRDefault="00950562" w:rsidP="00950562">
            <w:pPr>
              <w:pStyle w:val="NICEnormal"/>
              <w:rPr>
                <w:rStyle w:val="TableHeaderColumn"/>
                <w:sz w:val="22"/>
              </w:rPr>
            </w:pPr>
            <w:r w:rsidRPr="00950562">
              <w:rPr>
                <w:rStyle w:val="TableHeaderColumn"/>
                <w:sz w:val="22"/>
              </w:rPr>
              <w:t>Volume to inject</w:t>
            </w:r>
          </w:p>
        </w:tc>
      </w:tr>
      <w:tr w:rsidR="00950562" w14:paraId="6E9E8EF3" w14:textId="77777777" w:rsidTr="00950562">
        <w:tc>
          <w:tcPr>
            <w:tcW w:w="1555" w:type="dxa"/>
          </w:tcPr>
          <w:p w14:paraId="56ECC29D" w14:textId="01FFCAC1" w:rsidR="00950562" w:rsidRDefault="00950562" w:rsidP="00950562">
            <w:pPr>
              <w:pStyle w:val="Tabletext"/>
            </w:pPr>
            <w:r>
              <w:t>0</w:t>
            </w:r>
            <w:r w:rsidRPr="00231B9B">
              <w:t xml:space="preserve"> </w:t>
            </w:r>
            <w:r>
              <w:t>- &lt;1</w:t>
            </w:r>
            <w:r w:rsidRPr="00231B9B">
              <w:t>year</w:t>
            </w:r>
          </w:p>
        </w:tc>
        <w:tc>
          <w:tcPr>
            <w:tcW w:w="1134" w:type="dxa"/>
          </w:tcPr>
          <w:p w14:paraId="4D11FD8B" w14:textId="77777777" w:rsidR="00950562" w:rsidRPr="00950562" w:rsidRDefault="00950562" w:rsidP="00950562">
            <w:pPr>
              <w:pStyle w:val="Tabletext"/>
              <w:rPr>
                <w:b/>
                <w:bCs/>
              </w:rPr>
            </w:pPr>
            <w:r w:rsidRPr="00950562">
              <w:rPr>
                <w:b/>
                <w:bCs/>
              </w:rPr>
              <w:t>300mg</w:t>
            </w:r>
          </w:p>
          <w:p w14:paraId="53F2DFAB" w14:textId="77777777" w:rsidR="00950562" w:rsidRPr="00950562" w:rsidRDefault="00950562" w:rsidP="00950562">
            <w:pPr>
              <w:pStyle w:val="Tabletext"/>
              <w:rPr>
                <w:b/>
                <w:bCs/>
              </w:rPr>
            </w:pPr>
          </w:p>
        </w:tc>
        <w:tc>
          <w:tcPr>
            <w:tcW w:w="2835" w:type="dxa"/>
          </w:tcPr>
          <w:p w14:paraId="277B8CC6" w14:textId="46389683" w:rsidR="00950562" w:rsidRDefault="00950562" w:rsidP="00950562">
            <w:pPr>
              <w:pStyle w:val="Tabletext"/>
            </w:pPr>
            <w:r>
              <w:rPr>
                <w:b/>
              </w:rPr>
              <w:t xml:space="preserve">IM: </w:t>
            </w:r>
            <w:r>
              <w:t>one 600mg vial with 1.6</w:t>
            </w:r>
            <w:r w:rsidRPr="00231B9B">
              <w:t>m</w:t>
            </w:r>
            <w:r>
              <w:t xml:space="preserve">L </w:t>
            </w:r>
            <w:r w:rsidRPr="00231B9B">
              <w:t>WFI</w:t>
            </w:r>
            <w:r>
              <w:t>*</w:t>
            </w:r>
          </w:p>
        </w:tc>
        <w:tc>
          <w:tcPr>
            <w:tcW w:w="2971" w:type="dxa"/>
          </w:tcPr>
          <w:p w14:paraId="49D43FC0" w14:textId="03F30858" w:rsidR="00950562" w:rsidRDefault="00950562" w:rsidP="00950562">
            <w:pPr>
              <w:pStyle w:val="Tabletext"/>
            </w:pPr>
            <w:r w:rsidRPr="00231B9B">
              <w:t>1m</w:t>
            </w:r>
            <w:r>
              <w:t>L</w:t>
            </w:r>
          </w:p>
        </w:tc>
      </w:tr>
      <w:tr w:rsidR="00950562" w14:paraId="74D92E8F" w14:textId="77777777" w:rsidTr="00950562">
        <w:tc>
          <w:tcPr>
            <w:tcW w:w="1555" w:type="dxa"/>
          </w:tcPr>
          <w:p w14:paraId="53DEF730" w14:textId="1D93C8E6" w:rsidR="00950562" w:rsidRDefault="00950562" w:rsidP="00950562">
            <w:pPr>
              <w:pStyle w:val="Tabletext"/>
            </w:pPr>
            <w:r>
              <w:t>≥1 – 9 years</w:t>
            </w:r>
          </w:p>
        </w:tc>
        <w:tc>
          <w:tcPr>
            <w:tcW w:w="1134" w:type="dxa"/>
          </w:tcPr>
          <w:p w14:paraId="498EEA7C" w14:textId="77777777" w:rsidR="00950562" w:rsidRPr="00950562" w:rsidRDefault="00950562" w:rsidP="00950562">
            <w:pPr>
              <w:pStyle w:val="Tabletext"/>
              <w:rPr>
                <w:b/>
                <w:bCs/>
              </w:rPr>
            </w:pPr>
            <w:r w:rsidRPr="00950562">
              <w:rPr>
                <w:b/>
                <w:bCs/>
              </w:rPr>
              <w:t>600mg</w:t>
            </w:r>
          </w:p>
          <w:p w14:paraId="2BBDD078" w14:textId="77777777" w:rsidR="00950562" w:rsidRPr="00950562" w:rsidRDefault="00950562" w:rsidP="00950562">
            <w:pPr>
              <w:pStyle w:val="Tabletext"/>
              <w:rPr>
                <w:b/>
                <w:bCs/>
              </w:rPr>
            </w:pPr>
          </w:p>
        </w:tc>
        <w:tc>
          <w:tcPr>
            <w:tcW w:w="2835" w:type="dxa"/>
          </w:tcPr>
          <w:p w14:paraId="2BF351E1" w14:textId="0AC6631A" w:rsidR="00950562" w:rsidRDefault="00950562" w:rsidP="00950562">
            <w:pPr>
              <w:pStyle w:val="Tabletext"/>
            </w:pPr>
            <w:r>
              <w:rPr>
                <w:b/>
              </w:rPr>
              <w:t xml:space="preserve">IM: </w:t>
            </w:r>
            <w:r>
              <w:t>one 600mg vial with 1.6</w:t>
            </w:r>
            <w:r w:rsidRPr="00231B9B">
              <w:t>m</w:t>
            </w:r>
            <w:r>
              <w:t>L</w:t>
            </w:r>
            <w:r w:rsidRPr="00231B9B">
              <w:t xml:space="preserve"> WFI</w:t>
            </w:r>
            <w:r>
              <w:t>*</w:t>
            </w:r>
          </w:p>
        </w:tc>
        <w:tc>
          <w:tcPr>
            <w:tcW w:w="2971" w:type="dxa"/>
          </w:tcPr>
          <w:p w14:paraId="3098E6C0" w14:textId="77D49DEE" w:rsidR="00950562" w:rsidRDefault="00950562" w:rsidP="00950562">
            <w:pPr>
              <w:pStyle w:val="Tabletext"/>
            </w:pPr>
            <w:r w:rsidRPr="00231B9B">
              <w:t>Whole content</w:t>
            </w:r>
            <w:r>
              <w:t xml:space="preserve">s </w:t>
            </w:r>
            <w:r w:rsidRPr="00231B9B">
              <w:t>of vial</w:t>
            </w:r>
          </w:p>
        </w:tc>
      </w:tr>
      <w:tr w:rsidR="00950562" w14:paraId="0C0B8387" w14:textId="77777777" w:rsidTr="00950562">
        <w:tc>
          <w:tcPr>
            <w:tcW w:w="1555" w:type="dxa"/>
          </w:tcPr>
          <w:p w14:paraId="4ADC29D9" w14:textId="32BBAA39" w:rsidR="00950562" w:rsidRDefault="00950562" w:rsidP="00950562">
            <w:pPr>
              <w:pStyle w:val="Tabletext"/>
            </w:pPr>
            <w:r>
              <w:t>≥</w:t>
            </w:r>
            <w:r w:rsidRPr="008F7B28">
              <w:t>10</w:t>
            </w:r>
            <w:r>
              <w:t xml:space="preserve"> years and adults</w:t>
            </w:r>
          </w:p>
        </w:tc>
        <w:tc>
          <w:tcPr>
            <w:tcW w:w="1134" w:type="dxa"/>
          </w:tcPr>
          <w:p w14:paraId="647E22CC" w14:textId="77777777" w:rsidR="00950562" w:rsidRPr="00950562" w:rsidRDefault="00950562" w:rsidP="00950562">
            <w:pPr>
              <w:pStyle w:val="Tabletext"/>
              <w:rPr>
                <w:b/>
                <w:bCs/>
              </w:rPr>
            </w:pPr>
            <w:r w:rsidRPr="00950562">
              <w:rPr>
                <w:b/>
                <w:bCs/>
              </w:rPr>
              <w:t>1200mg</w:t>
            </w:r>
          </w:p>
          <w:p w14:paraId="7B3E3415" w14:textId="77777777" w:rsidR="00950562" w:rsidRPr="00950562" w:rsidRDefault="00950562" w:rsidP="00950562">
            <w:pPr>
              <w:pStyle w:val="Tabletext"/>
              <w:rPr>
                <w:b/>
                <w:bCs/>
              </w:rPr>
            </w:pPr>
          </w:p>
        </w:tc>
        <w:tc>
          <w:tcPr>
            <w:tcW w:w="2835" w:type="dxa"/>
          </w:tcPr>
          <w:p w14:paraId="5609E0FF" w14:textId="781555F6" w:rsidR="00950562" w:rsidRPr="00720E72" w:rsidRDefault="00950562" w:rsidP="00950562">
            <w:pPr>
              <w:pStyle w:val="Tabletext"/>
              <w:rPr>
                <w:highlight w:val="cyan"/>
              </w:rPr>
            </w:pPr>
            <w:r>
              <w:rPr>
                <w:b/>
              </w:rPr>
              <w:t xml:space="preserve">IM: </w:t>
            </w:r>
            <w:r w:rsidRPr="00950562">
              <w:rPr>
                <w:bCs/>
              </w:rPr>
              <w:t>[</w:t>
            </w:r>
            <w:r w:rsidRPr="00720E72">
              <w:rPr>
                <w:highlight w:val="cyan"/>
              </w:rPr>
              <w:t>one 1200mg vial with 3.2m</w:t>
            </w:r>
            <w:r>
              <w:rPr>
                <w:highlight w:val="cyan"/>
              </w:rPr>
              <w:t xml:space="preserve">L </w:t>
            </w:r>
            <w:r w:rsidRPr="00720E72">
              <w:rPr>
                <w:highlight w:val="cyan"/>
              </w:rPr>
              <w:t>WFI*</w:t>
            </w:r>
          </w:p>
          <w:p w14:paraId="54097E43" w14:textId="77777777" w:rsidR="00950562" w:rsidRPr="001217CA" w:rsidRDefault="00950562" w:rsidP="00950562">
            <w:pPr>
              <w:pStyle w:val="Tabletext"/>
              <w:rPr>
                <w:b/>
                <w:highlight w:val="cyan"/>
              </w:rPr>
            </w:pPr>
            <w:r w:rsidRPr="001217CA">
              <w:rPr>
                <w:b/>
                <w:highlight w:val="cyan"/>
              </w:rPr>
              <w:t>OR</w:t>
            </w:r>
          </w:p>
          <w:p w14:paraId="1C610A0F" w14:textId="30C83315" w:rsidR="00950562" w:rsidRDefault="00950562" w:rsidP="00950562">
            <w:pPr>
              <w:pStyle w:val="Tabletext"/>
            </w:pPr>
            <w:r w:rsidRPr="00720E72">
              <w:rPr>
                <w:highlight w:val="cyan"/>
              </w:rPr>
              <w:t xml:space="preserve">Two </w:t>
            </w:r>
            <w:r>
              <w:rPr>
                <w:highlight w:val="cyan"/>
              </w:rPr>
              <w:t xml:space="preserve">x </w:t>
            </w:r>
            <w:r w:rsidRPr="00720E72">
              <w:rPr>
                <w:highlight w:val="cyan"/>
              </w:rPr>
              <w:t>600mg vials each with 1.6m</w:t>
            </w:r>
            <w:r>
              <w:rPr>
                <w:highlight w:val="cyan"/>
              </w:rPr>
              <w:t>L</w:t>
            </w:r>
            <w:r w:rsidRPr="00720E72">
              <w:rPr>
                <w:highlight w:val="cyan"/>
              </w:rPr>
              <w:t xml:space="preserve"> WFI*</w:t>
            </w:r>
            <w:r>
              <w:t>]</w:t>
            </w:r>
          </w:p>
        </w:tc>
        <w:tc>
          <w:tcPr>
            <w:tcW w:w="2971" w:type="dxa"/>
          </w:tcPr>
          <w:p w14:paraId="51CBA1D0" w14:textId="58EA0A8B" w:rsidR="00950562" w:rsidRDefault="00950562" w:rsidP="00950562">
            <w:pPr>
              <w:pStyle w:val="Tabletext"/>
            </w:pPr>
            <w:r w:rsidRPr="00CA5212">
              <w:t>Separate whole contents of vial(s) into equal volumes and inject into separate sites</w:t>
            </w:r>
          </w:p>
        </w:tc>
      </w:tr>
    </w:tbl>
    <w:p w14:paraId="77DC05F4" w14:textId="77777777" w:rsidR="009A45F9" w:rsidRPr="009A45F9" w:rsidRDefault="009A45F9" w:rsidP="009A45F9">
      <w:pPr>
        <w:pStyle w:val="PGDNormal"/>
      </w:pPr>
      <w:r w:rsidRPr="009A45F9">
        <w:t>*This takes displacement values into account giving a final concentration of 300mg/1mL.</w:t>
      </w:r>
    </w:p>
    <w:p w14:paraId="1EDCC32F" w14:textId="77777777" w:rsidR="009A45F9" w:rsidRPr="009A45F9" w:rsidRDefault="009A45F9" w:rsidP="009A45F9">
      <w:pPr>
        <w:pStyle w:val="PGDNormal"/>
      </w:pPr>
      <w:r w:rsidRPr="009A45F9">
        <w:t>WFI = Water for injections</w:t>
      </w:r>
    </w:p>
    <w:p w14:paraId="17ED046F" w14:textId="77777777" w:rsidR="009A45F9" w:rsidRPr="009A45F9" w:rsidRDefault="009A45F9" w:rsidP="009A45F9">
      <w:pPr>
        <w:pStyle w:val="PGDNormal"/>
      </w:pPr>
      <w:r w:rsidRPr="009A45F9">
        <w:t xml:space="preserve">Use immediately after reconstitution. Dispose of any unused medicinal product or waste material in accordance with local requirements. </w:t>
      </w:r>
    </w:p>
    <w:p w14:paraId="13BC49C6" w14:textId="77777777" w:rsidR="009A45F9" w:rsidRPr="009A45F9" w:rsidRDefault="009A45F9" w:rsidP="009A45F9">
      <w:pPr>
        <w:pStyle w:val="PGDNormal"/>
      </w:pPr>
      <w:r w:rsidRPr="009A45F9">
        <w:rPr>
          <w:b/>
        </w:rPr>
        <w:t>Special handling precautions:</w:t>
      </w:r>
    </w:p>
    <w:p w14:paraId="401B98C4" w14:textId="3B4FB550" w:rsidR="00950562" w:rsidRPr="00950562" w:rsidRDefault="009A45F9" w:rsidP="009A45F9">
      <w:pPr>
        <w:pStyle w:val="PGDNormal"/>
      </w:pPr>
      <w:r w:rsidRPr="009A45F9">
        <w:t xml:space="preserve">No specific handling precautions </w:t>
      </w:r>
      <w:r w:rsidRPr="009A45F9">
        <w:t>are required</w:t>
      </w:r>
      <w:r w:rsidRPr="009A45F9">
        <w:t xml:space="preserve"> but</w:t>
      </w:r>
      <w:r w:rsidRPr="009A45F9">
        <w:rPr>
          <w:b/>
        </w:rPr>
        <w:t xml:space="preserve"> </w:t>
      </w:r>
      <w:r w:rsidRPr="009A45F9">
        <w:t>may cause allergic reactions in sensitive individuals. After contact with skin wash immediately with water and in case of contact with eyes, rinse immediately with plenty of water.</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8004D7" w14:paraId="03771CB0" w14:textId="77777777" w:rsidTr="00973344">
        <w:tc>
          <w:tcPr>
            <w:tcW w:w="2844" w:type="dxa"/>
            <w:tcBorders>
              <w:top w:val="single" w:sz="4" w:space="0" w:color="auto"/>
              <w:left w:val="single" w:sz="4" w:space="0" w:color="auto"/>
              <w:bottom w:val="single" w:sz="4" w:space="0" w:color="auto"/>
              <w:right w:val="single" w:sz="4" w:space="0" w:color="auto"/>
            </w:tcBorders>
          </w:tcPr>
          <w:p w14:paraId="6E209B37" w14:textId="77777777" w:rsidR="008004D7" w:rsidRPr="00A16080" w:rsidRDefault="008004D7" w:rsidP="008004D7">
            <w:pPr>
              <w:rPr>
                <w:rStyle w:val="TableHeaderColumn"/>
                <w:sz w:val="22"/>
                <w:szCs w:val="22"/>
              </w:rPr>
            </w:pPr>
            <w:r w:rsidRPr="00A16080">
              <w:rPr>
                <w:rStyle w:val="TableHeaderColumn"/>
                <w:sz w:val="22"/>
                <w:szCs w:val="22"/>
              </w:rPr>
              <w:t>Duration of treatment</w:t>
            </w:r>
          </w:p>
        </w:tc>
        <w:tc>
          <w:tcPr>
            <w:tcW w:w="5656" w:type="dxa"/>
          </w:tcPr>
          <w:p w14:paraId="45AC70FB" w14:textId="12E031D9" w:rsidR="008004D7" w:rsidRPr="00A16080" w:rsidRDefault="008004D7" w:rsidP="008004D7">
            <w:pPr>
              <w:pStyle w:val="Tabletext"/>
              <w:rPr>
                <w:b/>
                <w:bCs/>
              </w:rPr>
            </w:pPr>
            <w:r w:rsidRPr="000F10E6">
              <w:rPr>
                <w:rFonts w:cs="Arial"/>
                <w:szCs w:val="22"/>
              </w:rPr>
              <w:t xml:space="preserve">Single dose prior to </w:t>
            </w:r>
            <w:r>
              <w:rPr>
                <w:rFonts w:cs="Arial"/>
                <w:szCs w:val="22"/>
              </w:rPr>
              <w:t xml:space="preserve">immediate </w:t>
            </w:r>
            <w:r w:rsidRPr="000F10E6">
              <w:rPr>
                <w:rFonts w:cs="Arial"/>
                <w:szCs w:val="22"/>
              </w:rPr>
              <w:t>transfer to hospital</w:t>
            </w:r>
            <w:r>
              <w:rPr>
                <w:rFonts w:cs="Arial"/>
                <w:szCs w:val="22"/>
              </w:rPr>
              <w:t>.</w:t>
            </w:r>
          </w:p>
        </w:tc>
      </w:tr>
      <w:tr w:rsidR="008004D7" w14:paraId="28CC72BD" w14:textId="77777777" w:rsidTr="00A348FB">
        <w:tc>
          <w:tcPr>
            <w:tcW w:w="2844" w:type="dxa"/>
            <w:tcBorders>
              <w:top w:val="single" w:sz="4" w:space="0" w:color="auto"/>
              <w:left w:val="single" w:sz="4" w:space="0" w:color="auto"/>
              <w:bottom w:val="single" w:sz="4" w:space="0" w:color="auto"/>
              <w:right w:val="single" w:sz="4" w:space="0" w:color="auto"/>
            </w:tcBorders>
          </w:tcPr>
          <w:p w14:paraId="0B9434B4" w14:textId="77777777" w:rsidR="008004D7" w:rsidRPr="00A16080" w:rsidRDefault="008004D7" w:rsidP="008004D7">
            <w:pPr>
              <w:rPr>
                <w:rStyle w:val="TableHeaderColumn"/>
                <w:sz w:val="22"/>
                <w:szCs w:val="22"/>
              </w:rPr>
            </w:pPr>
            <w:bookmarkStart w:id="7" w:name="Storage"/>
            <w:bookmarkEnd w:id="7"/>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4FB689AC" w14:textId="77777777" w:rsidR="008004D7" w:rsidRPr="00C434B8" w:rsidRDefault="008004D7" w:rsidP="008004D7">
            <w:pPr>
              <w:overflowPunct w:val="0"/>
              <w:autoSpaceDE w:val="0"/>
              <w:autoSpaceDN w:val="0"/>
              <w:adjustRightInd w:val="0"/>
              <w:textAlignment w:val="baseline"/>
              <w:rPr>
                <w:rFonts w:ascii="Arial" w:eastAsia="Times New Roman" w:hAnsi="Arial" w:cs="Arial"/>
                <w:kern w:val="0"/>
                <w:sz w:val="22"/>
                <w:lang w:val="en-US"/>
                <w14:ligatures w14:val="none"/>
              </w:rPr>
            </w:pPr>
            <w:r w:rsidRPr="00A16080">
              <w:rPr>
                <w:rFonts w:ascii="Arial" w:eastAsia="Times New Roman" w:hAnsi="Arial" w:cs="Arial"/>
                <w:kern w:val="0"/>
                <w:sz w:val="22"/>
                <w14:ligatures w14:val="none"/>
              </w:rPr>
              <w:t>Stock must be securely stored according to organisation medicines policy and in conditions in line with</w:t>
            </w:r>
            <w:r>
              <w:rPr>
                <w:rFonts w:ascii="Arial" w:eastAsia="Times New Roman" w:hAnsi="Arial" w:cs="Arial"/>
                <w:kern w:val="0"/>
                <w:sz w:val="22"/>
                <w14:ligatures w14:val="none"/>
              </w:rPr>
              <w:t xml:space="preserve"> </w:t>
            </w:r>
            <w:r w:rsidRPr="005A6885">
              <w:rPr>
                <w:rFonts w:ascii="Arial" w:eastAsia="Times New Roman" w:hAnsi="Arial" w:cs="Arial"/>
                <w:kern w:val="0"/>
                <w:sz w:val="22"/>
                <w:lang w:val="en-US"/>
                <w14:ligatures w14:val="none"/>
              </w:rPr>
              <w:t>the</w:t>
            </w:r>
            <w:hyperlink r:id="rId22" w:history="1">
              <w:r>
                <w:rPr>
                  <w:rStyle w:val="Hyperlink"/>
                  <w:rFonts w:ascii="Arial" w:eastAsia="Times New Roman" w:hAnsi="Arial" w:cs="Arial"/>
                  <w:kern w:val="0"/>
                  <w:sz w:val="22"/>
                  <w14:ligatures w14:val="none"/>
                </w:rPr>
                <w:t xml:space="preserve"> </w:t>
              </w:r>
              <w:r>
                <w:rPr>
                  <w:rStyle w:val="Hyperlink"/>
                  <w:rFonts w:ascii="Arial" w:eastAsia="Times New Roman" w:hAnsi="Arial" w:cs="Arial"/>
                  <w:kern w:val="0"/>
                  <w:sz w:val="22"/>
                  <w:lang w:val="en-US"/>
                  <w14:ligatures w14:val="none"/>
                </w:rPr>
                <w:t>p</w:t>
              </w:r>
              <w:r>
                <w:rPr>
                  <w:rStyle w:val="Hyperlink"/>
                  <w:rFonts w:ascii="Arial" w:eastAsia="Times New Roman" w:hAnsi="Arial" w:cs="Arial"/>
                  <w:sz w:val="22"/>
                  <w:lang w:val="en-US"/>
                </w:rPr>
                <w:t xml:space="preserve">roduct </w:t>
              </w:r>
              <w:r w:rsidRPr="0018109D">
                <w:rPr>
                  <w:rStyle w:val="Hyperlink"/>
                  <w:rFonts w:ascii="Arial" w:eastAsia="Times New Roman" w:hAnsi="Arial" w:cs="Arial"/>
                  <w:kern w:val="0"/>
                  <w:sz w:val="22"/>
                  <w:lang w:val="en-US"/>
                  <w14:ligatures w14:val="none"/>
                </w:rPr>
                <w:t>SmPC which is available on the EMC website</w:t>
              </w:r>
            </w:hyperlink>
          </w:p>
        </w:tc>
      </w:tr>
      <w:tr w:rsidR="008004D7" w14:paraId="5BE4336F" w14:textId="77777777" w:rsidTr="00A348FB">
        <w:tc>
          <w:tcPr>
            <w:tcW w:w="2844" w:type="dxa"/>
            <w:tcBorders>
              <w:top w:val="single" w:sz="4" w:space="0" w:color="auto"/>
              <w:left w:val="single" w:sz="4" w:space="0" w:color="auto"/>
              <w:bottom w:val="single" w:sz="4" w:space="0" w:color="auto"/>
              <w:right w:val="single" w:sz="4" w:space="0" w:color="auto"/>
            </w:tcBorders>
          </w:tcPr>
          <w:p w14:paraId="465A7BAD" w14:textId="77777777" w:rsidR="008004D7" w:rsidRPr="00A16080" w:rsidRDefault="008004D7" w:rsidP="008004D7">
            <w:pPr>
              <w:rPr>
                <w:rStyle w:val="TableHeaderColumn"/>
                <w:sz w:val="22"/>
                <w:szCs w:val="22"/>
              </w:rPr>
            </w:pPr>
            <w:bookmarkStart w:id="8" w:name="Interactions"/>
            <w:bookmarkEnd w:id="8"/>
            <w:r w:rsidRPr="00A16080">
              <w:rPr>
                <w:rStyle w:val="TableHeaderColumn"/>
                <w:sz w:val="22"/>
                <w:szCs w:val="22"/>
              </w:rPr>
              <w:lastRenderedPageBreak/>
              <w:t>Drug interactions</w:t>
            </w:r>
          </w:p>
        </w:tc>
        <w:tc>
          <w:tcPr>
            <w:tcW w:w="5656" w:type="dxa"/>
            <w:tcBorders>
              <w:top w:val="single" w:sz="4" w:space="0" w:color="auto"/>
              <w:left w:val="single" w:sz="4" w:space="0" w:color="auto"/>
              <w:bottom w:val="single" w:sz="4" w:space="0" w:color="auto"/>
              <w:right w:val="single" w:sz="4" w:space="0" w:color="auto"/>
            </w:tcBorders>
          </w:tcPr>
          <w:p w14:paraId="6D6D51EB" w14:textId="77777777" w:rsidR="008004D7" w:rsidRPr="008004D7" w:rsidRDefault="008004D7" w:rsidP="008004D7">
            <w:pPr>
              <w:pStyle w:val="Tabletext"/>
              <w:rPr>
                <w:lang w:val="en-GB"/>
              </w:rPr>
            </w:pPr>
            <w:r w:rsidRPr="008004D7">
              <w:rPr>
                <w:lang w:val="en-GB"/>
              </w:rPr>
              <w:t xml:space="preserve">During life threatening situations, urgent access to hospital and administration of timely antibiotic treatment is critical therefore drug interactions are not a significant priority.  Handover to emergency services should include a full medication history so follow up can be undertaken. </w:t>
            </w:r>
          </w:p>
          <w:p w14:paraId="11BDB901" w14:textId="77777777" w:rsidR="008004D7" w:rsidRPr="00FA5C07" w:rsidRDefault="008004D7" w:rsidP="008004D7">
            <w:pPr>
              <w:pStyle w:val="Tabletext"/>
            </w:pPr>
          </w:p>
          <w:p w14:paraId="366F0373" w14:textId="77777777" w:rsidR="008004D7" w:rsidRDefault="008004D7" w:rsidP="008004D7">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23" w:history="1">
              <w:r>
                <w:rPr>
                  <w:rStyle w:val="Hyperlink"/>
                  <w:lang w:val="en-GB"/>
                </w:rPr>
                <w:t>SmPC which is available on the EMC website</w:t>
              </w:r>
            </w:hyperlink>
            <w:r>
              <w:rPr>
                <w:rFonts w:cs="Arial"/>
                <w:color w:val="000000"/>
                <w:lang w:val="en-GB"/>
              </w:rPr>
              <w:t xml:space="preserve"> </w:t>
            </w:r>
            <w:r w:rsidRPr="00D54EC6">
              <w:t xml:space="preserve">or </w:t>
            </w:r>
            <w:hyperlink r:id="rId24" w:history="1">
              <w:r w:rsidRPr="00BD1D91">
                <w:rPr>
                  <w:rStyle w:val="Hyperlink"/>
                  <w:rFonts w:cs="Arial"/>
                  <w:bCs/>
                  <w:iCs/>
                </w:rPr>
                <w:t>the BNF</w:t>
              </w:r>
            </w:hyperlink>
          </w:p>
        </w:tc>
      </w:tr>
      <w:tr w:rsidR="008004D7" w14:paraId="5A01E3E0" w14:textId="77777777" w:rsidTr="00A348FB">
        <w:tc>
          <w:tcPr>
            <w:tcW w:w="2844" w:type="dxa"/>
            <w:tcBorders>
              <w:top w:val="single" w:sz="4" w:space="0" w:color="auto"/>
              <w:left w:val="single" w:sz="4" w:space="0" w:color="auto"/>
              <w:bottom w:val="single" w:sz="4" w:space="0" w:color="auto"/>
              <w:right w:val="single" w:sz="4" w:space="0" w:color="auto"/>
            </w:tcBorders>
          </w:tcPr>
          <w:p w14:paraId="5C960F4D" w14:textId="77777777" w:rsidR="008004D7" w:rsidRPr="00A16080" w:rsidRDefault="008004D7" w:rsidP="008004D7">
            <w:pPr>
              <w:rPr>
                <w:rStyle w:val="TableHeaderColumn"/>
                <w:sz w:val="22"/>
                <w:szCs w:val="22"/>
              </w:rPr>
            </w:pPr>
            <w:r w:rsidRPr="00A16080">
              <w:rPr>
                <w:rStyle w:val="TableHeaderColumn"/>
                <w:sz w:val="22"/>
                <w:szCs w:val="22"/>
              </w:rPr>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46ED4D68" w14:textId="77777777" w:rsidR="008004D7" w:rsidRPr="000F10E6" w:rsidRDefault="008004D7" w:rsidP="008004D7">
            <w:pPr>
              <w:pStyle w:val="Bulletindent1"/>
              <w:rPr>
                <w:rFonts w:eastAsia="Calibri"/>
              </w:rPr>
            </w:pPr>
            <w:r w:rsidRPr="000F10E6">
              <w:rPr>
                <w:rFonts w:eastAsia="Calibri"/>
              </w:rPr>
              <w:t xml:space="preserve">Hypersensitivity to penicillin in the form of rashes (all types), fever, and serum sickness may occur (1-10% treated </w:t>
            </w:r>
            <w:r>
              <w:rPr>
                <w:rFonts w:eastAsia="Calibri"/>
              </w:rPr>
              <w:t>individual</w:t>
            </w:r>
            <w:r w:rsidRPr="000F10E6">
              <w:rPr>
                <w:rFonts w:eastAsia="Calibri"/>
              </w:rPr>
              <w:t>s). These may be treated with antihistamine drugs.</w:t>
            </w:r>
          </w:p>
          <w:p w14:paraId="18BF663A" w14:textId="77777777" w:rsidR="008004D7" w:rsidRPr="000F10E6" w:rsidRDefault="008004D7" w:rsidP="008004D7">
            <w:pPr>
              <w:pStyle w:val="Bulletindent1"/>
              <w:rPr>
                <w:rFonts w:eastAsia="Calibri"/>
              </w:rPr>
            </w:pPr>
            <w:r w:rsidRPr="000F10E6">
              <w:rPr>
                <w:rFonts w:eastAsia="Calibri"/>
              </w:rPr>
              <w:t>Anaphylactic reactions have been reported rarely</w:t>
            </w:r>
            <w:r>
              <w:rPr>
                <w:rFonts w:eastAsia="Calibri"/>
              </w:rPr>
              <w:t>.</w:t>
            </w:r>
          </w:p>
          <w:p w14:paraId="3574B99F" w14:textId="3F4018B2" w:rsidR="008004D7" w:rsidRDefault="008004D7" w:rsidP="008004D7">
            <w:pPr>
              <w:pStyle w:val="Tabletext"/>
            </w:pPr>
            <w:r w:rsidRPr="00E82744">
              <w:rPr>
                <w:lang w:val="en-GB"/>
              </w:rPr>
              <w:t xml:space="preserve">A detailed list of drug interactions is included in the </w:t>
            </w:r>
            <w:hyperlink r:id="rId25" w:history="1">
              <w:r>
                <w:rPr>
                  <w:rStyle w:val="Hyperlink"/>
                  <w:lang w:val="en-GB"/>
                </w:rPr>
                <w:t>SmPC which is available on the EMC website</w:t>
              </w:r>
            </w:hyperlink>
            <w:r w:rsidRPr="00E82744">
              <w:rPr>
                <w:lang w:val="en-GB"/>
              </w:rPr>
              <w:t xml:space="preserve"> or </w:t>
            </w:r>
            <w:hyperlink r:id="rId26" w:history="1">
              <w:r w:rsidRPr="00E82744">
                <w:rPr>
                  <w:rStyle w:val="Hyperlink"/>
                  <w:bCs/>
                  <w:iCs/>
                  <w:lang w:val="en-GB"/>
                </w:rPr>
                <w:t>the BNF</w:t>
              </w:r>
            </w:hyperlink>
            <w:r>
              <w:rPr>
                <w:lang w:val="en-GB"/>
              </w:rPr>
              <w:t xml:space="preserve"> </w:t>
            </w:r>
          </w:p>
        </w:tc>
      </w:tr>
      <w:tr w:rsidR="008004D7" w14:paraId="1C820BEA" w14:textId="77777777" w:rsidTr="00A348FB">
        <w:tc>
          <w:tcPr>
            <w:tcW w:w="2844" w:type="dxa"/>
          </w:tcPr>
          <w:p w14:paraId="158FDD6C" w14:textId="77777777" w:rsidR="008004D7" w:rsidRPr="00A16080" w:rsidRDefault="008004D7" w:rsidP="008004D7">
            <w:pPr>
              <w:rPr>
                <w:rStyle w:val="TableHeaderColumn"/>
                <w:sz w:val="22"/>
                <w:szCs w:val="22"/>
              </w:rPr>
            </w:pPr>
            <w:r w:rsidRPr="00A16080">
              <w:rPr>
                <w:rStyle w:val="TableHeaderColumn"/>
                <w:sz w:val="22"/>
                <w:szCs w:val="22"/>
              </w:rPr>
              <w:t>Management of and reporting procedures for adverse reactions</w:t>
            </w:r>
          </w:p>
        </w:tc>
        <w:tc>
          <w:tcPr>
            <w:tcW w:w="5656" w:type="dxa"/>
          </w:tcPr>
          <w:p w14:paraId="209BA319" w14:textId="77777777" w:rsidR="008004D7" w:rsidRPr="009B26FA" w:rsidRDefault="008004D7" w:rsidP="008004D7">
            <w:pPr>
              <w:pStyle w:val="Bulletindent1"/>
            </w:pPr>
            <w:r w:rsidRPr="009B26FA">
              <w:t xml:space="preserve">The practitioner acting under this PGD must ensure that all necessary drugs and equipment are available for immediate treatment should a hypersensitivity reaction occur and must be </w:t>
            </w:r>
            <w:r>
              <w:t xml:space="preserve">trained to manage anaphylaxis. Parenteral medicines to treat anaphylaxis can be administered without a prescription for the </w:t>
            </w:r>
            <w:r w:rsidRPr="00D03215">
              <w:t>purpose of saving life in an emergency</w:t>
            </w:r>
            <w:r>
              <w:t xml:space="preserve"> as specified in Schedule 19 of </w:t>
            </w:r>
            <w:r w:rsidRPr="00D03215">
              <w:t>The Human Medicines Regulations 2012</w:t>
            </w:r>
            <w:r>
              <w:t>.</w:t>
            </w:r>
          </w:p>
          <w:p w14:paraId="4B2E31EE" w14:textId="77777777" w:rsidR="008004D7" w:rsidRPr="008D2560" w:rsidRDefault="008004D7" w:rsidP="008004D7">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7"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463E4C0E" w14:textId="77777777" w:rsidR="008004D7" w:rsidRPr="008D2560" w:rsidRDefault="008004D7" w:rsidP="008004D7">
            <w:pPr>
              <w:pStyle w:val="Bulletindent1"/>
            </w:pPr>
            <w:r w:rsidRPr="008D2560">
              <w:t xml:space="preserve">Record all adverse drug reactions (ADRs) in the </w:t>
            </w:r>
            <w:r>
              <w:t>individual’s clinical record.</w:t>
            </w:r>
          </w:p>
          <w:p w14:paraId="5EF891B2" w14:textId="77777777" w:rsidR="008004D7" w:rsidRDefault="008004D7" w:rsidP="008004D7">
            <w:pPr>
              <w:pStyle w:val="Bulletindent1"/>
            </w:pPr>
            <w:r w:rsidRPr="00AC0BE9">
              <w:t>[</w:t>
            </w:r>
            <w:r w:rsidRPr="00802041">
              <w:rPr>
                <w:highlight w:val="cyan"/>
              </w:rPr>
              <w:t>Report via organisation incident policy (include link and any further detail required)</w:t>
            </w:r>
            <w:r w:rsidRPr="00AC0BE9">
              <w:t>]</w:t>
            </w:r>
          </w:p>
          <w:p w14:paraId="00FA46FD" w14:textId="77777777" w:rsidR="008004D7" w:rsidRPr="00504FB7" w:rsidRDefault="008004D7" w:rsidP="008004D7">
            <w:pPr>
              <w:pStyle w:val="Bulletindent1"/>
            </w:pPr>
            <w:r w:rsidRPr="00A16080">
              <w:t>It is considered good practice to notify the individual’s GP in the event of an adverse reaction.</w:t>
            </w:r>
          </w:p>
        </w:tc>
      </w:tr>
      <w:tr w:rsidR="008004D7" w14:paraId="49EF5565" w14:textId="77777777" w:rsidTr="00A348FB">
        <w:tc>
          <w:tcPr>
            <w:tcW w:w="2844" w:type="dxa"/>
          </w:tcPr>
          <w:p w14:paraId="520D1671" w14:textId="77777777" w:rsidR="008004D7" w:rsidRPr="00A16080" w:rsidRDefault="008004D7" w:rsidP="008004D7">
            <w:pPr>
              <w:rPr>
                <w:rStyle w:val="TableHeaderColumn"/>
                <w:kern w:val="0"/>
                <w:sz w:val="22"/>
              </w:rPr>
            </w:pPr>
            <w:r w:rsidRPr="00A16080">
              <w:rPr>
                <w:rStyle w:val="TableHeaderColumn"/>
                <w:kern w:val="0"/>
                <w:sz w:val="22"/>
              </w:rPr>
              <w:t>Individual advice / follow up</w:t>
            </w:r>
            <w:r>
              <w:rPr>
                <w:rStyle w:val="TableHeaderColumn"/>
                <w:kern w:val="0"/>
                <w:sz w:val="22"/>
              </w:rPr>
              <w:t xml:space="preserve"> </w:t>
            </w:r>
            <w:r w:rsidRPr="00A16080">
              <w:rPr>
                <w:rStyle w:val="TableHeaderColumn"/>
                <w:kern w:val="0"/>
                <w:sz w:val="22"/>
              </w:rPr>
              <w:t>treatment</w:t>
            </w:r>
          </w:p>
          <w:p w14:paraId="5B22D487" w14:textId="77777777" w:rsidR="008004D7" w:rsidRPr="00A16080" w:rsidRDefault="008004D7" w:rsidP="008004D7">
            <w:pPr>
              <w:rPr>
                <w:rStyle w:val="TableHeaderColumn"/>
                <w:sz w:val="22"/>
                <w:szCs w:val="22"/>
              </w:rPr>
            </w:pPr>
          </w:p>
        </w:tc>
        <w:tc>
          <w:tcPr>
            <w:tcW w:w="5656" w:type="dxa"/>
          </w:tcPr>
          <w:p w14:paraId="62401E6D" w14:textId="77777777" w:rsidR="008004D7" w:rsidRDefault="008004D7" w:rsidP="008004D7">
            <w:pPr>
              <w:pStyle w:val="Bulletindent1"/>
            </w:pPr>
            <w:r w:rsidRPr="00A16080">
              <w:lastRenderedPageBreak/>
              <w:t>Explain the dose, frequency and method of administration.</w:t>
            </w:r>
          </w:p>
          <w:p w14:paraId="50DC1E34" w14:textId="77777777" w:rsidR="008004D7" w:rsidRDefault="008004D7" w:rsidP="008004D7">
            <w:pPr>
              <w:pStyle w:val="Bulletindent1"/>
            </w:pPr>
            <w:r w:rsidRPr="00C3593F">
              <w:rPr>
                <w:lang w:eastAsia="en-GB"/>
              </w:rPr>
              <w:lastRenderedPageBreak/>
              <w:t>The individual/carer/parent/guardian should be advised to read the PIL.</w:t>
            </w:r>
          </w:p>
          <w:p w14:paraId="277F8C3B" w14:textId="77777777" w:rsidR="008004D7" w:rsidRPr="004149AC" w:rsidRDefault="008004D7" w:rsidP="008004D7">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28"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63337704" w14:textId="77777777" w:rsidR="008004D7" w:rsidRPr="00DB0183" w:rsidRDefault="008004D7" w:rsidP="008004D7">
            <w:pPr>
              <w:pStyle w:val="Bulletindent1"/>
            </w:pPr>
            <w:r>
              <w:t>A</w:t>
            </w:r>
            <w:r w:rsidRPr="00DB0183">
              <w:t>dvise individual/</w:t>
            </w:r>
            <w:r w:rsidRPr="00DB0183">
              <w:rPr>
                <w:rFonts w:eastAsia="Arial"/>
              </w:rPr>
              <w:t>carer</w:t>
            </w:r>
            <w:r w:rsidRPr="00DB0183">
              <w:rPr>
                <w:rFonts w:eastAsia="Arial"/>
                <w:spacing w:val="12"/>
              </w:rPr>
              <w:t>/parent/guardian</w:t>
            </w:r>
            <w:r w:rsidRPr="00DB0183">
              <w:t xml:space="preserve"> to seek medical advice if no improvement </w:t>
            </w:r>
            <w:r>
              <w:t>after completion of treatment course</w:t>
            </w:r>
            <w:r w:rsidRPr="00DB0183">
              <w:t>.</w:t>
            </w:r>
            <w:r w:rsidRPr="00DB0183">
              <w:rPr>
                <w:color w:val="FF0000"/>
              </w:rPr>
              <w:t xml:space="preserve"> </w:t>
            </w:r>
          </w:p>
          <w:p w14:paraId="4869CE83" w14:textId="77777777" w:rsidR="008004D7" w:rsidRPr="00620823" w:rsidRDefault="008004D7" w:rsidP="008004D7">
            <w:pPr>
              <w:pStyle w:val="Bulletindent1"/>
              <w:rPr>
                <w:rFonts w:eastAsia="Calibri"/>
                <w:iCs/>
              </w:rPr>
            </w:pPr>
            <w:r w:rsidRPr="00D37A41">
              <w:rPr>
                <w:rFonts w:eastAsia="Calibri"/>
              </w:rPr>
              <w:t>Advise individual/carer/parent/guardian to seek medical help if symptoms worsen rapidly or significantly</w:t>
            </w:r>
            <w:r>
              <w:rPr>
                <w:rFonts w:eastAsia="Calibri"/>
              </w:rPr>
              <w:t xml:space="preserve"> </w:t>
            </w:r>
            <w:r w:rsidRPr="00620823">
              <w:rPr>
                <w:rFonts w:eastAsia="Calibri"/>
                <w:iCs/>
              </w:rPr>
              <w:t xml:space="preserve">at any time. </w:t>
            </w:r>
          </w:p>
          <w:p w14:paraId="1E244D4F" w14:textId="77777777" w:rsidR="008004D7" w:rsidRPr="00D37A41" w:rsidRDefault="008004D7" w:rsidP="008004D7">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29" w:history="1">
              <w:r>
                <w:rPr>
                  <w:rFonts w:eastAsia="Calibri"/>
                  <w:color w:val="0000FF"/>
                  <w:u w:val="single"/>
                </w:rPr>
                <w:t>signs or symptoms of sepsis as described on the NHS website</w:t>
              </w:r>
            </w:hyperlink>
            <w:r w:rsidRPr="00D37A41">
              <w:rPr>
                <w:rFonts w:eastAsia="Calibri"/>
              </w:rPr>
              <w:t xml:space="preserve">. </w:t>
            </w:r>
          </w:p>
          <w:p w14:paraId="71B6A1BE" w14:textId="77777777" w:rsidR="008004D7" w:rsidRPr="00677C74" w:rsidRDefault="008004D7" w:rsidP="008004D7">
            <w:pPr>
              <w:pStyle w:val="Bulletindent1"/>
              <w:rPr>
                <w:iCs/>
              </w:rPr>
            </w:pPr>
            <w:r>
              <w:rPr>
                <w:rFonts w:eastAsia="Arial"/>
              </w:rPr>
              <w:t xml:space="preserve">Inform </w:t>
            </w:r>
            <w:r w:rsidRPr="00FF7E56">
              <w:rPr>
                <w:rFonts w:eastAsia="Arial"/>
              </w:rPr>
              <w:t>individual/carer</w:t>
            </w:r>
            <w:r>
              <w:rPr>
                <w:rFonts w:eastAsia="Arial"/>
                <w:spacing w:val="12"/>
              </w:rPr>
              <w:t xml:space="preserve">/parent/guardian </w:t>
            </w:r>
            <w:r w:rsidRPr="00FF7E56">
              <w:rPr>
                <w:rFonts w:eastAsia="Arial"/>
              </w:rPr>
              <w:t xml:space="preserve">of </w:t>
            </w:r>
            <w:r w:rsidRPr="00677C74">
              <w:rPr>
                <w:rFonts w:eastAsia="Arial"/>
              </w:rPr>
              <w:t>possible side effects and their management,</w:t>
            </w:r>
            <w:r>
              <w:rPr>
                <w:rFonts w:eastAsia="Arial"/>
              </w:rPr>
              <w:t xml:space="preserve"> including advice to take phenoxymethylpenicillin on an empty stomach (30 minutes before food or 2 hours after).</w:t>
            </w:r>
          </w:p>
          <w:p w14:paraId="0667F242" w14:textId="77777777" w:rsidR="008004D7" w:rsidRPr="00607D12" w:rsidRDefault="008004D7" w:rsidP="008004D7">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t>
            </w:r>
            <w:r w:rsidRPr="00A64695">
              <w:rPr>
                <w:rFonts w:eastAsia="Arial"/>
              </w:rPr>
              <w:t>and to finish the course.</w:t>
            </w:r>
          </w:p>
          <w:p w14:paraId="5CC587BF" w14:textId="77777777" w:rsidR="008004D7" w:rsidRPr="00D37A41" w:rsidRDefault="008004D7" w:rsidP="008004D7">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20F585F4" w14:textId="77777777" w:rsidR="008004D7" w:rsidRPr="003275A9" w:rsidRDefault="008004D7" w:rsidP="008004D7">
            <w:pPr>
              <w:pStyle w:val="Bulletindent1"/>
            </w:pPr>
            <w:r w:rsidRPr="003275A9">
              <w:t>If a dose is missed</w:t>
            </w:r>
            <w:r>
              <w:t>,</w:t>
            </w:r>
            <w:r w:rsidRPr="003275A9">
              <w:t xml:space="preserve"> advise </w:t>
            </w:r>
            <w:proofErr w:type="gramStart"/>
            <w:r w:rsidRPr="003275A9">
              <w:t>to refer</w:t>
            </w:r>
            <w:proofErr w:type="gramEnd"/>
            <w:r w:rsidRPr="003275A9">
              <w:t xml:space="preserve"> to PIL supplied with the product</w:t>
            </w:r>
          </w:p>
          <w:p w14:paraId="062093C6" w14:textId="77777777" w:rsidR="008004D7" w:rsidRPr="00644130" w:rsidRDefault="008004D7" w:rsidP="008004D7">
            <w:pPr>
              <w:pStyle w:val="Bulletindent1"/>
            </w:pPr>
            <w:r w:rsidRPr="003275A9">
              <w:t>Advise individual/carer/parent/guardian to complete the full course even if symptoms improve.</w:t>
            </w:r>
          </w:p>
          <w:p w14:paraId="2AD1B3E6" w14:textId="77777777" w:rsidR="008004D7" w:rsidRPr="00D54EC6" w:rsidRDefault="008004D7" w:rsidP="008004D7">
            <w:pPr>
              <w:pStyle w:val="Bulletindent1"/>
            </w:pPr>
            <w:r>
              <w:t>Advise individual/carer/parent/guardian to return any unused medicines to a pharmacy for disposal: do not dispose of medicines in the bin, down the sink or toilet.</w:t>
            </w:r>
          </w:p>
        </w:tc>
      </w:tr>
      <w:tr w:rsidR="008004D7" w14:paraId="3B58BC62" w14:textId="77777777" w:rsidTr="00A348FB">
        <w:tc>
          <w:tcPr>
            <w:tcW w:w="2844" w:type="dxa"/>
          </w:tcPr>
          <w:p w14:paraId="7DABF188" w14:textId="77777777" w:rsidR="008004D7" w:rsidRPr="00A16080" w:rsidRDefault="008004D7" w:rsidP="008004D7">
            <w:pPr>
              <w:rPr>
                <w:rStyle w:val="TableHeaderColumn"/>
                <w:sz w:val="22"/>
                <w:szCs w:val="22"/>
              </w:rPr>
            </w:pPr>
            <w:r w:rsidRPr="00A16080">
              <w:rPr>
                <w:rStyle w:val="TableHeaderColumn"/>
                <w:sz w:val="22"/>
                <w:szCs w:val="22"/>
              </w:rPr>
              <w:lastRenderedPageBreak/>
              <w:t>Records to be kept</w:t>
            </w:r>
          </w:p>
        </w:tc>
        <w:tc>
          <w:tcPr>
            <w:tcW w:w="5656" w:type="dxa"/>
          </w:tcPr>
          <w:p w14:paraId="485DF98C" w14:textId="77777777" w:rsidR="008004D7" w:rsidRDefault="008004D7" w:rsidP="008004D7">
            <w:pPr>
              <w:pStyle w:val="Tabletext"/>
            </w:pPr>
            <w:r w:rsidRPr="004133DF">
              <w:t>Appropriate records must include the following:</w:t>
            </w:r>
          </w:p>
          <w:p w14:paraId="344C28C3" w14:textId="77777777" w:rsidR="005E3AAD" w:rsidRPr="005E3AAD" w:rsidRDefault="008004D7" w:rsidP="005E3AAD">
            <w:pPr>
              <w:pStyle w:val="Bulletindent1"/>
            </w:pPr>
            <w:r w:rsidRPr="004133DF">
              <w:t>That valid informed consent has been given</w:t>
            </w:r>
            <w:r w:rsidR="005E3AAD">
              <w:t xml:space="preserve"> </w:t>
            </w:r>
            <w:r w:rsidR="005E3AAD" w:rsidRPr="005E3AAD">
              <w:t>(or if cannot be obtained, the reason(s) why)</w:t>
            </w:r>
          </w:p>
          <w:p w14:paraId="774D5543" w14:textId="77777777" w:rsidR="008004D7" w:rsidRDefault="008004D7" w:rsidP="005E3AAD">
            <w:pPr>
              <w:pStyle w:val="Bulletindent1"/>
            </w:pPr>
            <w:r w:rsidRPr="004133DF">
              <w:lastRenderedPageBreak/>
              <w:t>Individual’s name, address and date of birth</w:t>
            </w:r>
          </w:p>
          <w:p w14:paraId="6CCCEC24" w14:textId="77777777" w:rsidR="008004D7" w:rsidRDefault="008004D7" w:rsidP="005E3AAD">
            <w:pPr>
              <w:pStyle w:val="Bulletindent1"/>
            </w:pPr>
            <w:r w:rsidRPr="004133DF">
              <w:t>Name of GP individual is registered with or record where an individual is not registered with a GP</w:t>
            </w:r>
          </w:p>
          <w:p w14:paraId="0C8C0436" w14:textId="30D8ADCD" w:rsidR="008004D7" w:rsidRDefault="008004D7" w:rsidP="005E3AAD">
            <w:pPr>
              <w:pStyle w:val="Bulletindent1"/>
            </w:pPr>
            <w:r w:rsidRPr="004133DF">
              <w:t xml:space="preserve">Name </w:t>
            </w:r>
            <w:r w:rsidR="005E3AAD">
              <w:t xml:space="preserve">and </w:t>
            </w:r>
            <w:r w:rsidR="005E3AAD" w:rsidRPr="005E3AAD">
              <w:t>registration number of registered health professional operating under the PGD</w:t>
            </w:r>
          </w:p>
          <w:p w14:paraId="728A4B14" w14:textId="77777777" w:rsidR="008004D7" w:rsidRDefault="008004D7" w:rsidP="005E3AAD">
            <w:pPr>
              <w:pStyle w:val="Bulletindent1"/>
            </w:pPr>
            <w:r w:rsidRPr="004133DF">
              <w:t>Specify how the individual has/has not met the criteria of the PGD</w:t>
            </w:r>
          </w:p>
          <w:p w14:paraId="7A058330" w14:textId="77777777" w:rsidR="005E3AAD" w:rsidRDefault="005E3AAD" w:rsidP="005E3AAD">
            <w:pPr>
              <w:pStyle w:val="Bulletindent1"/>
            </w:pPr>
            <w:r w:rsidRPr="00A61C8E">
              <w:t>Relevant past and present medical history and medication history</w:t>
            </w:r>
          </w:p>
          <w:p w14:paraId="4086C8B7" w14:textId="77777777" w:rsidR="005E3AAD" w:rsidRPr="00A61C8E" w:rsidRDefault="005E3AAD" w:rsidP="005E3AAD">
            <w:pPr>
              <w:pStyle w:val="Bulletindent1"/>
            </w:pPr>
            <w:r>
              <w:t>Any known allergies and nature of reaction(s)</w:t>
            </w:r>
          </w:p>
          <w:p w14:paraId="0DCEED20" w14:textId="77777777" w:rsidR="005E3AAD" w:rsidRDefault="005E3AAD" w:rsidP="005E3AAD">
            <w:pPr>
              <w:pStyle w:val="Bulletindent1"/>
            </w:pPr>
            <w:r>
              <w:t>Name/d</w:t>
            </w:r>
            <w:r w:rsidRPr="00073FD5">
              <w:t>ose</w:t>
            </w:r>
            <w:r>
              <w:t>/form/route of administration of medicine administered</w:t>
            </w:r>
          </w:p>
          <w:p w14:paraId="566B9387" w14:textId="77777777" w:rsidR="005E3AAD" w:rsidRPr="0036145B" w:rsidRDefault="005E3AAD" w:rsidP="005E3AAD">
            <w:pPr>
              <w:pStyle w:val="Bulletindent1"/>
            </w:pPr>
            <w:r>
              <w:t>B</w:t>
            </w:r>
            <w:r w:rsidRPr="000F10E6">
              <w:t>atch number and expiry date</w:t>
            </w:r>
            <w:r>
              <w:t xml:space="preserve"> of medicine administered</w:t>
            </w:r>
          </w:p>
          <w:p w14:paraId="78079701" w14:textId="77777777" w:rsidR="005E3AAD" w:rsidRDefault="005E3AAD" w:rsidP="005E3AAD">
            <w:pPr>
              <w:pStyle w:val="Bulletindent1"/>
            </w:pPr>
            <w:r w:rsidRPr="00073FD5">
              <w:t xml:space="preserve">Date and time </w:t>
            </w:r>
            <w:r>
              <w:t>of administration</w:t>
            </w:r>
          </w:p>
          <w:p w14:paraId="5638EFF5" w14:textId="77777777" w:rsidR="005E3AAD" w:rsidRPr="000F10E6" w:rsidRDefault="005E3AAD" w:rsidP="005E3AAD">
            <w:pPr>
              <w:pStyle w:val="Bulletindent1"/>
            </w:pPr>
            <w:r>
              <w:t>A</w:t>
            </w:r>
            <w:r w:rsidRPr="000F10E6">
              <w:t>natomical site of administration (if indicated)</w:t>
            </w:r>
          </w:p>
          <w:p w14:paraId="615A67BD" w14:textId="77777777" w:rsidR="005E3AAD" w:rsidRPr="000F10E6" w:rsidRDefault="005E3AAD" w:rsidP="005E3AAD">
            <w:pPr>
              <w:pStyle w:val="Bulletindent1"/>
            </w:pPr>
            <w:r>
              <w:t>A</w:t>
            </w:r>
            <w:r w:rsidRPr="000F10E6">
              <w:t>dvice given, including advice given if excluded or declines treatment</w:t>
            </w:r>
          </w:p>
          <w:p w14:paraId="644AA06A" w14:textId="77777777" w:rsidR="005E3AAD" w:rsidRDefault="005E3AAD" w:rsidP="005E3AAD">
            <w:pPr>
              <w:pStyle w:val="Bulletindent1"/>
            </w:pPr>
            <w:r>
              <w:t>D</w:t>
            </w:r>
            <w:r w:rsidRPr="000F10E6">
              <w:t>etails of any adverse drug reactions and actions taken</w:t>
            </w:r>
          </w:p>
          <w:p w14:paraId="1DF8EBC9" w14:textId="77777777" w:rsidR="005E3AAD" w:rsidRPr="000F10E6" w:rsidRDefault="005E3AAD" w:rsidP="005E3AAD">
            <w:pPr>
              <w:pStyle w:val="Bulletindent1"/>
            </w:pPr>
            <w:r>
              <w:t>Details of transfer to secondary care</w:t>
            </w:r>
          </w:p>
          <w:p w14:paraId="717A395C" w14:textId="77777777" w:rsidR="005E3AAD" w:rsidRDefault="005E3AAD" w:rsidP="005E3AAD">
            <w:pPr>
              <w:pStyle w:val="Bulletindent1"/>
            </w:pPr>
            <w:r>
              <w:t xml:space="preserve">That administration was made under a Patient </w:t>
            </w:r>
            <w:r w:rsidRPr="000F10E6">
              <w:t>Group Direction (PGD)</w:t>
            </w:r>
          </w:p>
          <w:p w14:paraId="727C3F46" w14:textId="77777777" w:rsidR="008004D7" w:rsidRDefault="008004D7" w:rsidP="005E3AAD">
            <w:pPr>
              <w:pStyle w:val="Bulletindent1"/>
            </w:pPr>
            <w:r w:rsidRPr="004133DF">
              <w:t xml:space="preserve">All records should be kept in line with </w:t>
            </w:r>
            <w:hyperlink r:id="rId30" w:history="1">
              <w:r w:rsidRPr="004133DF">
                <w:rPr>
                  <w:rStyle w:val="Hyperlink"/>
                </w:rPr>
                <w:t>NHSE Records Management Code of Practice</w:t>
              </w:r>
            </w:hyperlink>
            <w:r w:rsidRPr="004133DF">
              <w:t>. This includes individual data, master copies of the PGD and lists of authorised practitioners.</w:t>
            </w:r>
          </w:p>
          <w:p w14:paraId="23945DC9" w14:textId="77777777" w:rsidR="008004D7" w:rsidRDefault="008004D7" w:rsidP="008004D7">
            <w:pPr>
              <w:pStyle w:val="Tabletext"/>
              <w:rPr>
                <w:b/>
                <w:bCs/>
              </w:rPr>
            </w:pPr>
            <w:r w:rsidRPr="004133DF">
              <w:rPr>
                <w:b/>
                <w:bCs/>
              </w:rPr>
              <w:lastRenderedPageBreak/>
              <w:t xml:space="preserve">Records must be signed and dated (or </w:t>
            </w:r>
            <w:proofErr w:type="gramStart"/>
            <w:r w:rsidRPr="004133DF">
              <w:rPr>
                <w:b/>
                <w:bCs/>
              </w:rPr>
              <w:t>password controlled</w:t>
            </w:r>
            <w:proofErr w:type="gramEnd"/>
            <w:r w:rsidRPr="004133DF">
              <w:rPr>
                <w:b/>
                <w:bCs/>
              </w:rPr>
              <w:t xml:space="preserve"> e-records).</w:t>
            </w:r>
          </w:p>
          <w:p w14:paraId="1426AA31" w14:textId="77777777" w:rsidR="005E3AAD" w:rsidRPr="004133DF" w:rsidRDefault="005E3AAD" w:rsidP="008004D7">
            <w:pPr>
              <w:pStyle w:val="Tabletext"/>
              <w:rPr>
                <w:b/>
                <w:bCs/>
              </w:rPr>
            </w:pPr>
          </w:p>
          <w:p w14:paraId="0DDEBD84" w14:textId="77777777" w:rsidR="008004D7" w:rsidRDefault="008004D7" w:rsidP="008004D7">
            <w:pPr>
              <w:pStyle w:val="Tabletext"/>
              <w:rPr>
                <w:b/>
                <w:bCs/>
              </w:rPr>
            </w:pPr>
            <w:r w:rsidRPr="004133DF">
              <w:rPr>
                <w:b/>
                <w:bCs/>
              </w:rPr>
              <w:t>All records must be clear, legible and contemporaneous.</w:t>
            </w:r>
          </w:p>
          <w:p w14:paraId="1B35383B" w14:textId="77777777" w:rsidR="005E3AAD" w:rsidRPr="004133DF" w:rsidRDefault="005E3AAD" w:rsidP="008004D7">
            <w:pPr>
              <w:pStyle w:val="Tabletext"/>
              <w:rPr>
                <w:b/>
                <w:bCs/>
              </w:rPr>
            </w:pPr>
          </w:p>
          <w:p w14:paraId="01ABEABB" w14:textId="2A5BCEDB" w:rsidR="008004D7" w:rsidRDefault="008004D7" w:rsidP="005E3AAD">
            <w:pPr>
              <w:pStyle w:val="Tabletext"/>
            </w:pPr>
            <w:r w:rsidRPr="004133DF">
              <w:rPr>
                <w:b/>
                <w:bCs/>
              </w:rPr>
              <w:t xml:space="preserve">A record of all individuals receiving treatment under this PGD should also be kept for audit purposes in accordance with local policy. </w:t>
            </w:r>
          </w:p>
        </w:tc>
      </w:tr>
    </w:tbl>
    <w:p w14:paraId="563FDB23" w14:textId="77777777" w:rsidR="00950562" w:rsidRPr="00BB2599" w:rsidRDefault="00950562" w:rsidP="00950562">
      <w:pPr>
        <w:pStyle w:val="PGDNormal"/>
      </w:pPr>
    </w:p>
    <w:p w14:paraId="597180AD" w14:textId="77777777" w:rsidR="00950562" w:rsidRDefault="00950562">
      <w:pPr>
        <w:spacing w:after="0" w:line="240" w:lineRule="auto"/>
        <w:rPr>
          <w:rFonts w:ascii="Arial" w:hAnsi="Arial"/>
          <w:b/>
          <w:bCs/>
          <w:kern w:val="32"/>
          <w:sz w:val="28"/>
          <w:szCs w:val="32"/>
        </w:rPr>
      </w:pPr>
      <w:r>
        <w:br w:type="page"/>
      </w:r>
    </w:p>
    <w:p w14:paraId="74DEDA30" w14:textId="609C6B0D" w:rsidR="00725927" w:rsidRDefault="00725927" w:rsidP="00BB2C75">
      <w:pPr>
        <w:pStyle w:val="Heading1"/>
      </w:pPr>
      <w:r w:rsidRPr="00DF77C7">
        <w:lastRenderedPageBreak/>
        <w:t xml:space="preserve">Key references </w:t>
      </w:r>
      <w:r w:rsidR="00510425" w:rsidRPr="00DF77C7">
        <w:t>(</w:t>
      </w:r>
      <w:r w:rsidR="004133DF">
        <w:t xml:space="preserve">last </w:t>
      </w:r>
      <w:r w:rsidR="00510425" w:rsidRPr="00DF77C7">
        <w:t>accessed</w:t>
      </w:r>
      <w:r w:rsidR="00D0044C" w:rsidRPr="00DF77C7">
        <w:t xml:space="preserve"> </w:t>
      </w:r>
      <w:r w:rsidR="005E3AAD">
        <w:t>March 2024</w:t>
      </w:r>
      <w:r w:rsidR="00510425" w:rsidRPr="00DF77C7">
        <w:t>)</w:t>
      </w:r>
    </w:p>
    <w:p w14:paraId="7D34D896" w14:textId="62824AB4" w:rsidR="009B77E7" w:rsidRPr="00AF0367" w:rsidRDefault="009B77E7" w:rsidP="00920B43">
      <w:pPr>
        <w:pStyle w:val="Bulletindent1"/>
        <w:rPr>
          <w:color w:val="0000FF"/>
          <w:u w:val="single"/>
        </w:rPr>
      </w:pPr>
      <w:hyperlink r:id="rId31" w:history="1">
        <w:r w:rsidRPr="009B77E7">
          <w:rPr>
            <w:rStyle w:val="Hyperlink"/>
          </w:rPr>
          <w:t>Electronic Medicines Compendium</w:t>
        </w:r>
      </w:hyperlink>
    </w:p>
    <w:p w14:paraId="62E7904D" w14:textId="7C52DA4A" w:rsidR="009B77E7" w:rsidRPr="00620823" w:rsidRDefault="009B77E7" w:rsidP="00877396">
      <w:pPr>
        <w:pStyle w:val="Bulletindent1"/>
        <w:rPr>
          <w:color w:val="0000FF"/>
          <w:u w:val="single"/>
        </w:rPr>
      </w:pPr>
      <w:hyperlink r:id="rId32" w:history="1">
        <w:r w:rsidRPr="009B77E7">
          <w:rPr>
            <w:rStyle w:val="Hyperlink"/>
          </w:rPr>
          <w:t>Electronic BNF</w:t>
        </w:r>
      </w:hyperlink>
    </w:p>
    <w:p w14:paraId="1DCE2E4C" w14:textId="4053A9B9" w:rsidR="00620823" w:rsidRDefault="00620823" w:rsidP="00877396">
      <w:pPr>
        <w:pStyle w:val="Bulletindent1"/>
        <w:rPr>
          <w:color w:val="0000FF"/>
          <w:u w:val="single"/>
        </w:rPr>
      </w:pPr>
      <w:hyperlink r:id="rId33" w:history="1">
        <w:r w:rsidRPr="00620823">
          <w:rPr>
            <w:rStyle w:val="Hyperlink"/>
          </w:rPr>
          <w:t>Electronic BNF for children</w:t>
        </w:r>
      </w:hyperlink>
    </w:p>
    <w:p w14:paraId="738D2A7F" w14:textId="08F60911" w:rsidR="009B77E7" w:rsidRPr="00620823" w:rsidRDefault="009B77E7" w:rsidP="00877396">
      <w:pPr>
        <w:pStyle w:val="Bulletindent1"/>
        <w:rPr>
          <w:color w:val="0000FF"/>
          <w:u w:val="single"/>
        </w:rPr>
      </w:pPr>
      <w:hyperlink r:id="rId34" w:history="1">
        <w:r w:rsidRPr="009B77E7">
          <w:rPr>
            <w:rStyle w:val="Hyperlink"/>
          </w:rPr>
          <w:t>Reference guide to consent for examination or treatment</w:t>
        </w:r>
      </w:hyperlink>
    </w:p>
    <w:p w14:paraId="3BD7766D" w14:textId="79F0699F" w:rsidR="00AF0367" w:rsidRPr="004D4B86" w:rsidRDefault="00AF0367" w:rsidP="00720435">
      <w:pPr>
        <w:pStyle w:val="Bulletindent1"/>
        <w:rPr>
          <w:color w:val="0000FF"/>
          <w:u w:val="single"/>
        </w:rPr>
      </w:pPr>
      <w:hyperlink r:id="rId35" w:history="1">
        <w:r w:rsidRPr="00720435">
          <w:rPr>
            <w:rStyle w:val="Hyperlink"/>
          </w:rPr>
          <w:t>NICE Medicines practice guideline MPG2 - Patient Group Directions - Last Updated 27 March 2017</w:t>
        </w:r>
      </w:hyperlink>
    </w:p>
    <w:p w14:paraId="30FB708E" w14:textId="5C973B86" w:rsidR="004D4B86" w:rsidRDefault="005E3AAD" w:rsidP="00720435">
      <w:pPr>
        <w:pStyle w:val="Bulletindent1"/>
        <w:rPr>
          <w:color w:val="0000FF"/>
          <w:u w:val="single"/>
        </w:rPr>
      </w:pPr>
      <w:hyperlink r:id="rId36" w:history="1">
        <w:r w:rsidRPr="005E3AAD">
          <w:rPr>
            <w:rStyle w:val="Hyperlink"/>
          </w:rPr>
          <w:t>Resuscitation Council (UK)</w:t>
        </w:r>
      </w:hyperlink>
    </w:p>
    <w:p w14:paraId="3AAB86FA" w14:textId="1523CD9B" w:rsidR="005E3AAD" w:rsidRDefault="005E3AAD" w:rsidP="00720435">
      <w:pPr>
        <w:pStyle w:val="Bulletindent1"/>
        <w:rPr>
          <w:color w:val="0000FF"/>
          <w:u w:val="single"/>
        </w:rPr>
      </w:pPr>
      <w:hyperlink r:id="rId37" w:history="1">
        <w:r w:rsidRPr="005E3AAD">
          <w:rPr>
            <w:rStyle w:val="Hyperlink"/>
          </w:rPr>
          <w:t>NICE clinical guideline on meningitis (bacterial) and meningococcal disease</w:t>
        </w:r>
      </w:hyperlink>
    </w:p>
    <w:p w14:paraId="45C70B1B" w14:textId="20A72CD1" w:rsidR="005E3AAD" w:rsidRDefault="005E3AAD" w:rsidP="00720435">
      <w:pPr>
        <w:pStyle w:val="Bulletindent1"/>
        <w:rPr>
          <w:color w:val="0000FF"/>
          <w:u w:val="single"/>
        </w:rPr>
      </w:pPr>
      <w:hyperlink r:id="rId38" w:history="1">
        <w:r w:rsidRPr="005E3AAD">
          <w:rPr>
            <w:rStyle w:val="Hyperlink"/>
          </w:rPr>
          <w:t>NICE Clinical Knowledge Summaries. Meningitis</w:t>
        </w:r>
      </w:hyperlink>
    </w:p>
    <w:p w14:paraId="49669514" w14:textId="77777777" w:rsidR="005E3AAD" w:rsidRDefault="005E3AAD" w:rsidP="00720435">
      <w:pPr>
        <w:pStyle w:val="Bulletindent1"/>
        <w:rPr>
          <w:color w:val="0000FF"/>
          <w:u w:val="single"/>
        </w:rPr>
      </w:pPr>
      <w:hyperlink r:id="rId39" w:history="1">
        <w:r w:rsidRPr="005E3AAD">
          <w:rPr>
            <w:rStyle w:val="Hyperlink"/>
          </w:rPr>
          <w:t>PHE Guidance for public health management of meningococcal disease. Updated August 2019</w:t>
        </w:r>
      </w:hyperlink>
    </w:p>
    <w:p w14:paraId="66C93040" w14:textId="0D856EFB" w:rsidR="005E3AAD" w:rsidRDefault="005E3AAD" w:rsidP="00720435">
      <w:pPr>
        <w:pStyle w:val="Bulletindent1"/>
        <w:rPr>
          <w:color w:val="0000FF"/>
          <w:u w:val="single"/>
        </w:rPr>
      </w:pPr>
      <w:hyperlink r:id="rId40" w:history="1">
        <w:r w:rsidRPr="005E3AAD">
          <w:rPr>
            <w:rStyle w:val="Hyperlink"/>
          </w:rPr>
          <w:t xml:space="preserve">PHE Guidance on </w:t>
        </w:r>
        <w:r w:rsidRPr="005E3AAD">
          <w:rPr>
            <w:rStyle w:val="Hyperlink"/>
            <w:lang w:val="en"/>
          </w:rPr>
          <w:t>notifiable diseases and causative organisms: how to report. Last updated 26 October 2020</w:t>
        </w:r>
      </w:hyperlink>
    </w:p>
    <w:p w14:paraId="5F9327B2" w14:textId="124B948A" w:rsidR="005E3AAD" w:rsidRDefault="004C3E31" w:rsidP="00720435">
      <w:pPr>
        <w:pStyle w:val="Bulletindent1"/>
        <w:rPr>
          <w:color w:val="0000FF"/>
          <w:u w:val="single"/>
        </w:rPr>
      </w:pPr>
      <w:hyperlink r:id="rId41" w:history="1">
        <w:r w:rsidR="005E3AAD" w:rsidRPr="004C3E31">
          <w:rPr>
            <w:rStyle w:val="Hyperlink"/>
          </w:rPr>
          <w:t>Joint Royal Colleges Ambulance Liaison Committee (JRCALC) Clinical Practice Guidelines</w:t>
        </w:r>
      </w:hyperlink>
    </w:p>
    <w:p w14:paraId="32B86834" w14:textId="77777777" w:rsidR="004C3E31" w:rsidRDefault="004C3E31" w:rsidP="004C3E31">
      <w:pPr>
        <w:pStyle w:val="Bulletindent1"/>
      </w:pPr>
      <w:r w:rsidRPr="00711769">
        <w:t xml:space="preserve">Newborns to be included in the PGD, Neonatal and Paediatric Pharmacist Group (NPPG) opinion, personal communication, April 2024. </w:t>
      </w:r>
    </w:p>
    <w:p w14:paraId="6FA9E7C4" w14:textId="7069C69D" w:rsidR="004C3E31" w:rsidRDefault="004C3E31" w:rsidP="004C3E31">
      <w:pPr>
        <w:pStyle w:val="Bulletindent1"/>
      </w:pPr>
      <w:r w:rsidRPr="004C3E31">
        <w:t>Newborns to be included in the PGD, Royal College of Paediatrics and Child health (RCPCH) Medicine Committee opinion, personal communication, July 2020</w:t>
      </w:r>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42"/>
      <w:headerReference w:type="default" r:id="rId43"/>
      <w:footerReference w:type="default" r:id="rId44"/>
      <w:headerReference w:type="first" r:id="rId45"/>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600B9B">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600B9B"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600B9B">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A09F8"/>
    <w:multiLevelType w:val="hybridMultilevel"/>
    <w:tmpl w:val="6AE655A0"/>
    <w:lvl w:ilvl="0" w:tplc="698A6C1C">
      <w:start w:val="1"/>
      <w:numFmt w:val="decimal"/>
      <w:lvlText w:val="%1."/>
      <w:lvlJc w:val="left"/>
      <w:pPr>
        <w:ind w:left="360" w:hanging="360"/>
      </w:pPr>
      <w:rPr>
        <w:rFonts w:ascii="Arial" w:eastAsia="Calibr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AE7673"/>
    <w:multiLevelType w:val="hybridMultilevel"/>
    <w:tmpl w:val="F0EC4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A30B0"/>
    <w:multiLevelType w:val="hybridMultilevel"/>
    <w:tmpl w:val="754EC78C"/>
    <w:lvl w:ilvl="0" w:tplc="08090001">
      <w:start w:val="1"/>
      <w:numFmt w:val="bullet"/>
      <w:lvlText w:val=""/>
      <w:lvlJc w:val="left"/>
      <w:pPr>
        <w:ind w:left="403" w:hanging="360"/>
      </w:pPr>
      <w:rPr>
        <w:rFonts w:ascii="Symbol" w:hAnsi="Symbol"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tentative="1">
      <w:start w:val="1"/>
      <w:numFmt w:val="bullet"/>
      <w:lvlText w:val=""/>
      <w:lvlJc w:val="left"/>
      <w:pPr>
        <w:ind w:left="2563" w:hanging="360"/>
      </w:pPr>
      <w:rPr>
        <w:rFonts w:ascii="Symbol" w:hAnsi="Symbol" w:hint="default"/>
      </w:rPr>
    </w:lvl>
    <w:lvl w:ilvl="4" w:tplc="08090003" w:tentative="1">
      <w:start w:val="1"/>
      <w:numFmt w:val="bullet"/>
      <w:lvlText w:val="o"/>
      <w:lvlJc w:val="left"/>
      <w:pPr>
        <w:ind w:left="3283" w:hanging="360"/>
      </w:pPr>
      <w:rPr>
        <w:rFonts w:ascii="Courier New" w:hAnsi="Courier New" w:cs="Courier New" w:hint="default"/>
      </w:rPr>
    </w:lvl>
    <w:lvl w:ilvl="5" w:tplc="08090005" w:tentative="1">
      <w:start w:val="1"/>
      <w:numFmt w:val="bullet"/>
      <w:lvlText w:val=""/>
      <w:lvlJc w:val="left"/>
      <w:pPr>
        <w:ind w:left="4003" w:hanging="360"/>
      </w:pPr>
      <w:rPr>
        <w:rFonts w:ascii="Wingdings" w:hAnsi="Wingdings" w:hint="default"/>
      </w:rPr>
    </w:lvl>
    <w:lvl w:ilvl="6" w:tplc="08090001" w:tentative="1">
      <w:start w:val="1"/>
      <w:numFmt w:val="bullet"/>
      <w:lvlText w:val=""/>
      <w:lvlJc w:val="left"/>
      <w:pPr>
        <w:ind w:left="4723" w:hanging="360"/>
      </w:pPr>
      <w:rPr>
        <w:rFonts w:ascii="Symbol" w:hAnsi="Symbol" w:hint="default"/>
      </w:rPr>
    </w:lvl>
    <w:lvl w:ilvl="7" w:tplc="08090003" w:tentative="1">
      <w:start w:val="1"/>
      <w:numFmt w:val="bullet"/>
      <w:lvlText w:val="o"/>
      <w:lvlJc w:val="left"/>
      <w:pPr>
        <w:ind w:left="5443" w:hanging="360"/>
      </w:pPr>
      <w:rPr>
        <w:rFonts w:ascii="Courier New" w:hAnsi="Courier New" w:cs="Courier New" w:hint="default"/>
      </w:rPr>
    </w:lvl>
    <w:lvl w:ilvl="8" w:tplc="08090005" w:tentative="1">
      <w:start w:val="1"/>
      <w:numFmt w:val="bullet"/>
      <w:lvlText w:val=""/>
      <w:lvlJc w:val="left"/>
      <w:pPr>
        <w:ind w:left="6163" w:hanging="360"/>
      </w:pPr>
      <w:rPr>
        <w:rFonts w:ascii="Wingdings" w:hAnsi="Wingdings" w:hint="default"/>
      </w:rPr>
    </w:lvl>
  </w:abstractNum>
  <w:abstractNum w:abstractNumId="5" w15:restartNumberingAfterBreak="0">
    <w:nsid w:val="0E8249FE"/>
    <w:multiLevelType w:val="hybridMultilevel"/>
    <w:tmpl w:val="5602085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650801"/>
    <w:multiLevelType w:val="multilevel"/>
    <w:tmpl w:val="6442B938"/>
    <w:lvl w:ilvl="0">
      <w:start w:val="1"/>
      <w:numFmt w:val="decimal"/>
      <w:lvlText w:val="%1."/>
      <w:lvlJc w:val="left"/>
      <w:pPr>
        <w:ind w:left="720" w:hanging="360"/>
      </w:pPr>
      <w:rPr>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055468"/>
    <w:multiLevelType w:val="hybridMultilevel"/>
    <w:tmpl w:val="B1467F32"/>
    <w:lvl w:ilvl="0" w:tplc="0E18050A">
      <w:start w:val="25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FB6933"/>
    <w:multiLevelType w:val="hybridMultilevel"/>
    <w:tmpl w:val="0D32A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84751"/>
    <w:multiLevelType w:val="hybridMultilevel"/>
    <w:tmpl w:val="59B60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A147243"/>
    <w:multiLevelType w:val="hybridMultilevel"/>
    <w:tmpl w:val="E5801B40"/>
    <w:lvl w:ilvl="0" w:tplc="B3B0F2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16070"/>
    <w:multiLevelType w:val="multilevel"/>
    <w:tmpl w:val="8AB26EC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734F1"/>
    <w:multiLevelType w:val="multilevel"/>
    <w:tmpl w:val="1D824FFE"/>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50642B"/>
    <w:multiLevelType w:val="multilevel"/>
    <w:tmpl w:val="6442B938"/>
    <w:lvl w:ilvl="0">
      <w:start w:val="1"/>
      <w:numFmt w:val="decimal"/>
      <w:lvlText w:val="%1."/>
      <w:lvlJc w:val="left"/>
      <w:pPr>
        <w:ind w:left="720" w:hanging="360"/>
      </w:pPr>
      <w:rPr>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6F70A7"/>
    <w:multiLevelType w:val="multilevel"/>
    <w:tmpl w:val="1D824FFE"/>
    <w:lvl w:ilvl="0">
      <w:start w:val="1"/>
      <w:numFmt w:val="bullet"/>
      <w:lvlText w:val=""/>
      <w:lvlJc w:val="left"/>
      <w:pPr>
        <w:ind w:left="720" w:hanging="360"/>
      </w:pPr>
      <w:rPr>
        <w:rFonts w:ascii="Symbol" w:hAnsi="Symbol" w:hint="default"/>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6B4B70"/>
    <w:multiLevelType w:val="multilevel"/>
    <w:tmpl w:val="6442B938"/>
    <w:lvl w:ilvl="0">
      <w:start w:val="1"/>
      <w:numFmt w:val="decimal"/>
      <w:lvlText w:val="%1."/>
      <w:lvlJc w:val="left"/>
      <w:pPr>
        <w:ind w:left="720" w:hanging="360"/>
      </w:pPr>
      <w:rPr>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A53E84"/>
    <w:multiLevelType w:val="hybridMultilevel"/>
    <w:tmpl w:val="252C5E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E87D95"/>
    <w:multiLevelType w:val="multilevel"/>
    <w:tmpl w:val="2F006180"/>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6B3554"/>
    <w:multiLevelType w:val="hybridMultilevel"/>
    <w:tmpl w:val="10445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8A41EB"/>
    <w:multiLevelType w:val="hybridMultilevel"/>
    <w:tmpl w:val="0FD6C5A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3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8172CAC"/>
    <w:multiLevelType w:val="hybridMultilevel"/>
    <w:tmpl w:val="6ECA9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4C4F0F"/>
    <w:multiLevelType w:val="hybridMultilevel"/>
    <w:tmpl w:val="5972D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EDC2A5A"/>
    <w:multiLevelType w:val="multilevel"/>
    <w:tmpl w:val="6442B938"/>
    <w:lvl w:ilvl="0">
      <w:start w:val="1"/>
      <w:numFmt w:val="decimal"/>
      <w:lvlText w:val="%1."/>
      <w:lvlJc w:val="left"/>
      <w:pPr>
        <w:ind w:left="720" w:hanging="360"/>
      </w:pPr>
      <w:rPr>
        <w:color w:val="auto"/>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9" w15:restartNumberingAfterBreak="0">
    <w:nsid w:val="758006C8"/>
    <w:multiLevelType w:val="hybridMultilevel"/>
    <w:tmpl w:val="119E32A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43"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46"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34"/>
  </w:num>
  <w:num w:numId="2" w16cid:durableId="460340545">
    <w:abstractNumId w:val="18"/>
  </w:num>
  <w:num w:numId="3" w16cid:durableId="862549155">
    <w:abstractNumId w:val="41"/>
  </w:num>
  <w:num w:numId="4" w16cid:durableId="1902785077">
    <w:abstractNumId w:val="42"/>
  </w:num>
  <w:num w:numId="5" w16cid:durableId="1400252542">
    <w:abstractNumId w:val="31"/>
  </w:num>
  <w:num w:numId="6" w16cid:durableId="585113440">
    <w:abstractNumId w:val="16"/>
  </w:num>
  <w:num w:numId="7" w16cid:durableId="1512915418">
    <w:abstractNumId w:val="38"/>
  </w:num>
  <w:num w:numId="8" w16cid:durableId="759831936">
    <w:abstractNumId w:val="45"/>
  </w:num>
  <w:num w:numId="9" w16cid:durableId="1747412429">
    <w:abstractNumId w:val="7"/>
  </w:num>
  <w:num w:numId="10" w16cid:durableId="1297833641">
    <w:abstractNumId w:val="0"/>
  </w:num>
  <w:num w:numId="11" w16cid:durableId="1684160055">
    <w:abstractNumId w:val="44"/>
  </w:num>
  <w:num w:numId="12" w16cid:durableId="1610894224">
    <w:abstractNumId w:val="47"/>
  </w:num>
  <w:num w:numId="13" w16cid:durableId="1880973297">
    <w:abstractNumId w:val="26"/>
  </w:num>
  <w:num w:numId="14" w16cid:durableId="77676389">
    <w:abstractNumId w:val="10"/>
  </w:num>
  <w:num w:numId="15" w16cid:durableId="1496384920">
    <w:abstractNumId w:val="25"/>
  </w:num>
  <w:num w:numId="16" w16cid:durableId="441388192">
    <w:abstractNumId w:val="35"/>
    <w:lvlOverride w:ilvl="0">
      <w:startOverride w:val="1"/>
    </w:lvlOverride>
  </w:num>
  <w:num w:numId="17" w16cid:durableId="73867840">
    <w:abstractNumId w:val="11"/>
    <w:lvlOverride w:ilvl="0">
      <w:startOverride w:val="1"/>
    </w:lvlOverride>
  </w:num>
  <w:num w:numId="18" w16cid:durableId="1535193713">
    <w:abstractNumId w:val="3"/>
  </w:num>
  <w:num w:numId="19" w16cid:durableId="1355493972">
    <w:abstractNumId w:val="28"/>
  </w:num>
  <w:num w:numId="20" w16cid:durableId="976493906">
    <w:abstractNumId w:val="43"/>
  </w:num>
  <w:num w:numId="21" w16cid:durableId="80179218">
    <w:abstractNumId w:val="27"/>
  </w:num>
  <w:num w:numId="22" w16cid:durableId="1890923172">
    <w:abstractNumId w:val="40"/>
  </w:num>
  <w:num w:numId="23" w16cid:durableId="507064187">
    <w:abstractNumId w:val="22"/>
  </w:num>
  <w:num w:numId="24" w16cid:durableId="177042180">
    <w:abstractNumId w:val="36"/>
  </w:num>
  <w:num w:numId="25" w16cid:durableId="1159344088">
    <w:abstractNumId w:val="9"/>
  </w:num>
  <w:num w:numId="26" w16cid:durableId="299264935">
    <w:abstractNumId w:val="14"/>
  </w:num>
  <w:num w:numId="27" w16cid:durableId="818113722">
    <w:abstractNumId w:val="5"/>
  </w:num>
  <w:num w:numId="28" w16cid:durableId="499195856">
    <w:abstractNumId w:val="30"/>
  </w:num>
  <w:num w:numId="29" w16cid:durableId="2072773909">
    <w:abstractNumId w:val="8"/>
  </w:num>
  <w:num w:numId="30" w16cid:durableId="1352804830">
    <w:abstractNumId w:val="4"/>
  </w:num>
  <w:num w:numId="31" w16cid:durableId="1689135433">
    <w:abstractNumId w:val="39"/>
  </w:num>
  <w:num w:numId="32" w16cid:durableId="1100218832">
    <w:abstractNumId w:val="24"/>
  </w:num>
  <w:num w:numId="33" w16cid:durableId="972488781">
    <w:abstractNumId w:val="23"/>
  </w:num>
  <w:num w:numId="34" w16cid:durableId="898173204">
    <w:abstractNumId w:val="37"/>
  </w:num>
  <w:num w:numId="35" w16cid:durableId="634679271">
    <w:abstractNumId w:val="19"/>
  </w:num>
  <w:num w:numId="36" w16cid:durableId="1521167953">
    <w:abstractNumId w:val="6"/>
  </w:num>
  <w:num w:numId="37" w16cid:durableId="496575260">
    <w:abstractNumId w:val="46"/>
  </w:num>
  <w:num w:numId="38" w16cid:durableId="574245420">
    <w:abstractNumId w:val="20"/>
  </w:num>
  <w:num w:numId="39" w16cid:durableId="1592079338">
    <w:abstractNumId w:val="15"/>
  </w:num>
  <w:num w:numId="40" w16cid:durableId="1159494192">
    <w:abstractNumId w:val="29"/>
  </w:num>
  <w:num w:numId="41" w16cid:durableId="751465686">
    <w:abstractNumId w:val="17"/>
  </w:num>
  <w:num w:numId="42" w16cid:durableId="885457965">
    <w:abstractNumId w:val="21"/>
  </w:num>
  <w:num w:numId="43" w16cid:durableId="1695421215">
    <w:abstractNumId w:val="2"/>
  </w:num>
  <w:num w:numId="44" w16cid:durableId="311369443">
    <w:abstractNumId w:val="33"/>
  </w:num>
  <w:num w:numId="45" w16cid:durableId="1832021469">
    <w:abstractNumId w:val="12"/>
  </w:num>
  <w:num w:numId="46" w16cid:durableId="780803682">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4463"/>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81B91"/>
    <w:rsid w:val="000856ED"/>
    <w:rsid w:val="00085B08"/>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0BC2"/>
    <w:rsid w:val="000F1CAB"/>
    <w:rsid w:val="000F2350"/>
    <w:rsid w:val="000F2735"/>
    <w:rsid w:val="000F2DC4"/>
    <w:rsid w:val="000F4B18"/>
    <w:rsid w:val="000F4FC5"/>
    <w:rsid w:val="000F52B4"/>
    <w:rsid w:val="000F5DE8"/>
    <w:rsid w:val="000F6DF5"/>
    <w:rsid w:val="001016BC"/>
    <w:rsid w:val="0011001E"/>
    <w:rsid w:val="00110308"/>
    <w:rsid w:val="00110E70"/>
    <w:rsid w:val="001120EC"/>
    <w:rsid w:val="00112BE0"/>
    <w:rsid w:val="00114F02"/>
    <w:rsid w:val="0011562D"/>
    <w:rsid w:val="00120033"/>
    <w:rsid w:val="00120C76"/>
    <w:rsid w:val="0012506B"/>
    <w:rsid w:val="001260CA"/>
    <w:rsid w:val="001309D6"/>
    <w:rsid w:val="00130C0D"/>
    <w:rsid w:val="00130CFD"/>
    <w:rsid w:val="00135D99"/>
    <w:rsid w:val="00136BE0"/>
    <w:rsid w:val="00137A0B"/>
    <w:rsid w:val="00142D2D"/>
    <w:rsid w:val="00143108"/>
    <w:rsid w:val="00143215"/>
    <w:rsid w:val="001438F2"/>
    <w:rsid w:val="001450CF"/>
    <w:rsid w:val="001452AF"/>
    <w:rsid w:val="001463C4"/>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07209"/>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4185"/>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2E7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773EE"/>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283C"/>
    <w:rsid w:val="004C39C3"/>
    <w:rsid w:val="004C3E31"/>
    <w:rsid w:val="004C51BE"/>
    <w:rsid w:val="004C74E5"/>
    <w:rsid w:val="004C78B4"/>
    <w:rsid w:val="004C7C7E"/>
    <w:rsid w:val="004D11DE"/>
    <w:rsid w:val="004D1C74"/>
    <w:rsid w:val="004D30C0"/>
    <w:rsid w:val="004D3649"/>
    <w:rsid w:val="004D4B86"/>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46AE"/>
    <w:rsid w:val="00544E14"/>
    <w:rsid w:val="00547D7B"/>
    <w:rsid w:val="00552DBA"/>
    <w:rsid w:val="00554BE1"/>
    <w:rsid w:val="00557D6E"/>
    <w:rsid w:val="00557DB1"/>
    <w:rsid w:val="00561CE9"/>
    <w:rsid w:val="0056237E"/>
    <w:rsid w:val="005662A5"/>
    <w:rsid w:val="0056643E"/>
    <w:rsid w:val="005666A9"/>
    <w:rsid w:val="00567220"/>
    <w:rsid w:val="00567847"/>
    <w:rsid w:val="00567D8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3AAD"/>
    <w:rsid w:val="005E6491"/>
    <w:rsid w:val="005E6963"/>
    <w:rsid w:val="005E6E51"/>
    <w:rsid w:val="005F1323"/>
    <w:rsid w:val="005F1603"/>
    <w:rsid w:val="005F17C5"/>
    <w:rsid w:val="005F3623"/>
    <w:rsid w:val="005F4864"/>
    <w:rsid w:val="005F4940"/>
    <w:rsid w:val="00600B9B"/>
    <w:rsid w:val="00600F2A"/>
    <w:rsid w:val="00602CB0"/>
    <w:rsid w:val="0060527A"/>
    <w:rsid w:val="00607C5D"/>
    <w:rsid w:val="00611DA8"/>
    <w:rsid w:val="006125EC"/>
    <w:rsid w:val="006154DD"/>
    <w:rsid w:val="00616472"/>
    <w:rsid w:val="006165DF"/>
    <w:rsid w:val="00620823"/>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4F5A"/>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08B5"/>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26F92"/>
    <w:rsid w:val="007335A9"/>
    <w:rsid w:val="007338E6"/>
    <w:rsid w:val="00734712"/>
    <w:rsid w:val="00735292"/>
    <w:rsid w:val="00737FD6"/>
    <w:rsid w:val="00740F19"/>
    <w:rsid w:val="007417F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2C0D"/>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4D7"/>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5EC"/>
    <w:rsid w:val="00846603"/>
    <w:rsid w:val="008479C0"/>
    <w:rsid w:val="008543A8"/>
    <w:rsid w:val="008547E3"/>
    <w:rsid w:val="008548CB"/>
    <w:rsid w:val="00854BAD"/>
    <w:rsid w:val="00856887"/>
    <w:rsid w:val="0085752D"/>
    <w:rsid w:val="00864F3B"/>
    <w:rsid w:val="008676A6"/>
    <w:rsid w:val="00872410"/>
    <w:rsid w:val="008748F2"/>
    <w:rsid w:val="00876232"/>
    <w:rsid w:val="008762B8"/>
    <w:rsid w:val="00876FE2"/>
    <w:rsid w:val="00877396"/>
    <w:rsid w:val="00877C82"/>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40F9B"/>
    <w:rsid w:val="00941978"/>
    <w:rsid w:val="0094341B"/>
    <w:rsid w:val="0094393D"/>
    <w:rsid w:val="0094394E"/>
    <w:rsid w:val="00945C75"/>
    <w:rsid w:val="009504E0"/>
    <w:rsid w:val="00950562"/>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45F9"/>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E6F8C"/>
    <w:rsid w:val="009F0A26"/>
    <w:rsid w:val="009F1A8D"/>
    <w:rsid w:val="009F38E6"/>
    <w:rsid w:val="009F4C18"/>
    <w:rsid w:val="00A02C46"/>
    <w:rsid w:val="00A03244"/>
    <w:rsid w:val="00A03890"/>
    <w:rsid w:val="00A05022"/>
    <w:rsid w:val="00A05CFA"/>
    <w:rsid w:val="00A1019C"/>
    <w:rsid w:val="00A125D4"/>
    <w:rsid w:val="00A1309B"/>
    <w:rsid w:val="00A1358E"/>
    <w:rsid w:val="00A1461E"/>
    <w:rsid w:val="00A14981"/>
    <w:rsid w:val="00A154A4"/>
    <w:rsid w:val="00A16080"/>
    <w:rsid w:val="00A163ED"/>
    <w:rsid w:val="00A2089E"/>
    <w:rsid w:val="00A20FBD"/>
    <w:rsid w:val="00A2119C"/>
    <w:rsid w:val="00A213AA"/>
    <w:rsid w:val="00A22B18"/>
    <w:rsid w:val="00A258A7"/>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873DA"/>
    <w:rsid w:val="00A9433C"/>
    <w:rsid w:val="00AA0666"/>
    <w:rsid w:val="00AA150C"/>
    <w:rsid w:val="00AA16A5"/>
    <w:rsid w:val="00AA18EC"/>
    <w:rsid w:val="00AA200A"/>
    <w:rsid w:val="00AA2DC6"/>
    <w:rsid w:val="00AA4332"/>
    <w:rsid w:val="00AA5A30"/>
    <w:rsid w:val="00AB0146"/>
    <w:rsid w:val="00AB1EA8"/>
    <w:rsid w:val="00AB2F4B"/>
    <w:rsid w:val="00AB40E4"/>
    <w:rsid w:val="00AB5D04"/>
    <w:rsid w:val="00AC0BE9"/>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670A"/>
    <w:rsid w:val="00B71542"/>
    <w:rsid w:val="00B73659"/>
    <w:rsid w:val="00B74946"/>
    <w:rsid w:val="00B75FB4"/>
    <w:rsid w:val="00B76F86"/>
    <w:rsid w:val="00B80DF7"/>
    <w:rsid w:val="00B810C3"/>
    <w:rsid w:val="00B81529"/>
    <w:rsid w:val="00B85E7B"/>
    <w:rsid w:val="00B87905"/>
    <w:rsid w:val="00B912CD"/>
    <w:rsid w:val="00B922C4"/>
    <w:rsid w:val="00B9243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2E8F"/>
    <w:rsid w:val="00C16536"/>
    <w:rsid w:val="00C17411"/>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21A7"/>
    <w:rsid w:val="00DD3AD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97752"/>
    <w:rsid w:val="00EA214D"/>
    <w:rsid w:val="00EA36BD"/>
    <w:rsid w:val="00EA389C"/>
    <w:rsid w:val="00EA3DB6"/>
    <w:rsid w:val="00EB0F75"/>
    <w:rsid w:val="00EB1C3F"/>
    <w:rsid w:val="00EC5BB8"/>
    <w:rsid w:val="00EC6FFD"/>
    <w:rsid w:val="00ED232C"/>
    <w:rsid w:val="00ED3CEB"/>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37CA9"/>
    <w:rsid w:val="00F44107"/>
    <w:rsid w:val="00F44969"/>
    <w:rsid w:val="00F44C14"/>
    <w:rsid w:val="00F46A0E"/>
    <w:rsid w:val="00F51163"/>
    <w:rsid w:val="00F53868"/>
    <w:rsid w:val="00F57606"/>
    <w:rsid w:val="00F605E6"/>
    <w:rsid w:val="00F6120B"/>
    <w:rsid w:val="00F6305E"/>
    <w:rsid w:val="00F71C6F"/>
    <w:rsid w:val="00F7236D"/>
    <w:rsid w:val="00F725A8"/>
    <w:rsid w:val="00F7284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71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unhideWhenUsed/>
    <w:rsid w:val="007347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34712"/>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18" Type="http://schemas.openxmlformats.org/officeDocument/2006/relationships/hyperlink" Target="https://gbr01.safelinks.protection.outlook.com/?url=https%3A%2F%2Fwww.nice.org.uk%2Fguidance%2Fng195%2Fchapter%2FRecommendations%23risk-factors-for-and-clinical-indicators-of-possible-early-onset-neonatal-infection&amp;data=05%7C02%7Ckieran.reynolds%40nhs.net%7C0ce341608c0244e76f9008dc5a126b76%7C37c354b285b047f5b22207b48d774ee3%7C0%7C0%7C638484282431363032%7CUnknown%7CTWFpbGZsb3d8eyJWIjoiMC4wLjAwMDAiLCJQIjoiV2luMzIiLCJBTiI6Ik1haWwiLCJXVCI6Mn0%3D%7C0%7C%7C%7C&amp;sdata=mQRK1Iq%2BrM0mz7cpn4lqvbQOvkKAvxtsJZdFfxf1eKE%3D&amp;reserved=0" TargetMode="External"/><Relationship Id="rId26" Type="http://schemas.openxmlformats.org/officeDocument/2006/relationships/hyperlink" Target="https://bnf.nice.org.uk/" TargetMode="External"/><Relationship Id="rId39" Type="http://schemas.openxmlformats.org/officeDocument/2006/relationships/hyperlink" Target="https://www.gov.uk/government/publications/meningococcal-disease-guidance-on-public-health-management" TargetMode="External"/><Relationship Id="rId21" Type="http://schemas.openxmlformats.org/officeDocument/2006/relationships/hyperlink" Target="https://nppg.org.uk/benzylpenicillinsalts/" TargetMode="External"/><Relationship Id="rId34" Type="http://schemas.openxmlformats.org/officeDocument/2006/relationships/hyperlink" Target="https://assets.publishing.service.gov.uk/government/uploads/system/uploads/attachment_data/file/138296/dh_103653__1_.pdf" TargetMode="External"/><Relationship Id="rId42" Type="http://schemas.openxmlformats.org/officeDocument/2006/relationships/header" Target="header1.xm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mpg2/resources" TargetMode="External"/><Relationship Id="rId29" Type="http://schemas.openxmlformats.org/officeDocument/2006/relationships/hyperlink" Target="https://www.nhs.uk/conditions/sepsis/" TargetMode="External"/><Relationship Id="rId11" Type="http://schemas.openxmlformats.org/officeDocument/2006/relationships/hyperlink" Target="https://www.nice.org.uk/Guidance/MPG2" TargetMode="External"/><Relationship Id="rId24" Type="http://schemas.openxmlformats.org/officeDocument/2006/relationships/hyperlink" Target="https://bnfc.nice.org.uk/" TargetMode="External"/><Relationship Id="rId32" Type="http://schemas.openxmlformats.org/officeDocument/2006/relationships/hyperlink" Target="https://bnf.nice.org.uk/" TargetMode="External"/><Relationship Id="rId37" Type="http://schemas.openxmlformats.org/officeDocument/2006/relationships/hyperlink" Target="https://www.nice.org.uk/guidance/ng240" TargetMode="External"/><Relationship Id="rId40" Type="http://schemas.openxmlformats.org/officeDocument/2006/relationships/hyperlink" Target="https://www.gov.uk/guidance/notifiable-diseases-and-causative-organisms-how-to-report"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29326/PHE_meningo_disease_guideline.pdf" TargetMode="External"/><Relationship Id="rId23" Type="http://schemas.openxmlformats.org/officeDocument/2006/relationships/hyperlink" Target="https://www.medicines.org.uk/emc" TargetMode="External"/><Relationship Id="rId28" Type="http://schemas.openxmlformats.org/officeDocument/2006/relationships/hyperlink" Target="https://www.medicines.org.uk/emc" TargetMode="External"/><Relationship Id="rId36" Type="http://schemas.openxmlformats.org/officeDocument/2006/relationships/hyperlink" Target="http://www.resus.org.uk/" TargetMode="External"/><Relationship Id="rId49" Type="http://schemas.openxmlformats.org/officeDocument/2006/relationships/customXml" Target="../customXml/item3.xml"/><Relationship Id="rId10" Type="http://schemas.openxmlformats.org/officeDocument/2006/relationships/hyperlink" Target="https://www.sps.nhs.uk/home/guidance/patient-group-directions-and-legal-mechanisms/national-pgd-protocol-and-written-instructions-templates/" TargetMode="External"/><Relationship Id="rId19" Type="http://schemas.openxmlformats.org/officeDocument/2006/relationships/hyperlink" Target="https://gbr01.safelinks.protection.outlook.com/?url=https%3A%2F%2Fwww.nice.org.uk%2Fguidance%2Fng195%2Fchapter%2FRecommendations%23risk-factors-for-and-clinical-indicators-of-possible-late-onset-neonatal-infection&amp;data=05%7C02%7Ckieran.reynolds%40nhs.net%7C0ce341608c0244e76f9008dc5a126b76%7C37c354b285b047f5b22207b48d774ee3%7C0%7C0%7C638484282431369571%7CUnknown%7CTWFpbGZsb3d8eyJWIjoiMC4wLjAwMDAiLCJQIjoiV2luMzIiLCJBTiI6Ik1haWwiLCJXVCI6Mn0%3D%7C0%7C%7C%7C&amp;sdata=svRb8aLPeKuJcFEhQmrh8n2xpXoyukikx3YoPS0fLFw%3D&amp;reserved=0" TargetMode="External"/><Relationship Id="rId31" Type="http://schemas.openxmlformats.org/officeDocument/2006/relationships/hyperlink" Target="https://www.medicines.org.uk/em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guidance/ng240/resources/meningitis-bacterial-and-meningococcal-disease-recognition-diagnosis-and-management-pdf-66143949881029" TargetMode="External"/><Relationship Id="rId14" Type="http://schemas.openxmlformats.org/officeDocument/2006/relationships/hyperlink" Target="https://www.e-lfh.org.uk/programmes/patient-group-directions/" TargetMode="External"/><Relationship Id="rId22" Type="http://schemas.openxmlformats.org/officeDocument/2006/relationships/hyperlink" Target="https://www.medicines.org.uk/emc" TargetMode="External"/><Relationship Id="rId27" Type="http://schemas.openxmlformats.org/officeDocument/2006/relationships/hyperlink" Target="https://yellowcard.mhra.gov.uk/" TargetMode="External"/><Relationship Id="rId30" Type="http://schemas.openxmlformats.org/officeDocument/2006/relationships/hyperlink" Target="https://transform.england.nhs.uk/information-governance/guidance/records-management-code/" TargetMode="External"/><Relationship Id="rId35" Type="http://schemas.openxmlformats.org/officeDocument/2006/relationships/hyperlink" Target="https://www.nice.org.uk/guidance/mpg2" TargetMode="External"/><Relationship Id="rId43" Type="http://schemas.openxmlformats.org/officeDocument/2006/relationships/header" Target="header2.xml"/><Relationship Id="rId48" Type="http://schemas.openxmlformats.org/officeDocument/2006/relationships/customXml" Target="../customXml/item2.xml"/><Relationship Id="rId8" Type="http://schemas.openxmlformats.org/officeDocument/2006/relationships/hyperlink" Target="https://www.nice.org.uk/guidance/mpg2/chapter/Recommendations" TargetMode="External"/><Relationship Id="rId3" Type="http://schemas.openxmlformats.org/officeDocument/2006/relationships/styles" Target="styles.xml"/><Relationship Id="rId12" Type="http://schemas.openxmlformats.org/officeDocument/2006/relationships/hyperlink" Target="https://www.nice.org.uk/guidance/mpg2/chapter/Recommendations" TargetMode="External"/><Relationship Id="rId17" Type="http://schemas.openxmlformats.org/officeDocument/2006/relationships/hyperlink" Target="https://www.nice.org.uk/guidance/ng240/resources/meningitis-bacterial-and-meningococcal-disease-recognition-diagnosis-and-management-pdf-66143949881029" TargetMode="External"/><Relationship Id="rId25" Type="http://schemas.openxmlformats.org/officeDocument/2006/relationships/hyperlink" Target="https://www.medicines.org.uk/emc" TargetMode="External"/><Relationship Id="rId33" Type="http://schemas.openxmlformats.org/officeDocument/2006/relationships/hyperlink" Target="https://bnfc.nice.org.uk/" TargetMode="External"/><Relationship Id="rId38" Type="http://schemas.openxmlformats.org/officeDocument/2006/relationships/hyperlink" Target="https://cks.nice.org.uk/meningitis-bacterial-meningitis-and-meningococcal-disease" TargetMode="External"/><Relationship Id="rId46" Type="http://schemas.openxmlformats.org/officeDocument/2006/relationships/fontTable" Target="fontTable.xml"/><Relationship Id="rId20" Type="http://schemas.openxmlformats.org/officeDocument/2006/relationships/hyperlink" Target="https://www.nice.org.uk/guidance/ng240/resources/meningitis-bacterial-and-meningococcal-disease-recognition-diagnosis-and-management-pdf-66143949881029" TargetMode="External"/><Relationship Id="rId41" Type="http://schemas.openxmlformats.org/officeDocument/2006/relationships/hyperlink" Target="https://www.jrcalc.org.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https://digitalliverpool.sharepoint.com/sites/SPSDigital/Lists/Content%20Directory/DispForm.aspx?ID=2868&amp;e=TrfXox</Url>
      <Description>Benzyl penicillin meningitis card</Description>
    </Cardcreated>
    <Reviewcompleted xmlns="f161132f-3af4-47f5-b28f-8075dccddbe8" xsi:nil="true"/>
    <Templatecounting xmlns="f161132f-3af4-47f5-b28f-8075dccddbe8">PGD for KPI</Templatecounting>
    <Accessibletemplate xmlns="f161132f-3af4-47f5-b28f-8075dccddbe8">true</Accessibletemplate>
    <Workstream xmlns="f161132f-3af4-47f5-b28f-8075dccddbe8">Infection &amp; Infectious Diseases</Workstream>
    <ReviewDate xmlns="f161132f-3af4-47f5-b28f-8075dccddbe8">2026-08-31T23:00:00+00:00</ReviewDate>
    <Versionnumber xmlns="f161132f-3af4-47f5-b28f-8075dccddbe8">2</Versionnumber>
    <ProgrammeBoardMeeting xmlns="f161132f-3af4-47f5-b28f-8075dccddbe8">2026-11-05T00:00:00+00:00</ProgrammeBoardMeeting>
    <PublishedDate xmlns="f161132f-3af4-47f5-b28f-8075dccddbe8">2024-04-24T23:00:00+00:00</PublishedDate>
    <Effectivefromdate xmlns="f161132f-3af4-47f5-b28f-8075dccddbe8">2024-04-24T23:00:00+00:00</Effectivefromdate>
    <RAGrating xmlns="f161132f-3af4-47f5-b28f-8075dccddbe8" xsi:nil="true"/>
    <ExpiryDate xmlns="f161132f-3af4-47f5-b28f-8075dccddbe8">2027-03-30T23:00:00+00:00</ExpiryDate>
    <_ApprovalAssignedTo xmlns="f161132f-3af4-47f5-b28f-8075dccddbe8">
      <UserInfo>
        <DisplayName/>
        <AccountId xsi:nil="true"/>
        <AccountType/>
      </UserInfo>
    </_ApprovalAssignedTo>
    <_ApprovalStatus xmlns="f161132f-3af4-47f5-b28f-8075dccddbe8">0</_ApprovalStatus>
    <_ApprovalRespondedBy xmlns="f161132f-3af4-47f5-b28f-8075dccddbe8">
      <UserInfo>
        <DisplayName/>
        <AccountId xsi:nil="true"/>
        <AccountType/>
      </UserInfo>
    </_ApprovalRespondedBy>
    <_ApprovalSentBy xmlns="f161132f-3af4-47f5-b28f-8075dccddbe8">
      <UserInfo>
        <DisplayName/>
        <AccountId xsi:nil="true"/>
        <AccountType/>
      </UserInfo>
    </_ApprovalSentBy>
  </documentManagement>
</p:properties>
</file>

<file path=customXml/itemProps1.xml><?xml version="1.0" encoding="utf-8"?>
<ds:datastoreItem xmlns:ds="http://schemas.openxmlformats.org/officeDocument/2006/customXml" ds:itemID="{FDFBBB57-14B8-4E48-B713-64BC8ADCDC0B}">
  <ds:schemaRefs>
    <ds:schemaRef ds:uri="http://schemas.openxmlformats.org/officeDocument/2006/bibliography"/>
  </ds:schemaRefs>
</ds:datastoreItem>
</file>

<file path=customXml/itemProps2.xml><?xml version="1.0" encoding="utf-8"?>
<ds:datastoreItem xmlns:ds="http://schemas.openxmlformats.org/officeDocument/2006/customXml" ds:itemID="{8781F0BB-F473-422F-AB5D-AB354E3769DE}"/>
</file>

<file path=customXml/itemProps3.xml><?xml version="1.0" encoding="utf-8"?>
<ds:datastoreItem xmlns:ds="http://schemas.openxmlformats.org/officeDocument/2006/customXml" ds:itemID="{8117B708-D232-49C7-BD44-8F75C573C929}"/>
</file>

<file path=customXml/itemProps4.xml><?xml version="1.0" encoding="utf-8"?>
<ds:datastoreItem xmlns:ds="http://schemas.openxmlformats.org/officeDocument/2006/customXml" ds:itemID="{3DFE74C5-28FB-49C9-8035-CFFD0D77A248}"/>
</file>

<file path=docProps/app.xml><?xml version="1.0" encoding="utf-8"?>
<Properties xmlns="http://schemas.openxmlformats.org/officeDocument/2006/extended-properties" xmlns:vt="http://schemas.openxmlformats.org/officeDocument/2006/docPropsVTypes">
  <Template>Normal</Template>
  <TotalTime>0</TotalTime>
  <Pages>18</Pages>
  <Words>4310</Words>
  <Characters>24573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28826</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2026-02-26T12:46:00Z</dcterms:created>
  <dcterms:modified xsi:type="dcterms:W3CDTF">2026-06-11T13:54:00Z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